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4E4DF" w14:textId="77777777" w:rsidR="00FD6CC9" w:rsidRDefault="00000000" w:rsidP="00FD6CC9">
      <w:pPr>
        <w:jc w:val="right"/>
        <w:rPr>
          <w:rFonts w:asciiTheme="minorBidi" w:hAnsiTheme="minorBidi" w:cstheme="minorBidi"/>
          <w:sz w:val="26"/>
          <w:szCs w:val="26"/>
        </w:rPr>
      </w:pPr>
      <w:bookmarkStart w:id="0" w:name="tempMark"/>
      <w:bookmarkStart w:id="1" w:name="_Toc163487494"/>
      <w:bookmarkStart w:id="2" w:name="_Toc163487612"/>
      <w:bookmarkStart w:id="3" w:name="_Toc163487784"/>
      <w:bookmarkStart w:id="4" w:name="_Toc164182580"/>
      <w:bookmarkStart w:id="5" w:name="_Toc164182669"/>
      <w:bookmarkStart w:id="6" w:name="_Toc164332639"/>
      <w:bookmarkStart w:id="7" w:name="_Toc164334064"/>
      <w:bookmarkStart w:id="8" w:name="_Toc165901272"/>
      <w:bookmarkStart w:id="9" w:name="_Toc165902717"/>
      <w:bookmarkStart w:id="10" w:name="_Toc166043517"/>
      <w:bookmarkStart w:id="11" w:name="_Toc166046088"/>
      <w:bookmarkStart w:id="12" w:name="_Toc167019145"/>
      <w:bookmarkStart w:id="13" w:name="_Toc167603557"/>
      <w:bookmarkStart w:id="14" w:name="_Toc167774179"/>
      <w:bookmarkStart w:id="15" w:name="_Toc167876367"/>
      <w:bookmarkStart w:id="16" w:name="_Toc167956766"/>
      <w:bookmarkStart w:id="17" w:name="_Toc157357551"/>
      <w:bookmarkStart w:id="18" w:name="_Toc159231014"/>
      <w:bookmarkStart w:id="19" w:name="_Toc159232470"/>
      <w:bookmarkStart w:id="20" w:name="_Toc159232888"/>
      <w:bookmarkEnd w:id="0"/>
      <w:r>
        <w:rPr>
          <w:rFonts w:asciiTheme="minorBidi" w:hAnsiTheme="minorBidi" w:cstheme="minorBidi" w:hint="cs"/>
          <w:sz w:val="26"/>
          <w:szCs w:val="26"/>
          <w:highlight w:val="yellow"/>
          <w:rtl/>
        </w:rPr>
        <w:t>נובמבר</w:t>
      </w:r>
      <w:r>
        <w:rPr>
          <w:rFonts w:asciiTheme="minorBidi" w:hAnsiTheme="minorBidi" w:cstheme="minorBidi"/>
          <w:sz w:val="26"/>
          <w:szCs w:val="26"/>
          <w:highlight w:val="yellow"/>
          <w:rtl/>
        </w:rPr>
        <w:t xml:space="preserve"> 2024</w:t>
      </w:r>
    </w:p>
    <w:p w14:paraId="153D34E0" w14:textId="77777777" w:rsidR="00FD6CC9" w:rsidRDefault="00FD6CC9" w:rsidP="00FD6CC9">
      <w:pPr>
        <w:jc w:val="center"/>
        <w:rPr>
          <w:rFonts w:asciiTheme="minorBidi" w:hAnsiTheme="minorBidi" w:cstheme="minorBidi"/>
          <w:b/>
          <w:bCs/>
          <w:sz w:val="30"/>
          <w:szCs w:val="30"/>
          <w:u w:val="single"/>
        </w:rPr>
      </w:pPr>
    </w:p>
    <w:p w14:paraId="68224492" w14:textId="017D126D" w:rsidR="00FD6CC9" w:rsidRDefault="00000000" w:rsidP="00FD6CC9">
      <w:pPr>
        <w:jc w:val="center"/>
        <w:rPr>
          <w:rFonts w:asciiTheme="minorBidi" w:hAnsiTheme="minorBidi" w:cstheme="minorBidi"/>
          <w:b/>
          <w:bCs/>
          <w:sz w:val="52"/>
          <w:szCs w:val="52"/>
          <w:u w:val="single"/>
          <w:rtl/>
        </w:rPr>
      </w:pPr>
      <w:r>
        <w:rPr>
          <w:rFonts w:asciiTheme="minorBidi" w:hAnsiTheme="minorBidi" w:cstheme="minorBidi"/>
          <w:b/>
          <w:bCs/>
          <w:sz w:val="52"/>
          <w:szCs w:val="52"/>
          <w:u w:val="single"/>
          <w:rtl/>
        </w:rPr>
        <w:t xml:space="preserve">מבקר המדינה </w:t>
      </w:r>
      <w:r w:rsidR="00AF5045">
        <w:rPr>
          <w:rFonts w:asciiTheme="minorBidi" w:hAnsiTheme="minorBidi" w:cstheme="minorBidi" w:hint="cs"/>
          <w:b/>
          <w:bCs/>
          <w:sz w:val="52"/>
          <w:szCs w:val="52"/>
          <w:u w:val="single"/>
          <w:rtl/>
        </w:rPr>
        <w:t>מ</w:t>
      </w:r>
      <w:r>
        <w:rPr>
          <w:rFonts w:asciiTheme="minorBidi" w:hAnsiTheme="minorBidi" w:cstheme="minorBidi"/>
          <w:b/>
          <w:bCs/>
          <w:sz w:val="52"/>
          <w:szCs w:val="52"/>
          <w:u w:val="single"/>
          <w:rtl/>
        </w:rPr>
        <w:t xml:space="preserve">פרסם לציבור </w:t>
      </w:r>
      <w:r>
        <w:rPr>
          <w:rFonts w:asciiTheme="minorBidi" w:hAnsiTheme="minorBidi" w:cstheme="minorBidi" w:hint="cs"/>
          <w:b/>
          <w:bCs/>
          <w:sz w:val="52"/>
          <w:szCs w:val="52"/>
          <w:u w:val="single"/>
          <w:rtl/>
        </w:rPr>
        <w:t xml:space="preserve">דוח  בנושאים </w:t>
      </w:r>
      <w:r w:rsidR="00CF24F7">
        <w:rPr>
          <w:rFonts w:asciiTheme="minorBidi" w:hAnsiTheme="minorBidi" w:cstheme="minorBidi" w:hint="cs"/>
          <w:b/>
          <w:bCs/>
          <w:sz w:val="52"/>
          <w:szCs w:val="52"/>
          <w:u w:val="single"/>
          <w:rtl/>
        </w:rPr>
        <w:t>כלכליים</w:t>
      </w:r>
      <w:r>
        <w:rPr>
          <w:rFonts w:asciiTheme="minorBidi" w:hAnsiTheme="minorBidi" w:cstheme="minorBidi" w:hint="cs"/>
          <w:b/>
          <w:bCs/>
          <w:sz w:val="52"/>
          <w:szCs w:val="52"/>
          <w:u w:val="single"/>
          <w:rtl/>
        </w:rPr>
        <w:t xml:space="preserve"> ובנושאים אחרים</w:t>
      </w:r>
      <w:r>
        <w:rPr>
          <w:rFonts w:asciiTheme="minorBidi" w:hAnsiTheme="minorBidi" w:cstheme="minorBidi"/>
          <w:b/>
          <w:bCs/>
          <w:sz w:val="52"/>
          <w:szCs w:val="52"/>
          <w:u w:val="single"/>
          <w:rtl/>
        </w:rPr>
        <w:t xml:space="preserve"> </w:t>
      </w:r>
    </w:p>
    <w:p w14:paraId="05AD9505" w14:textId="77777777" w:rsidR="00FD6CC9" w:rsidRPr="004516D7" w:rsidRDefault="00FD6CC9" w:rsidP="00FD6CC9">
      <w:pPr>
        <w:spacing w:after="120" w:line="240" w:lineRule="auto"/>
        <w:jc w:val="center"/>
        <w:rPr>
          <w:rFonts w:asciiTheme="minorBidi" w:hAnsiTheme="minorBidi" w:cstheme="minorBidi"/>
          <w:b/>
          <w:bCs/>
          <w:sz w:val="32"/>
          <w:szCs w:val="32"/>
          <w:u w:val="single"/>
          <w:rtl/>
        </w:rPr>
      </w:pPr>
    </w:p>
    <w:p w14:paraId="6F3A9D95" w14:textId="77777777" w:rsidR="00FD6CC9" w:rsidRPr="004516D7" w:rsidRDefault="00000000" w:rsidP="00FD6CC9">
      <w:pPr>
        <w:spacing w:after="120" w:line="240" w:lineRule="auto"/>
        <w:jc w:val="center"/>
        <w:rPr>
          <w:rFonts w:asciiTheme="minorBidi" w:hAnsiTheme="minorBidi" w:cstheme="minorBidi"/>
          <w:b/>
          <w:bCs/>
          <w:sz w:val="32"/>
          <w:szCs w:val="32"/>
          <w:u w:val="single"/>
          <w:rtl/>
        </w:rPr>
      </w:pPr>
      <w:r w:rsidRPr="004516D7">
        <w:rPr>
          <w:rFonts w:asciiTheme="minorBidi" w:hAnsiTheme="minorBidi" w:cstheme="minorBidi" w:hint="eastAsia"/>
          <w:b/>
          <w:bCs/>
          <w:sz w:val="32"/>
          <w:szCs w:val="32"/>
          <w:u w:val="single"/>
          <w:rtl/>
        </w:rPr>
        <w:t>מבקר</w:t>
      </w:r>
      <w:r w:rsidRPr="004516D7">
        <w:rPr>
          <w:rFonts w:asciiTheme="minorBidi" w:hAnsiTheme="minorBidi" w:cstheme="minorBidi"/>
          <w:b/>
          <w:bCs/>
          <w:sz w:val="32"/>
          <w:szCs w:val="32"/>
          <w:u w:val="single"/>
          <w:rtl/>
        </w:rPr>
        <w:t xml:space="preserve"> המדינה מתניהו אנגלמן:</w:t>
      </w:r>
      <w:r w:rsidRPr="004516D7">
        <w:rPr>
          <w:rFonts w:asciiTheme="minorBidi" w:hAnsiTheme="minorBidi" w:cstheme="minorBidi" w:hint="cs"/>
          <w:b/>
          <w:bCs/>
          <w:sz w:val="32"/>
          <w:szCs w:val="32"/>
          <w:u w:val="single"/>
          <w:rtl/>
        </w:rPr>
        <w:t xml:space="preserve"> </w:t>
      </w:r>
    </w:p>
    <w:p w14:paraId="36BC42E2" w14:textId="77777777" w:rsidR="00FD6CC9" w:rsidRDefault="00FD6CC9" w:rsidP="00FD6CC9">
      <w:pPr>
        <w:spacing w:after="120" w:line="240" w:lineRule="auto"/>
        <w:jc w:val="center"/>
        <w:rPr>
          <w:rFonts w:asciiTheme="minorBidi" w:hAnsiTheme="minorBidi" w:cstheme="minorBidi"/>
          <w:b/>
          <w:bCs/>
          <w:sz w:val="28"/>
          <w:szCs w:val="28"/>
          <w:u w:val="single"/>
          <w:rtl/>
        </w:rPr>
      </w:pPr>
    </w:p>
    <w:p w14:paraId="6F5EA55A" w14:textId="77777777" w:rsidR="00FD6CC9" w:rsidRPr="001424CF" w:rsidRDefault="00000000" w:rsidP="00FD6CC9">
      <w:pPr>
        <w:rPr>
          <w:rFonts w:ascii="Arial" w:hAnsi="Arial" w:cs="Arial"/>
          <w:b/>
          <w:bCs/>
          <w:sz w:val="28"/>
          <w:szCs w:val="28"/>
          <w:rtl/>
        </w:rPr>
      </w:pPr>
      <w:r w:rsidRPr="001424CF">
        <w:rPr>
          <w:rFonts w:ascii="Arial" w:hAnsi="Arial" w:cs="Arial" w:hint="cs"/>
          <w:b/>
          <w:bCs/>
          <w:color w:val="FF0000"/>
          <w:sz w:val="28"/>
          <w:szCs w:val="28"/>
          <w:rtl/>
        </w:rPr>
        <w:t xml:space="preserve">על יוקר המחיה: </w:t>
      </w:r>
      <w:r w:rsidRPr="001424CF">
        <w:rPr>
          <w:rFonts w:ascii="Arial" w:hAnsi="Arial" w:cs="Arial"/>
          <w:b/>
          <w:bCs/>
          <w:sz w:val="28"/>
          <w:szCs w:val="28"/>
          <w:rtl/>
        </w:rPr>
        <w:t>"</w:t>
      </w:r>
      <w:r w:rsidR="00220459" w:rsidRPr="001424CF">
        <w:rPr>
          <w:rFonts w:asciiTheme="minorBidi" w:eastAsiaTheme="minorHAnsi" w:hAnsiTheme="minorBidi" w:cstheme="minorBidi"/>
          <w:b/>
          <w:bCs/>
          <w:sz w:val="28"/>
          <w:szCs w:val="28"/>
          <w:rtl/>
        </w:rPr>
        <w:t>מדינת ישראל מתאפיינת בריכוזיות גבוהה בתחום המזון</w:t>
      </w:r>
      <w:r w:rsidR="00220459" w:rsidRPr="001424CF">
        <w:rPr>
          <w:rFonts w:asciiTheme="minorBidi" w:eastAsiaTheme="minorHAnsi" w:hAnsiTheme="minorBidi" w:cstheme="minorBidi"/>
          <w:sz w:val="28"/>
          <w:szCs w:val="28"/>
          <w:rtl/>
        </w:rPr>
        <w:t xml:space="preserve">. </w:t>
      </w:r>
      <w:r w:rsidR="00220459" w:rsidRPr="001424CF">
        <w:rPr>
          <w:rFonts w:asciiTheme="minorBidi" w:eastAsiaTheme="minorHAnsi" w:hAnsiTheme="minorBidi" w:cstheme="minorBidi"/>
          <w:b/>
          <w:bCs/>
          <w:sz w:val="28"/>
          <w:szCs w:val="28"/>
          <w:rtl/>
        </w:rPr>
        <w:t xml:space="preserve">אין לקבל את חוסר המעש של גורמי הממשלה </w:t>
      </w:r>
      <w:r w:rsidR="00E406E2" w:rsidRPr="001424CF">
        <w:rPr>
          <w:rFonts w:asciiTheme="minorBidi" w:hAnsiTheme="minorBidi" w:cstheme="minorBidi"/>
          <w:b/>
          <w:bCs/>
          <w:sz w:val="28"/>
          <w:szCs w:val="28"/>
          <w:rtl/>
        </w:rPr>
        <w:t>בעניין הריכוזיות בענף המזון.</w:t>
      </w:r>
      <w:r w:rsidR="00E406E2" w:rsidRPr="001424CF">
        <w:rPr>
          <w:rFonts w:ascii="Arial" w:hAnsi="Arial" w:cs="Arial" w:hint="cs"/>
          <w:b/>
          <w:bCs/>
          <w:sz w:val="28"/>
          <w:szCs w:val="28"/>
          <w:rtl/>
        </w:rPr>
        <w:t xml:space="preserve"> יש לכך השלכה על יוקר המחיה. </w:t>
      </w:r>
      <w:r w:rsidR="00220459" w:rsidRPr="001424CF">
        <w:rPr>
          <w:rFonts w:ascii="Arial" w:hAnsi="Arial" w:cs="Arial" w:hint="cs"/>
          <w:b/>
          <w:bCs/>
          <w:sz w:val="28"/>
          <w:szCs w:val="28"/>
          <w:rtl/>
        </w:rPr>
        <w:t>בשנה החולפת חווינו התייקרויות ואזרחי</w:t>
      </w:r>
      <w:r w:rsidR="00E406E2" w:rsidRPr="001424CF">
        <w:rPr>
          <w:rFonts w:ascii="Arial" w:hAnsi="Arial" w:cs="Arial" w:hint="cs"/>
          <w:b/>
          <w:bCs/>
          <w:sz w:val="28"/>
          <w:szCs w:val="28"/>
          <w:rtl/>
        </w:rPr>
        <w:t xml:space="preserve"> ישראל נאנקים תחת יוקר המחיה</w:t>
      </w:r>
      <w:r w:rsidR="00220459" w:rsidRPr="001424CF">
        <w:rPr>
          <w:rFonts w:ascii="Arial" w:hAnsi="Arial" w:cs="Arial" w:hint="cs"/>
          <w:b/>
          <w:bCs/>
          <w:sz w:val="28"/>
          <w:szCs w:val="28"/>
          <w:rtl/>
        </w:rPr>
        <w:t xml:space="preserve">. </w:t>
      </w:r>
      <w:r w:rsidR="006A6D5D" w:rsidRPr="001424CF">
        <w:rPr>
          <w:rFonts w:ascii="Arial" w:hAnsi="Arial" w:cs="Arial" w:hint="cs"/>
          <w:b/>
          <w:bCs/>
          <w:sz w:val="28"/>
          <w:szCs w:val="28"/>
          <w:rtl/>
        </w:rPr>
        <w:t>על ראש הממשלה והשרים להיאבק ביוקר המחיה</w:t>
      </w:r>
      <w:r w:rsidRPr="001424CF">
        <w:rPr>
          <w:rFonts w:ascii="Arial" w:hAnsi="Arial" w:cs="Arial" w:hint="cs"/>
          <w:b/>
          <w:bCs/>
          <w:sz w:val="28"/>
          <w:szCs w:val="28"/>
          <w:rtl/>
        </w:rPr>
        <w:t>"</w:t>
      </w:r>
      <w:r w:rsidR="006A6D5D" w:rsidRPr="001424CF">
        <w:rPr>
          <w:rFonts w:ascii="Arial" w:hAnsi="Arial" w:cs="Arial" w:hint="cs"/>
          <w:b/>
          <w:bCs/>
          <w:sz w:val="28"/>
          <w:szCs w:val="28"/>
          <w:rtl/>
        </w:rPr>
        <w:t>.</w:t>
      </w:r>
    </w:p>
    <w:p w14:paraId="1CFA51F4" w14:textId="77777777" w:rsidR="00DF069B" w:rsidRPr="001424CF" w:rsidRDefault="00DF069B" w:rsidP="00FD6CC9">
      <w:pPr>
        <w:rPr>
          <w:rFonts w:ascii="Arial" w:hAnsi="Arial" w:cs="Arial"/>
          <w:b/>
          <w:bCs/>
          <w:sz w:val="28"/>
          <w:szCs w:val="28"/>
          <w:rtl/>
        </w:rPr>
      </w:pPr>
    </w:p>
    <w:p w14:paraId="4A26B29D" w14:textId="77777777" w:rsidR="00DF069B" w:rsidRPr="001424CF" w:rsidRDefault="00000000" w:rsidP="00FD6CC9">
      <w:pPr>
        <w:rPr>
          <w:rFonts w:ascii="Arial" w:hAnsi="Arial" w:cs="Arial"/>
          <w:b/>
          <w:bCs/>
          <w:sz w:val="28"/>
          <w:szCs w:val="28"/>
          <w:rtl/>
        </w:rPr>
      </w:pPr>
      <w:r w:rsidRPr="001424CF">
        <w:rPr>
          <w:rFonts w:ascii="Arial" w:hAnsi="Arial" w:cs="Arial" w:hint="cs"/>
          <w:b/>
          <w:bCs/>
          <w:color w:val="FF0000"/>
          <w:sz w:val="28"/>
          <w:szCs w:val="28"/>
          <w:rtl/>
        </w:rPr>
        <w:t xml:space="preserve">על מיסוי מטבעות דיגיטליים: </w:t>
      </w:r>
      <w:r w:rsidRPr="001424CF">
        <w:rPr>
          <w:rFonts w:ascii="Arial" w:hAnsi="Arial" w:cs="Arial" w:hint="cs"/>
          <w:b/>
          <w:bCs/>
          <w:sz w:val="28"/>
          <w:szCs w:val="28"/>
          <w:rtl/>
        </w:rPr>
        <w:t>"</w:t>
      </w:r>
      <w:r w:rsidR="006A6D5D" w:rsidRPr="001424CF">
        <w:rPr>
          <w:rFonts w:ascii="Arial" w:hAnsi="Arial" w:cs="Arial" w:hint="cs"/>
          <w:b/>
          <w:bCs/>
          <w:sz w:val="28"/>
          <w:szCs w:val="28"/>
          <w:rtl/>
        </w:rPr>
        <w:t xml:space="preserve">פוטנציאל </w:t>
      </w:r>
      <w:r w:rsidRPr="001424CF">
        <w:rPr>
          <w:rFonts w:ascii="Arial" w:hAnsi="Arial" w:cs="Arial" w:hint="cs"/>
          <w:b/>
          <w:bCs/>
          <w:sz w:val="28"/>
          <w:szCs w:val="28"/>
          <w:rtl/>
        </w:rPr>
        <w:t xml:space="preserve">המיסוי על הקריפטו יכול להגיע לעד 3 מיליארד שקלים. </w:t>
      </w:r>
      <w:r w:rsidR="006A6D5D" w:rsidRPr="001424CF">
        <w:rPr>
          <w:rFonts w:ascii="Arial" w:hAnsi="Arial" w:cs="Arial" w:hint="cs"/>
          <w:b/>
          <w:bCs/>
          <w:sz w:val="28"/>
          <w:szCs w:val="28"/>
          <w:rtl/>
        </w:rPr>
        <w:t xml:space="preserve">ועם זאת שיעור המדווחים לרשות המיסים הינו אפסי - 500 מתוך היקף מינימלי של 200,000 מחזיקי קריפטו. בפרט בצל התמשכות המלחמה ועלויותיה הנכרות למשק - שר האוצר ורשות המיסים חייבים לפעול לגביית מס בתחום הקריפטו, עוד </w:t>
      </w:r>
      <w:r w:rsidRPr="001424CF">
        <w:rPr>
          <w:rFonts w:ascii="Arial" w:hAnsi="Arial" w:cs="Arial" w:hint="cs"/>
          <w:b/>
          <w:bCs/>
          <w:sz w:val="28"/>
          <w:szCs w:val="28"/>
          <w:rtl/>
        </w:rPr>
        <w:t>טרם העלא</w:t>
      </w:r>
      <w:r w:rsidR="006A6D5D" w:rsidRPr="001424CF">
        <w:rPr>
          <w:rFonts w:ascii="Arial" w:hAnsi="Arial" w:cs="Arial" w:hint="cs"/>
          <w:b/>
          <w:bCs/>
          <w:sz w:val="28"/>
          <w:szCs w:val="28"/>
          <w:rtl/>
        </w:rPr>
        <w:t>ו</w:t>
      </w:r>
      <w:r w:rsidRPr="001424CF">
        <w:rPr>
          <w:rFonts w:ascii="Arial" w:hAnsi="Arial" w:cs="Arial" w:hint="cs"/>
          <w:b/>
          <w:bCs/>
          <w:sz w:val="28"/>
          <w:szCs w:val="28"/>
          <w:rtl/>
        </w:rPr>
        <w:t>ת מסים על אזרחי ישראל".</w:t>
      </w:r>
    </w:p>
    <w:p w14:paraId="499F1AFC" w14:textId="77777777" w:rsidR="00D45993" w:rsidRPr="001424CF" w:rsidRDefault="00D45993" w:rsidP="00FD6CC9">
      <w:pPr>
        <w:rPr>
          <w:rFonts w:ascii="Arial" w:hAnsi="Arial" w:cs="Arial"/>
          <w:b/>
          <w:bCs/>
          <w:sz w:val="28"/>
          <w:szCs w:val="28"/>
          <w:rtl/>
        </w:rPr>
      </w:pPr>
    </w:p>
    <w:p w14:paraId="77DB093D" w14:textId="77777777" w:rsidR="00D45993" w:rsidRDefault="00000000" w:rsidP="00D45993">
      <w:pPr>
        <w:rPr>
          <w:rFonts w:ascii="Arial" w:hAnsi="Arial" w:cs="Arial"/>
          <w:b/>
          <w:bCs/>
          <w:sz w:val="28"/>
          <w:szCs w:val="28"/>
          <w:rtl/>
        </w:rPr>
      </w:pPr>
      <w:r w:rsidRPr="001424CF">
        <w:rPr>
          <w:rFonts w:ascii="Arial" w:hAnsi="Arial" w:cs="Arial" w:hint="cs"/>
          <w:b/>
          <w:bCs/>
          <w:color w:val="FF0000"/>
          <w:sz w:val="28"/>
          <w:szCs w:val="28"/>
          <w:rtl/>
        </w:rPr>
        <w:t xml:space="preserve">על המשרד לשת"פ אזורי: </w:t>
      </w:r>
      <w:r w:rsidRPr="001424CF">
        <w:rPr>
          <w:rFonts w:ascii="Arial" w:hAnsi="Arial" w:cs="Arial" w:hint="cs"/>
          <w:b/>
          <w:bCs/>
          <w:sz w:val="28"/>
          <w:szCs w:val="28"/>
          <w:rtl/>
        </w:rPr>
        <w:t>"</w:t>
      </w:r>
      <w:r w:rsidR="00C50AFF" w:rsidRPr="001424CF">
        <w:rPr>
          <w:rFonts w:asciiTheme="minorBidi" w:hAnsiTheme="minorBidi" w:cstheme="minorBidi"/>
          <w:b/>
          <w:bCs/>
          <w:sz w:val="28"/>
          <w:szCs w:val="28"/>
          <w:rtl/>
        </w:rPr>
        <w:t>מחד</w:t>
      </w:r>
      <w:r w:rsidR="001424CF" w:rsidRPr="001424CF">
        <w:rPr>
          <w:rFonts w:asciiTheme="minorBidi" w:hAnsiTheme="minorBidi" w:cstheme="minorBidi" w:hint="cs"/>
          <w:b/>
          <w:bCs/>
          <w:sz w:val="28"/>
          <w:szCs w:val="28"/>
          <w:rtl/>
        </w:rPr>
        <w:t>,</w:t>
      </w:r>
      <w:r w:rsidR="00C50AFF" w:rsidRPr="001424CF">
        <w:rPr>
          <w:rFonts w:asciiTheme="minorBidi" w:hAnsiTheme="minorBidi" w:cstheme="minorBidi"/>
          <w:b/>
          <w:bCs/>
          <w:sz w:val="28"/>
          <w:szCs w:val="28"/>
          <w:rtl/>
        </w:rPr>
        <w:t xml:space="preserve"> מרבית תקני המשרד מיועדים </w:t>
      </w:r>
      <w:r w:rsidR="006A6D5D" w:rsidRPr="001424CF">
        <w:rPr>
          <w:rFonts w:asciiTheme="minorBidi" w:hAnsiTheme="minorBidi" w:cstheme="minorBidi"/>
          <w:b/>
          <w:bCs/>
          <w:sz w:val="28"/>
          <w:szCs w:val="28"/>
          <w:rtl/>
        </w:rPr>
        <w:t>לעובדים במשרות אמון בלשכות השר והמנכ"ל</w:t>
      </w:r>
      <w:r w:rsidR="001424CF" w:rsidRPr="001424CF">
        <w:rPr>
          <w:rFonts w:asciiTheme="minorBidi" w:hAnsiTheme="minorBidi" w:cstheme="minorBidi" w:hint="cs"/>
          <w:b/>
          <w:bCs/>
          <w:sz w:val="28"/>
          <w:szCs w:val="28"/>
          <w:rtl/>
        </w:rPr>
        <w:t xml:space="preserve"> -</w:t>
      </w:r>
      <w:r w:rsidR="00C50AFF" w:rsidRPr="001424CF">
        <w:rPr>
          <w:rFonts w:asciiTheme="minorBidi" w:hAnsiTheme="minorBidi" w:cstheme="minorBidi"/>
          <w:b/>
          <w:bCs/>
          <w:sz w:val="28"/>
          <w:szCs w:val="28"/>
          <w:rtl/>
        </w:rPr>
        <w:t xml:space="preserve"> ומאידך</w:t>
      </w:r>
      <w:r w:rsidR="001424CF" w:rsidRPr="001424CF">
        <w:rPr>
          <w:rFonts w:asciiTheme="minorBidi" w:hAnsiTheme="minorBidi" w:cstheme="minorBidi" w:hint="cs"/>
          <w:b/>
          <w:bCs/>
          <w:sz w:val="28"/>
          <w:szCs w:val="28"/>
          <w:rtl/>
        </w:rPr>
        <w:t>,</w:t>
      </w:r>
      <w:r w:rsidR="00C50AFF" w:rsidRPr="001424CF">
        <w:rPr>
          <w:rFonts w:asciiTheme="minorBidi" w:hAnsiTheme="minorBidi" w:cstheme="minorBidi"/>
          <w:b/>
          <w:bCs/>
          <w:sz w:val="28"/>
          <w:szCs w:val="28"/>
          <w:rtl/>
        </w:rPr>
        <w:t xml:space="preserve"> מרבית ההשקעות של המשרד בפרויקטים ירדו לטמיון</w:t>
      </w:r>
      <w:r w:rsidR="006A6D5D" w:rsidRPr="001424CF">
        <w:rPr>
          <w:rFonts w:asciiTheme="minorBidi" w:hAnsiTheme="minorBidi" w:cstheme="minorBidi"/>
          <w:b/>
          <w:bCs/>
          <w:sz w:val="28"/>
          <w:szCs w:val="28"/>
          <w:rtl/>
        </w:rPr>
        <w:t xml:space="preserve">. על ראש הממשלה </w:t>
      </w:r>
      <w:r w:rsidR="00C50AFF" w:rsidRPr="001424CF">
        <w:rPr>
          <w:rFonts w:asciiTheme="minorBidi" w:hAnsiTheme="minorBidi" w:cstheme="minorBidi"/>
          <w:b/>
          <w:bCs/>
          <w:sz w:val="28"/>
          <w:szCs w:val="28"/>
          <w:rtl/>
        </w:rPr>
        <w:t>לבחון</w:t>
      </w:r>
      <w:r w:rsidR="006A6D5D" w:rsidRPr="001424CF">
        <w:rPr>
          <w:rFonts w:asciiTheme="minorBidi" w:hAnsiTheme="minorBidi" w:cstheme="minorBidi"/>
          <w:b/>
          <w:bCs/>
          <w:sz w:val="28"/>
          <w:szCs w:val="28"/>
          <w:rtl/>
        </w:rPr>
        <w:t xml:space="preserve"> את נחיצותו של המשרד</w:t>
      </w:r>
      <w:r w:rsidR="00C50AFF" w:rsidRPr="001424CF">
        <w:rPr>
          <w:rFonts w:ascii="Arial" w:hAnsi="Arial" w:cs="Arial" w:hint="cs"/>
          <w:b/>
          <w:bCs/>
          <w:sz w:val="28"/>
          <w:szCs w:val="28"/>
          <w:rtl/>
        </w:rPr>
        <w:t>".</w:t>
      </w:r>
    </w:p>
    <w:p w14:paraId="28FE653E" w14:textId="77777777" w:rsidR="00A95D1A" w:rsidRPr="001424CF" w:rsidRDefault="00A95D1A" w:rsidP="00D45993">
      <w:pPr>
        <w:rPr>
          <w:rFonts w:ascii="Arial" w:hAnsi="Arial" w:cs="Arial"/>
          <w:b/>
          <w:bCs/>
          <w:sz w:val="28"/>
          <w:szCs w:val="28"/>
          <w:rtl/>
        </w:rPr>
      </w:pPr>
    </w:p>
    <w:p w14:paraId="427ECD92" w14:textId="77777777" w:rsidR="00D45993" w:rsidRPr="001424CF" w:rsidRDefault="00000000" w:rsidP="00D45993">
      <w:pPr>
        <w:rPr>
          <w:rFonts w:ascii="Arial" w:hAnsi="Arial" w:cs="Arial"/>
          <w:b/>
          <w:bCs/>
          <w:sz w:val="28"/>
          <w:szCs w:val="28"/>
          <w:rtl/>
        </w:rPr>
      </w:pPr>
      <w:r w:rsidRPr="001424CF">
        <w:rPr>
          <w:rFonts w:ascii="Arial" w:hAnsi="Arial" w:cs="Arial" w:hint="cs"/>
          <w:b/>
          <w:bCs/>
          <w:color w:val="FF0000"/>
          <w:sz w:val="28"/>
          <w:szCs w:val="28"/>
          <w:rtl/>
        </w:rPr>
        <w:lastRenderedPageBreak/>
        <w:t xml:space="preserve">על </w:t>
      </w:r>
      <w:r w:rsidR="00C50AFF" w:rsidRPr="001424CF">
        <w:rPr>
          <w:rFonts w:ascii="Arial" w:hAnsi="Arial" w:cs="Arial" w:hint="cs"/>
          <w:b/>
          <w:bCs/>
          <w:color w:val="FF0000"/>
          <w:sz w:val="28"/>
          <w:szCs w:val="28"/>
          <w:rtl/>
        </w:rPr>
        <w:t>הפיקוח על מתפילי המים</w:t>
      </w:r>
      <w:r w:rsidRPr="001424CF">
        <w:rPr>
          <w:rFonts w:ascii="Arial" w:hAnsi="Arial" w:cs="Arial" w:hint="cs"/>
          <w:b/>
          <w:bCs/>
          <w:color w:val="FF0000"/>
          <w:sz w:val="28"/>
          <w:szCs w:val="28"/>
          <w:rtl/>
        </w:rPr>
        <w:t xml:space="preserve">: </w:t>
      </w:r>
      <w:r w:rsidRPr="001424CF">
        <w:rPr>
          <w:rFonts w:ascii="Arial" w:hAnsi="Arial" w:cs="Arial" w:hint="cs"/>
          <w:b/>
          <w:bCs/>
          <w:sz w:val="28"/>
          <w:szCs w:val="28"/>
          <w:rtl/>
        </w:rPr>
        <w:t>"לא מתקבל על הדעת שבמדינת ישראל ב</w:t>
      </w:r>
      <w:r w:rsidR="00C50AFF" w:rsidRPr="001424CF">
        <w:rPr>
          <w:rFonts w:ascii="Arial" w:hAnsi="Arial" w:cs="Arial" w:hint="cs"/>
          <w:b/>
          <w:bCs/>
          <w:sz w:val="28"/>
          <w:szCs w:val="28"/>
          <w:rtl/>
        </w:rPr>
        <w:t>-</w:t>
      </w:r>
      <w:r w:rsidRPr="001424CF">
        <w:rPr>
          <w:rFonts w:ascii="Arial" w:hAnsi="Arial" w:cs="Arial" w:hint="cs"/>
          <w:b/>
          <w:bCs/>
          <w:sz w:val="28"/>
          <w:szCs w:val="28"/>
          <w:rtl/>
        </w:rPr>
        <w:t>2024</w:t>
      </w:r>
      <w:r w:rsidR="001424CF" w:rsidRPr="001424CF">
        <w:rPr>
          <w:rFonts w:ascii="Arial" w:hAnsi="Arial" w:cs="Arial" w:hint="cs"/>
          <w:b/>
          <w:bCs/>
          <w:sz w:val="28"/>
          <w:szCs w:val="28"/>
          <w:rtl/>
        </w:rPr>
        <w:t>,</w:t>
      </w:r>
      <w:r w:rsidRPr="001424CF">
        <w:rPr>
          <w:rFonts w:ascii="Arial" w:hAnsi="Arial" w:cs="Arial" w:hint="cs"/>
          <w:b/>
          <w:bCs/>
          <w:sz w:val="28"/>
          <w:szCs w:val="28"/>
          <w:rtl/>
        </w:rPr>
        <w:t xml:space="preserve"> </w:t>
      </w:r>
      <w:r w:rsidR="00C50AFF" w:rsidRPr="001424CF">
        <w:rPr>
          <w:rFonts w:ascii="Arial" w:hAnsi="Arial" w:cs="Arial" w:hint="cs"/>
          <w:b/>
          <w:bCs/>
          <w:sz w:val="28"/>
          <w:szCs w:val="28"/>
          <w:rtl/>
        </w:rPr>
        <w:t xml:space="preserve">לאחר שנמצאו תופעות של </w:t>
      </w:r>
      <w:r w:rsidRPr="001424CF">
        <w:rPr>
          <w:rFonts w:ascii="Arial" w:hAnsi="Arial" w:cs="Arial" w:hint="cs"/>
          <w:b/>
          <w:bCs/>
          <w:sz w:val="28"/>
          <w:szCs w:val="28"/>
          <w:rtl/>
        </w:rPr>
        <w:t>עכירות במים ולשלשת ציפורים</w:t>
      </w:r>
      <w:r w:rsidR="001424CF" w:rsidRPr="001424CF">
        <w:rPr>
          <w:rFonts w:ascii="Arial" w:hAnsi="Arial" w:cs="Arial" w:hint="cs"/>
          <w:b/>
          <w:bCs/>
          <w:sz w:val="28"/>
          <w:szCs w:val="28"/>
          <w:rtl/>
        </w:rPr>
        <w:t>,</w:t>
      </w:r>
      <w:r w:rsidR="00C50AFF" w:rsidRPr="001424CF">
        <w:rPr>
          <w:rFonts w:ascii="Arial" w:hAnsi="Arial" w:cs="Arial" w:hint="cs"/>
          <w:b/>
          <w:bCs/>
          <w:sz w:val="28"/>
          <w:szCs w:val="28"/>
          <w:rtl/>
        </w:rPr>
        <w:t xml:space="preserve"> </w:t>
      </w:r>
      <w:r w:rsidRPr="001424CF">
        <w:rPr>
          <w:rFonts w:ascii="Arial" w:hAnsi="Arial" w:cs="Arial" w:hint="cs"/>
          <w:b/>
          <w:bCs/>
          <w:sz w:val="28"/>
          <w:szCs w:val="28"/>
          <w:rtl/>
        </w:rPr>
        <w:t xml:space="preserve">המפעילים אינם נקנסים </w:t>
      </w:r>
      <w:r w:rsidR="00C50AFF" w:rsidRPr="001424CF">
        <w:rPr>
          <w:rFonts w:ascii="Arial" w:hAnsi="Arial" w:cs="Arial" w:hint="cs"/>
          <w:b/>
          <w:bCs/>
          <w:sz w:val="28"/>
          <w:szCs w:val="28"/>
          <w:rtl/>
        </w:rPr>
        <w:t>ע"י משרד הבריאות</w:t>
      </w:r>
      <w:r w:rsidRPr="001424CF">
        <w:rPr>
          <w:rFonts w:ascii="Arial" w:hAnsi="Arial" w:cs="Arial" w:hint="cs"/>
          <w:b/>
          <w:bCs/>
          <w:sz w:val="28"/>
          <w:szCs w:val="28"/>
          <w:rtl/>
        </w:rPr>
        <w:t>"</w:t>
      </w:r>
      <w:r w:rsidR="001424CF" w:rsidRPr="001424CF">
        <w:rPr>
          <w:rFonts w:ascii="Arial" w:hAnsi="Arial" w:cs="Arial" w:hint="cs"/>
          <w:b/>
          <w:bCs/>
          <w:sz w:val="28"/>
          <w:szCs w:val="28"/>
          <w:rtl/>
        </w:rPr>
        <w:t>.</w:t>
      </w:r>
    </w:p>
    <w:p w14:paraId="15A12FE9" w14:textId="77777777" w:rsidR="00D45993" w:rsidRPr="001424CF" w:rsidRDefault="00D45993" w:rsidP="00D45993">
      <w:pPr>
        <w:rPr>
          <w:rFonts w:ascii="Arial" w:hAnsi="Arial" w:cs="Arial"/>
          <w:b/>
          <w:bCs/>
          <w:color w:val="FF0000"/>
          <w:sz w:val="28"/>
          <w:szCs w:val="28"/>
          <w:rtl/>
        </w:rPr>
      </w:pPr>
    </w:p>
    <w:p w14:paraId="63B7B743" w14:textId="77777777" w:rsidR="00D45993" w:rsidRPr="001424CF" w:rsidRDefault="00000000" w:rsidP="00D45993">
      <w:pPr>
        <w:rPr>
          <w:rFonts w:ascii="Arial" w:hAnsi="Arial" w:cs="Arial"/>
          <w:b/>
          <w:bCs/>
          <w:sz w:val="28"/>
          <w:szCs w:val="28"/>
          <w:rtl/>
        </w:rPr>
      </w:pPr>
      <w:r w:rsidRPr="001424CF">
        <w:rPr>
          <w:rFonts w:ascii="Arial" w:hAnsi="Arial" w:cs="Arial" w:hint="cs"/>
          <w:b/>
          <w:bCs/>
          <w:color w:val="FF0000"/>
          <w:sz w:val="28"/>
          <w:szCs w:val="28"/>
          <w:rtl/>
        </w:rPr>
        <w:t xml:space="preserve">על משק החשמל: </w:t>
      </w:r>
      <w:r w:rsidRPr="001424CF">
        <w:rPr>
          <w:rFonts w:ascii="Arial" w:hAnsi="Arial" w:cs="Arial" w:hint="cs"/>
          <w:b/>
          <w:bCs/>
          <w:sz w:val="28"/>
          <w:szCs w:val="28"/>
          <w:rtl/>
        </w:rPr>
        <w:t>"ממשלת ישראל אינה נערכת מספיק לנזקים שעלולים להיגרם למשק בגין עיכובים בהקמת יחידות ייצור ומתקני אגירה"</w:t>
      </w:r>
      <w:r w:rsidR="001424CF" w:rsidRPr="001424CF">
        <w:rPr>
          <w:rFonts w:ascii="Arial" w:hAnsi="Arial" w:cs="Arial" w:hint="cs"/>
          <w:b/>
          <w:bCs/>
          <w:sz w:val="28"/>
          <w:szCs w:val="28"/>
          <w:rtl/>
        </w:rPr>
        <w:t>.</w:t>
      </w:r>
    </w:p>
    <w:p w14:paraId="19FE7955" w14:textId="77777777" w:rsidR="00D45993" w:rsidRPr="001424CF" w:rsidRDefault="00D45993" w:rsidP="00D45993">
      <w:pPr>
        <w:rPr>
          <w:rFonts w:ascii="Arial" w:hAnsi="Arial" w:cs="Arial"/>
          <w:b/>
          <w:bCs/>
          <w:sz w:val="28"/>
          <w:szCs w:val="28"/>
          <w:rtl/>
        </w:rPr>
      </w:pPr>
    </w:p>
    <w:p w14:paraId="52816C3F" w14:textId="77777777" w:rsidR="00D45993" w:rsidRPr="001424CF" w:rsidRDefault="00000000" w:rsidP="00D45993">
      <w:pPr>
        <w:rPr>
          <w:rFonts w:ascii="Arial" w:hAnsi="Arial" w:cs="Arial"/>
          <w:b/>
          <w:bCs/>
          <w:sz w:val="28"/>
          <w:szCs w:val="28"/>
          <w:rtl/>
        </w:rPr>
      </w:pPr>
      <w:r w:rsidRPr="001424CF">
        <w:rPr>
          <w:rFonts w:ascii="Arial" w:hAnsi="Arial" w:cs="Arial" w:hint="cs"/>
          <w:b/>
          <w:bCs/>
          <w:color w:val="FF0000"/>
          <w:sz w:val="28"/>
          <w:szCs w:val="28"/>
          <w:rtl/>
        </w:rPr>
        <w:t xml:space="preserve">על כבישי האגרה: </w:t>
      </w:r>
      <w:r w:rsidRPr="001424CF">
        <w:rPr>
          <w:rFonts w:ascii="Arial" w:hAnsi="Arial" w:cs="Arial" w:hint="cs"/>
          <w:b/>
          <w:bCs/>
          <w:sz w:val="28"/>
          <w:szCs w:val="28"/>
          <w:rtl/>
        </w:rPr>
        <w:t>"</w:t>
      </w:r>
      <w:r w:rsidR="00C50AFF" w:rsidRPr="001424CF">
        <w:rPr>
          <w:rFonts w:ascii="Arial" w:hAnsi="Arial" w:cs="Arial" w:hint="cs"/>
          <w:b/>
          <w:bCs/>
          <w:sz w:val="28"/>
          <w:szCs w:val="28"/>
          <w:rtl/>
        </w:rPr>
        <w:t>אין כל הגיון בסרבול שנוצר כתוצאה מכך שאזרחי ישראל נדרשים לשלם ל- 3 מפעילי כבישי אגרה בנפרד. הדבר מביא לצבירת חובות ולחיובי ריבית מיותרים</w:t>
      </w:r>
      <w:r w:rsidRPr="001424CF">
        <w:rPr>
          <w:rFonts w:ascii="Arial" w:hAnsi="Arial" w:cs="Arial" w:hint="cs"/>
          <w:b/>
          <w:bCs/>
          <w:sz w:val="28"/>
          <w:szCs w:val="28"/>
          <w:rtl/>
        </w:rPr>
        <w:t>"</w:t>
      </w:r>
      <w:r w:rsidR="001424CF" w:rsidRPr="001424CF">
        <w:rPr>
          <w:rFonts w:ascii="Arial" w:hAnsi="Arial" w:cs="Arial" w:hint="cs"/>
          <w:b/>
          <w:bCs/>
          <w:sz w:val="28"/>
          <w:szCs w:val="28"/>
          <w:rtl/>
        </w:rPr>
        <w:t>.</w:t>
      </w:r>
    </w:p>
    <w:p w14:paraId="4A2299D5" w14:textId="77777777" w:rsidR="00D45993" w:rsidRDefault="00D45993" w:rsidP="00FD6CC9">
      <w:pPr>
        <w:rPr>
          <w:rFonts w:ascii="Arial" w:hAnsi="Arial" w:cs="Arial"/>
          <w:b/>
          <w:bCs/>
          <w:sz w:val="32"/>
          <w:szCs w:val="32"/>
          <w:rtl/>
        </w:rPr>
      </w:pPr>
    </w:p>
    <w:p w14:paraId="2C745E44" w14:textId="77777777" w:rsidR="001424CF" w:rsidRPr="001424CF" w:rsidRDefault="00000000" w:rsidP="001424CF">
      <w:pPr>
        <w:jc w:val="center"/>
        <w:rPr>
          <w:rFonts w:ascii="Arial" w:hAnsi="Arial" w:cs="Arial"/>
          <w:b/>
          <w:bCs/>
          <w:sz w:val="32"/>
          <w:szCs w:val="32"/>
          <w:u w:val="single"/>
        </w:rPr>
      </w:pPr>
      <w:r w:rsidRPr="001424CF">
        <w:rPr>
          <w:rFonts w:ascii="Arial" w:hAnsi="Arial" w:cs="Arial" w:hint="cs"/>
          <w:b/>
          <w:bCs/>
          <w:sz w:val="32"/>
          <w:szCs w:val="32"/>
          <w:u w:val="single"/>
          <w:rtl/>
        </w:rPr>
        <w:t>תוכן העניינים</w:t>
      </w:r>
    </w:p>
    <w:p w14:paraId="07512109" w14:textId="77777777" w:rsidR="00FD6CC9" w:rsidRDefault="00FD6CC9" w:rsidP="00FD6CC9">
      <w:pPr>
        <w:rPr>
          <w:rtl/>
        </w:rPr>
      </w:pPr>
    </w:p>
    <w:p w14:paraId="4E6D10F0" w14:textId="77777777" w:rsidR="001424CF" w:rsidRPr="00CA21DE" w:rsidRDefault="001424CF" w:rsidP="00FD6CC9">
      <w:pPr>
        <w:rPr>
          <w:rFonts w:cstheme="majorBidi"/>
          <w:b/>
          <w:sz w:val="16"/>
          <w:rtl/>
        </w:rPr>
      </w:pPr>
    </w:p>
    <w:p w14:paraId="492FA9A5" w14:textId="77777777" w:rsidR="00CA21DE" w:rsidRPr="00CA21DE" w:rsidRDefault="00000000">
      <w:pPr>
        <w:pStyle w:val="TOC1"/>
        <w:tabs>
          <w:tab w:val="right" w:leader="dot" w:pos="8211"/>
        </w:tabs>
        <w:rPr>
          <w:rFonts w:asciiTheme="minorHAnsi" w:eastAsiaTheme="minorEastAsia" w:hAnsiTheme="minorHAnsi" w:cstheme="majorBidi"/>
          <w:b/>
          <w:noProof/>
          <w:sz w:val="16"/>
          <w:szCs w:val="22"/>
          <w:rtl/>
        </w:rPr>
      </w:pPr>
      <w:r w:rsidRPr="00CA21DE">
        <w:rPr>
          <w:rFonts w:cstheme="majorBidi"/>
          <w:b/>
          <w:sz w:val="16"/>
          <w:rtl/>
        </w:rPr>
        <w:fldChar w:fldCharType="begin"/>
      </w:r>
      <w:r w:rsidRPr="00CA21DE">
        <w:rPr>
          <w:rFonts w:cstheme="majorBidi"/>
          <w:b/>
          <w:sz w:val="16"/>
          <w:rtl/>
        </w:rPr>
        <w:instrText xml:space="preserve"> </w:instrText>
      </w:r>
      <w:r w:rsidRPr="00CA21DE">
        <w:rPr>
          <w:rFonts w:cstheme="majorBidi"/>
          <w:b/>
          <w:sz w:val="16"/>
        </w:rPr>
        <w:instrText>TOC</w:instrText>
      </w:r>
      <w:r w:rsidRPr="00CA21DE">
        <w:rPr>
          <w:rFonts w:cstheme="majorBidi"/>
          <w:b/>
          <w:sz w:val="16"/>
          <w:rtl/>
        </w:rPr>
        <w:instrText xml:space="preserve"> \</w:instrText>
      </w:r>
      <w:r w:rsidRPr="00CA21DE">
        <w:rPr>
          <w:rFonts w:cstheme="majorBidi"/>
          <w:b/>
          <w:sz w:val="16"/>
        </w:rPr>
        <w:instrText>o "1-1" \h \z \u</w:instrText>
      </w:r>
      <w:r w:rsidRPr="00CA21DE">
        <w:rPr>
          <w:rFonts w:cstheme="majorBidi"/>
          <w:b/>
          <w:sz w:val="16"/>
          <w:rtl/>
        </w:rPr>
        <w:instrText xml:space="preserve"> </w:instrText>
      </w:r>
      <w:r w:rsidRPr="00CA21DE">
        <w:rPr>
          <w:rFonts w:cstheme="majorBidi"/>
          <w:b/>
          <w:sz w:val="16"/>
          <w:rtl/>
        </w:rPr>
        <w:fldChar w:fldCharType="separate"/>
      </w:r>
      <w:hyperlink w:anchor="_Toc179710258" w:history="1">
        <w:r w:rsidR="00CA21DE" w:rsidRPr="00CA21DE">
          <w:rPr>
            <w:rStyle w:val="Hyperlink"/>
            <w:rFonts w:ascii="Tahoma" w:hAnsi="Tahoma" w:cstheme="majorBidi"/>
            <w:b/>
            <w:noProof/>
            <w:sz w:val="16"/>
            <w:rtl/>
          </w:rPr>
          <w:t>התמודדות המדינה עם הריכוזיות והמונופולין בענף המזון ומוצרי הצריכה</w:t>
        </w:r>
        <w:r w:rsidR="00CA21DE" w:rsidRPr="00CA21DE">
          <w:rPr>
            <w:rFonts w:cstheme="majorBidi"/>
            <w:b/>
            <w:noProof/>
            <w:webHidden/>
            <w:sz w:val="16"/>
            <w:rtl/>
          </w:rPr>
          <w:tab/>
        </w:r>
        <w:r w:rsidR="00CA21DE" w:rsidRPr="00CA21DE">
          <w:rPr>
            <w:rStyle w:val="Hyperlink"/>
            <w:rFonts w:cstheme="majorBidi"/>
            <w:b/>
            <w:noProof/>
            <w:sz w:val="16"/>
            <w:rtl/>
          </w:rPr>
          <w:fldChar w:fldCharType="begin"/>
        </w:r>
        <w:r w:rsidR="00CA21DE" w:rsidRPr="00CA21DE">
          <w:rPr>
            <w:rFonts w:cstheme="majorBidi"/>
            <w:b/>
            <w:noProof/>
            <w:webHidden/>
            <w:sz w:val="16"/>
            <w:rtl/>
          </w:rPr>
          <w:instrText xml:space="preserve"> </w:instrText>
        </w:r>
        <w:r w:rsidR="00CA21DE" w:rsidRPr="00CA21DE">
          <w:rPr>
            <w:rFonts w:cstheme="majorBidi"/>
            <w:b/>
            <w:noProof/>
            <w:webHidden/>
            <w:sz w:val="16"/>
          </w:rPr>
          <w:instrText>PAGEREF</w:instrText>
        </w:r>
        <w:r w:rsidR="00CA21DE" w:rsidRPr="00CA21DE">
          <w:rPr>
            <w:rFonts w:cstheme="majorBidi"/>
            <w:b/>
            <w:noProof/>
            <w:webHidden/>
            <w:sz w:val="16"/>
            <w:rtl/>
          </w:rPr>
          <w:instrText xml:space="preserve"> _</w:instrText>
        </w:r>
        <w:r w:rsidR="00CA21DE" w:rsidRPr="00CA21DE">
          <w:rPr>
            <w:rFonts w:cstheme="majorBidi"/>
            <w:b/>
            <w:noProof/>
            <w:webHidden/>
            <w:sz w:val="16"/>
          </w:rPr>
          <w:instrText>Toc179710258 \h</w:instrText>
        </w:r>
        <w:r w:rsidR="00CA21DE" w:rsidRPr="00CA21DE">
          <w:rPr>
            <w:rFonts w:cstheme="majorBidi"/>
            <w:b/>
            <w:noProof/>
            <w:webHidden/>
            <w:sz w:val="16"/>
            <w:rtl/>
          </w:rPr>
          <w:instrText xml:space="preserve"> </w:instrText>
        </w:r>
        <w:r w:rsidR="00CA21DE" w:rsidRPr="00CA21DE">
          <w:rPr>
            <w:rStyle w:val="Hyperlink"/>
            <w:rFonts w:cstheme="majorBidi"/>
            <w:b/>
            <w:noProof/>
            <w:sz w:val="16"/>
            <w:rtl/>
          </w:rPr>
        </w:r>
        <w:r w:rsidR="00CA21DE" w:rsidRPr="00CA21DE">
          <w:rPr>
            <w:rStyle w:val="Hyperlink"/>
            <w:rFonts w:cstheme="majorBidi"/>
            <w:b/>
            <w:noProof/>
            <w:sz w:val="16"/>
            <w:rtl/>
          </w:rPr>
          <w:fldChar w:fldCharType="separate"/>
        </w:r>
        <w:r w:rsidR="00CA21DE" w:rsidRPr="00CA21DE">
          <w:rPr>
            <w:rFonts w:cstheme="majorBidi"/>
            <w:b/>
            <w:noProof/>
            <w:webHidden/>
            <w:sz w:val="16"/>
            <w:rtl/>
          </w:rPr>
          <w:t>3</w:t>
        </w:r>
        <w:r w:rsidR="00CA21DE" w:rsidRPr="00CA21DE">
          <w:rPr>
            <w:rStyle w:val="Hyperlink"/>
            <w:rFonts w:cstheme="majorBidi"/>
            <w:b/>
            <w:noProof/>
            <w:sz w:val="16"/>
            <w:rtl/>
          </w:rPr>
          <w:fldChar w:fldCharType="end"/>
        </w:r>
      </w:hyperlink>
    </w:p>
    <w:p w14:paraId="448BEC58"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59" w:history="1">
        <w:r w:rsidRPr="00CA21DE">
          <w:rPr>
            <w:rStyle w:val="Hyperlink"/>
            <w:rFonts w:ascii="Tahoma" w:hAnsi="Tahoma" w:cstheme="majorBidi"/>
            <w:b/>
            <w:noProof/>
            <w:sz w:val="16"/>
            <w:rtl/>
          </w:rPr>
          <w:t>מיסוי מטבעות דיגיטליים</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Toc179710259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8</w:t>
        </w:r>
        <w:r w:rsidRPr="00CA21DE">
          <w:rPr>
            <w:rStyle w:val="Hyperlink"/>
            <w:rFonts w:cstheme="majorBidi"/>
            <w:b/>
            <w:noProof/>
            <w:sz w:val="16"/>
            <w:rtl/>
          </w:rPr>
          <w:fldChar w:fldCharType="end"/>
        </w:r>
      </w:hyperlink>
    </w:p>
    <w:p w14:paraId="46F6B7CC"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0" w:history="1">
        <w:r w:rsidRPr="00CA21DE">
          <w:rPr>
            <w:rStyle w:val="Hyperlink"/>
            <w:rFonts w:ascii="Tahoma" w:hAnsi="Tahoma" w:cstheme="majorBidi"/>
            <w:b/>
            <w:noProof/>
            <w:sz w:val="16"/>
            <w:rtl/>
          </w:rPr>
          <w:t>היבטים בפעילות המשרד לשיתוף פעולה אזורי</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Toc179710260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12</w:t>
        </w:r>
        <w:r w:rsidRPr="00CA21DE">
          <w:rPr>
            <w:rStyle w:val="Hyperlink"/>
            <w:rFonts w:cstheme="majorBidi"/>
            <w:b/>
            <w:noProof/>
            <w:sz w:val="16"/>
            <w:rtl/>
          </w:rPr>
          <w:fldChar w:fldCharType="end"/>
        </w:r>
      </w:hyperlink>
    </w:p>
    <w:p w14:paraId="01F5E00F"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1" w:history="1">
        <w:r w:rsidRPr="00CA21DE">
          <w:rPr>
            <w:rStyle w:val="Hyperlink"/>
            <w:rFonts w:ascii="Tahoma" w:hAnsi="Tahoma" w:cstheme="majorBidi"/>
            <w:b/>
            <w:noProof/>
            <w:sz w:val="16"/>
            <w:rtl/>
          </w:rPr>
          <w:t>אסדרה של מתקני התפלת מי ים ופיקוח עליהם</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Toc179710261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16</w:t>
        </w:r>
        <w:r w:rsidRPr="00CA21DE">
          <w:rPr>
            <w:rStyle w:val="Hyperlink"/>
            <w:rFonts w:cstheme="majorBidi"/>
            <w:b/>
            <w:noProof/>
            <w:sz w:val="16"/>
            <w:rtl/>
          </w:rPr>
          <w:fldChar w:fldCharType="end"/>
        </w:r>
      </w:hyperlink>
    </w:p>
    <w:p w14:paraId="50A155D9"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2" w:history="1">
        <w:r w:rsidRPr="00CA21DE">
          <w:rPr>
            <w:rStyle w:val="Hyperlink"/>
            <w:rFonts w:ascii="Tahoma" w:hAnsi="Tahoma" w:cstheme="majorBidi"/>
            <w:b/>
            <w:noProof/>
            <w:sz w:val="16"/>
            <w:rtl/>
          </w:rPr>
          <w:t>פיתוח משק החשמל לקראת שנת 2030</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Toc179710262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21</w:t>
        </w:r>
        <w:r w:rsidRPr="00CA21DE">
          <w:rPr>
            <w:rStyle w:val="Hyperlink"/>
            <w:rFonts w:cstheme="majorBidi"/>
            <w:b/>
            <w:noProof/>
            <w:sz w:val="16"/>
            <w:rtl/>
          </w:rPr>
          <w:fldChar w:fldCharType="end"/>
        </w:r>
      </w:hyperlink>
    </w:p>
    <w:p w14:paraId="58673ABA"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3" w:history="1">
        <w:r w:rsidRPr="00CA21DE">
          <w:rPr>
            <w:rStyle w:val="Hyperlink"/>
            <w:rFonts w:ascii="Tahoma" w:hAnsi="Tahoma" w:cstheme="majorBidi"/>
            <w:b/>
            <w:noProof/>
            <w:sz w:val="16"/>
            <w:rtl/>
          </w:rPr>
          <w:t>הפעלת כבישי אגרה</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Toc179710263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26</w:t>
        </w:r>
        <w:r w:rsidRPr="00CA21DE">
          <w:rPr>
            <w:rStyle w:val="Hyperlink"/>
            <w:rFonts w:cstheme="majorBidi"/>
            <w:b/>
            <w:noProof/>
            <w:sz w:val="16"/>
            <w:rtl/>
          </w:rPr>
          <w:fldChar w:fldCharType="end"/>
        </w:r>
      </w:hyperlink>
    </w:p>
    <w:p w14:paraId="0B44DAB3"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4" w:history="1">
        <w:r w:rsidRPr="00CA21DE">
          <w:rPr>
            <w:rStyle w:val="Hyperlink"/>
            <w:rFonts w:ascii="Tahoma" w:hAnsi="Tahoma" w:cstheme="majorBidi"/>
            <w:b/>
            <w:noProof/>
            <w:sz w:val="16"/>
            <w:rtl/>
          </w:rPr>
          <w:t>ענף המוניות בישראל</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Toc179710264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33</w:t>
        </w:r>
        <w:r w:rsidRPr="00CA21DE">
          <w:rPr>
            <w:rStyle w:val="Hyperlink"/>
            <w:rFonts w:cstheme="majorBidi"/>
            <w:b/>
            <w:noProof/>
            <w:sz w:val="16"/>
            <w:rtl/>
          </w:rPr>
          <w:fldChar w:fldCharType="end"/>
        </w:r>
      </w:hyperlink>
    </w:p>
    <w:p w14:paraId="6B86B26E"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5" w:history="1">
        <w:r w:rsidRPr="00CA21DE">
          <w:rPr>
            <w:rStyle w:val="Hyperlink"/>
            <w:rFonts w:ascii="Tahoma" w:hAnsi="Tahoma" w:cstheme="majorBidi"/>
            <w:b/>
            <w:noProof/>
            <w:sz w:val="16"/>
            <w:rtl/>
          </w:rPr>
          <w:t>הנגשת התחבורה הציבורית לאנשים עם מוגבלות - ביקורת מעקב</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Toc179710265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41</w:t>
        </w:r>
        <w:r w:rsidRPr="00CA21DE">
          <w:rPr>
            <w:rStyle w:val="Hyperlink"/>
            <w:rFonts w:cstheme="majorBidi"/>
            <w:b/>
            <w:noProof/>
            <w:sz w:val="16"/>
            <w:rtl/>
          </w:rPr>
          <w:fldChar w:fldCharType="end"/>
        </w:r>
      </w:hyperlink>
    </w:p>
    <w:p w14:paraId="29782903"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6" w:history="1">
        <w:r w:rsidRPr="00CA21DE">
          <w:rPr>
            <w:rStyle w:val="Hyperlink"/>
            <w:rFonts w:ascii="Tahoma" w:hAnsi="Tahoma" w:cstheme="majorBidi"/>
            <w:b/>
            <w:noProof/>
            <w:sz w:val="16"/>
            <w:rtl/>
          </w:rPr>
          <w:t>פרסום וניהול של מכרזי מסגרת ברשויות מקומיות ובתאגידים עירוניים</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Toc179710266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47</w:t>
        </w:r>
        <w:r w:rsidRPr="00CA21DE">
          <w:rPr>
            <w:rStyle w:val="Hyperlink"/>
            <w:rFonts w:cstheme="majorBidi"/>
            <w:b/>
            <w:noProof/>
            <w:sz w:val="16"/>
            <w:rtl/>
          </w:rPr>
          <w:fldChar w:fldCharType="end"/>
        </w:r>
      </w:hyperlink>
    </w:p>
    <w:p w14:paraId="01CA2618"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7" w:history="1">
        <w:r w:rsidRPr="00CA21DE">
          <w:rPr>
            <w:rStyle w:val="Hyperlink"/>
            <w:rFonts w:ascii="Tahoma" w:hAnsi="Tahoma" w:cstheme="majorBidi"/>
            <w:b/>
            <w:noProof/>
            <w:sz w:val="16"/>
            <w:rtl/>
          </w:rPr>
          <w:t>קידום התכנון המתארי והמפורט ביישובי המגזר הלא-יהודי בצפון</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Toc179710267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51</w:t>
        </w:r>
        <w:r w:rsidRPr="00CA21DE">
          <w:rPr>
            <w:rStyle w:val="Hyperlink"/>
            <w:rFonts w:cstheme="majorBidi"/>
            <w:b/>
            <w:noProof/>
            <w:sz w:val="16"/>
            <w:rtl/>
          </w:rPr>
          <w:fldChar w:fldCharType="end"/>
        </w:r>
      </w:hyperlink>
    </w:p>
    <w:p w14:paraId="43241D91"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8" w:history="1">
        <w:r w:rsidRPr="00CA21DE">
          <w:rPr>
            <w:rStyle w:val="Hyperlink"/>
            <w:rFonts w:ascii="Tahoma" w:hAnsi="Tahoma" w:cstheme="majorBidi"/>
            <w:b/>
            <w:noProof/>
            <w:sz w:val="16"/>
            <w:rtl/>
          </w:rPr>
          <w:t>זמני המתנה לקבלת שירותי רפואת מומחים</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Toc179710268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55</w:t>
        </w:r>
        <w:r w:rsidRPr="00CA21DE">
          <w:rPr>
            <w:rStyle w:val="Hyperlink"/>
            <w:rFonts w:cstheme="majorBidi"/>
            <w:b/>
            <w:noProof/>
            <w:sz w:val="16"/>
            <w:rtl/>
          </w:rPr>
          <w:fldChar w:fldCharType="end"/>
        </w:r>
      </w:hyperlink>
    </w:p>
    <w:p w14:paraId="5B8F1C04" w14:textId="77777777" w:rsidR="00CA21DE" w:rsidRPr="00CA21DE" w:rsidRDefault="00CA21DE">
      <w:pPr>
        <w:pStyle w:val="TOC1"/>
        <w:tabs>
          <w:tab w:val="right" w:leader="dot" w:pos="8211"/>
        </w:tabs>
        <w:rPr>
          <w:rFonts w:asciiTheme="minorHAnsi" w:eastAsiaTheme="minorEastAsia" w:hAnsiTheme="minorHAnsi" w:cstheme="majorBidi"/>
          <w:b/>
          <w:noProof/>
          <w:sz w:val="16"/>
          <w:szCs w:val="22"/>
          <w:rtl/>
        </w:rPr>
      </w:pPr>
      <w:hyperlink w:anchor="_Toc179710269" w:history="1">
        <w:r w:rsidRPr="00CA21DE">
          <w:rPr>
            <w:rStyle w:val="Hyperlink"/>
            <w:rFonts w:ascii="Tahoma" w:hAnsi="Tahoma" w:cstheme="majorBidi"/>
            <w:b/>
            <w:noProof/>
            <w:sz w:val="16"/>
            <w:rtl/>
          </w:rPr>
          <w:t>טיפול משרד המשפטים בהליכי חדלות פירעון ושיקום כלכלי</w:t>
        </w:r>
        <w:r w:rsidRPr="00CA21DE">
          <w:rPr>
            <w:rFonts w:cstheme="majorBidi"/>
            <w:b/>
            <w:noProof/>
            <w:webHidden/>
            <w:sz w:val="16"/>
            <w:rtl/>
          </w:rPr>
          <w:tab/>
        </w:r>
        <w:r w:rsidRPr="00CA21DE">
          <w:rPr>
            <w:rStyle w:val="Hyperlink"/>
            <w:rFonts w:cstheme="majorBidi"/>
            <w:b/>
            <w:noProof/>
            <w:sz w:val="16"/>
            <w:rtl/>
          </w:rPr>
          <w:fldChar w:fldCharType="begin"/>
        </w:r>
        <w:r w:rsidRPr="00CA21DE">
          <w:rPr>
            <w:rFonts w:cstheme="majorBidi"/>
            <w:b/>
            <w:noProof/>
            <w:webHidden/>
            <w:sz w:val="16"/>
            <w:rtl/>
          </w:rPr>
          <w:instrText xml:space="preserve"> </w:instrText>
        </w:r>
        <w:r w:rsidRPr="00CA21DE">
          <w:rPr>
            <w:rFonts w:cstheme="majorBidi"/>
            <w:b/>
            <w:noProof/>
            <w:webHidden/>
            <w:sz w:val="16"/>
          </w:rPr>
          <w:instrText>PAGEREF</w:instrText>
        </w:r>
        <w:r w:rsidRPr="00CA21DE">
          <w:rPr>
            <w:rFonts w:cstheme="majorBidi"/>
            <w:b/>
            <w:noProof/>
            <w:webHidden/>
            <w:sz w:val="16"/>
            <w:rtl/>
          </w:rPr>
          <w:instrText xml:space="preserve"> _</w:instrText>
        </w:r>
        <w:r w:rsidRPr="00CA21DE">
          <w:rPr>
            <w:rFonts w:cstheme="majorBidi"/>
            <w:b/>
            <w:noProof/>
            <w:webHidden/>
            <w:sz w:val="16"/>
          </w:rPr>
          <w:instrText>Toc179710269 \h</w:instrText>
        </w:r>
        <w:r w:rsidRPr="00CA21DE">
          <w:rPr>
            <w:rFonts w:cstheme="majorBidi"/>
            <w:b/>
            <w:noProof/>
            <w:webHidden/>
            <w:sz w:val="16"/>
            <w:rtl/>
          </w:rPr>
          <w:instrText xml:space="preserve"> </w:instrText>
        </w:r>
        <w:r w:rsidRPr="00CA21DE">
          <w:rPr>
            <w:rStyle w:val="Hyperlink"/>
            <w:rFonts w:cstheme="majorBidi"/>
            <w:b/>
            <w:noProof/>
            <w:sz w:val="16"/>
            <w:rtl/>
          </w:rPr>
        </w:r>
        <w:r w:rsidRPr="00CA21DE">
          <w:rPr>
            <w:rStyle w:val="Hyperlink"/>
            <w:rFonts w:cstheme="majorBidi"/>
            <w:b/>
            <w:noProof/>
            <w:sz w:val="16"/>
            <w:rtl/>
          </w:rPr>
          <w:fldChar w:fldCharType="separate"/>
        </w:r>
        <w:r w:rsidRPr="00CA21DE">
          <w:rPr>
            <w:rFonts w:cstheme="majorBidi"/>
            <w:b/>
            <w:noProof/>
            <w:webHidden/>
            <w:sz w:val="16"/>
            <w:rtl/>
          </w:rPr>
          <w:t>61</w:t>
        </w:r>
        <w:r w:rsidRPr="00CA21DE">
          <w:rPr>
            <w:rStyle w:val="Hyperlink"/>
            <w:rFonts w:cstheme="majorBidi"/>
            <w:b/>
            <w:noProof/>
            <w:sz w:val="16"/>
            <w:rtl/>
          </w:rPr>
          <w:fldChar w:fldCharType="end"/>
        </w:r>
      </w:hyperlink>
    </w:p>
    <w:p w14:paraId="1C32BC38" w14:textId="77777777" w:rsidR="00E406E2" w:rsidRPr="00841D3B" w:rsidRDefault="00000000" w:rsidP="003C1377">
      <w:pPr>
        <w:rPr>
          <w:rtl/>
        </w:rPr>
      </w:pPr>
      <w:r w:rsidRPr="00CA21DE">
        <w:rPr>
          <w:rFonts w:cstheme="majorBidi"/>
          <w:b/>
          <w:sz w:val="16"/>
          <w:rtl/>
        </w:rPr>
        <w:lastRenderedPageBreak/>
        <w:fldChar w:fldCharType="end"/>
      </w:r>
    </w:p>
    <w:p w14:paraId="616B5FFF" w14:textId="77777777" w:rsidR="00FD6CC9" w:rsidRDefault="00FD6CC9">
      <w:pPr>
        <w:bidi w:val="0"/>
        <w:spacing w:line="240" w:lineRule="auto"/>
        <w:jc w:val="left"/>
        <w:rPr>
          <w:rFonts w:ascii="Tahoma" w:eastAsia="Times New Roman" w:hAnsi="Tahoma" w:cs="Tahoma"/>
          <w:szCs w:val="28"/>
          <w:u w:val="single"/>
        </w:rPr>
      </w:pPr>
    </w:p>
    <w:p w14:paraId="6F4EA78E" w14:textId="77777777" w:rsidR="00236CC3" w:rsidRPr="00236CC3" w:rsidRDefault="00236CC3" w:rsidP="00236CC3">
      <w:pPr>
        <w:bidi w:val="0"/>
        <w:spacing w:line="288" w:lineRule="auto"/>
        <w:rPr>
          <w:rFonts w:ascii="Tahoma" w:eastAsia="Times New Roman" w:hAnsi="Tahoma" w:cs="Tahoma"/>
          <w:szCs w:val="28"/>
          <w:u w:val="single"/>
        </w:rPr>
      </w:pP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19244483" w14:textId="77777777" w:rsidTr="00236CC3">
        <w:tc>
          <w:tcPr>
            <w:tcW w:w="9783" w:type="dxa"/>
          </w:tcPr>
          <w:p w14:paraId="377EDE55" w14:textId="77777777" w:rsidR="00E406E2" w:rsidRPr="00CA21DE" w:rsidRDefault="00000000" w:rsidP="00DC2A4C">
            <w:pPr>
              <w:pStyle w:val="1"/>
              <w:jc w:val="left"/>
              <w:rPr>
                <w:rFonts w:ascii="Tahoma" w:hAnsi="Tahoma" w:cs="Tahoma"/>
                <w:sz w:val="40"/>
                <w:szCs w:val="40"/>
                <w:rtl/>
              </w:rPr>
            </w:pPr>
            <w:r w:rsidRPr="00CA21DE">
              <w:rPr>
                <w:rFonts w:ascii="Tahoma" w:hAnsi="Tahoma" w:cs="Tahoma"/>
                <w:sz w:val="40"/>
                <w:szCs w:val="40"/>
                <w:rtl/>
              </w:rPr>
              <w:fldChar w:fldCharType="begin"/>
            </w:r>
            <w:r w:rsidRPr="00CA21DE">
              <w:rPr>
                <w:rFonts w:ascii="Tahoma" w:hAnsi="Tahoma" w:cs="Tahoma"/>
                <w:sz w:val="40"/>
                <w:szCs w:val="40"/>
                <w:rtl/>
              </w:rPr>
              <w:instrText xml:space="preserve"> </w:instrText>
            </w:r>
            <w:r w:rsidRPr="00CA21DE">
              <w:rPr>
                <w:rFonts w:ascii="Tahoma" w:hAnsi="Tahoma" w:cs="Tahoma"/>
                <w:sz w:val="40"/>
                <w:szCs w:val="40"/>
              </w:rPr>
              <w:instrText>DOCPROPERTY  shem_matala  \* MERGEFORMAT</w:instrText>
            </w:r>
            <w:r w:rsidRPr="00CA21DE">
              <w:rPr>
                <w:rFonts w:ascii="Tahoma" w:hAnsi="Tahoma" w:cs="Tahoma"/>
                <w:sz w:val="40"/>
                <w:szCs w:val="40"/>
                <w:rtl/>
              </w:rPr>
              <w:instrText xml:space="preserve"> </w:instrText>
            </w:r>
            <w:r w:rsidRPr="00CA21DE">
              <w:rPr>
                <w:rFonts w:ascii="Tahoma" w:hAnsi="Tahoma" w:cs="Tahoma"/>
                <w:sz w:val="40"/>
                <w:szCs w:val="40"/>
                <w:rtl/>
              </w:rPr>
              <w:fldChar w:fldCharType="separate"/>
            </w:r>
            <w:bookmarkStart w:id="21" w:name="_Toc179710258"/>
            <w:r w:rsidRPr="00CA21DE">
              <w:rPr>
                <w:rFonts w:ascii="Tahoma" w:hAnsi="Tahoma" w:cs="Tahoma"/>
                <w:sz w:val="40"/>
                <w:szCs w:val="40"/>
                <w:rtl/>
              </w:rPr>
              <w:t>התמודדות המדינה עם הריכוזיות והמונופולין בענף המזון ומוצרי הצריכה</w:t>
            </w:r>
            <w:bookmarkEnd w:id="21"/>
            <w:r w:rsidRPr="00CA21DE">
              <w:rPr>
                <w:rFonts w:ascii="Tahoma" w:hAnsi="Tahoma" w:cs="Tahoma"/>
                <w:sz w:val="40"/>
                <w:szCs w:val="40"/>
                <w:rtl/>
              </w:rPr>
              <w:fldChar w:fldCharType="end"/>
            </w:r>
          </w:p>
        </w:tc>
      </w:tr>
    </w:tbl>
    <w:p w14:paraId="1F652311" w14:textId="77777777" w:rsidR="00236CC3" w:rsidRPr="00236CC3" w:rsidRDefault="00000000" w:rsidP="00236CC3">
      <w:pPr>
        <w:ind w:left="-851"/>
        <w:rPr>
          <w:rFonts w:eastAsiaTheme="minorHAnsi"/>
          <w:rtl/>
        </w:rPr>
      </w:pPr>
      <w:r w:rsidRPr="00236CC3">
        <w:rPr>
          <w:rFonts w:ascii="Tahoma" w:eastAsiaTheme="minorHAnsi" w:hAnsi="Tahoma" w:cs="Tahoma"/>
          <w:noProof/>
          <w:rtl/>
        </w:rPr>
        <w:drawing>
          <wp:inline distT="0" distB="0" distL="0" distR="0" wp14:anchorId="208D01F9" wp14:editId="5C9166DA">
            <wp:extent cx="1674111" cy="381000"/>
            <wp:effectExtent l="0" t="0" r="254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1"/>
        <w:tblpPr w:leftFromText="180" w:rightFromText="180" w:vertAnchor="text" w:tblpXSpec="center" w:tblpY="1"/>
        <w:tblOverlap w:val="never"/>
        <w:bidiVisual/>
        <w:tblW w:w="9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416"/>
        <w:gridCol w:w="2135"/>
        <w:gridCol w:w="136"/>
        <w:gridCol w:w="281"/>
        <w:gridCol w:w="2135"/>
        <w:gridCol w:w="417"/>
        <w:gridCol w:w="1951"/>
      </w:tblGrid>
      <w:tr w:rsidR="004F19B3" w14:paraId="1441E2D1" w14:textId="77777777" w:rsidTr="00236CC3">
        <w:trPr>
          <w:trHeight w:val="283"/>
        </w:trPr>
        <w:tc>
          <w:tcPr>
            <w:tcW w:w="2132" w:type="dxa"/>
            <w:tcBorders>
              <w:bottom w:val="single" w:sz="12" w:space="0" w:color="auto"/>
            </w:tcBorders>
            <w:shd w:val="clear" w:color="auto" w:fill="auto"/>
            <w:vAlign w:val="bottom"/>
          </w:tcPr>
          <w:p w14:paraId="05FF15FA"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bookmarkStart w:id="22" w:name="_Hlk166658051"/>
            <w:bookmarkStart w:id="23" w:name="_Hlk166673484"/>
            <w:r w:rsidRPr="00236CC3">
              <w:rPr>
                <w:rFonts w:ascii="Tahoma" w:hAnsi="Tahoma" w:cs="Tahoma"/>
                <w:spacing w:val="-10"/>
                <w:sz w:val="36"/>
                <w:szCs w:val="36"/>
                <w:rtl/>
              </w:rPr>
              <w:t xml:space="preserve"> 23%, 37%</w:t>
            </w:r>
          </w:p>
        </w:tc>
        <w:tc>
          <w:tcPr>
            <w:tcW w:w="416" w:type="dxa"/>
            <w:vAlign w:val="bottom"/>
          </w:tcPr>
          <w:p w14:paraId="25FAC049"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35" w:type="dxa"/>
            <w:tcBorders>
              <w:bottom w:val="single" w:sz="12" w:space="0" w:color="auto"/>
            </w:tcBorders>
            <w:vAlign w:val="bottom"/>
          </w:tcPr>
          <w:p w14:paraId="1FAF674B"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hint="cs"/>
                <w:spacing w:val="-10"/>
                <w:sz w:val="26"/>
                <w:szCs w:val="26"/>
                <w:rtl/>
              </w:rPr>
              <w:t>עד</w:t>
            </w:r>
            <w:r w:rsidRPr="00236CC3">
              <w:rPr>
                <w:rFonts w:ascii="Tahoma" w:hAnsi="Tahoma" w:cs="Tahoma" w:hint="cs"/>
                <w:spacing w:val="-10"/>
                <w:sz w:val="36"/>
                <w:szCs w:val="36"/>
              </w:rPr>
              <w:t xml:space="preserve"> </w:t>
            </w:r>
            <w:r w:rsidRPr="00236CC3">
              <w:rPr>
                <w:rFonts w:ascii="Tahoma" w:hAnsi="Tahoma" w:cs="Tahoma" w:hint="cs"/>
                <w:spacing w:val="-10"/>
                <w:sz w:val="36"/>
                <w:szCs w:val="36"/>
                <w:rtl/>
              </w:rPr>
              <w:t>300</w:t>
            </w:r>
            <w:r w:rsidRPr="00236CC3">
              <w:rPr>
                <w:rFonts w:ascii="Tahoma" w:hAnsi="Tahoma" w:cs="Tahoma"/>
                <w:spacing w:val="-10"/>
                <w:sz w:val="36"/>
                <w:szCs w:val="36"/>
                <w:rtl/>
              </w:rPr>
              <w:t xml:space="preserve">% </w:t>
            </w:r>
          </w:p>
        </w:tc>
        <w:tc>
          <w:tcPr>
            <w:tcW w:w="417" w:type="dxa"/>
            <w:gridSpan w:val="2"/>
            <w:vAlign w:val="bottom"/>
          </w:tcPr>
          <w:p w14:paraId="271A799F"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35" w:type="dxa"/>
            <w:tcBorders>
              <w:bottom w:val="single" w:sz="12" w:space="0" w:color="auto"/>
            </w:tcBorders>
            <w:vAlign w:val="bottom"/>
          </w:tcPr>
          <w:p w14:paraId="3DB88647"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26"/>
                <w:szCs w:val="26"/>
                <w:rtl/>
              </w:rPr>
            </w:pPr>
            <w:r w:rsidRPr="00236CC3">
              <w:rPr>
                <w:rFonts w:ascii="Tahoma" w:hAnsi="Tahoma" w:cs="Tahoma" w:hint="cs"/>
                <w:spacing w:val="-10"/>
                <w:sz w:val="36"/>
                <w:szCs w:val="36"/>
                <w:rtl/>
              </w:rPr>
              <w:t xml:space="preserve">138 </w:t>
            </w:r>
          </w:p>
          <w:p w14:paraId="6B043080"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cs"/>
                <w:spacing w:val="-10"/>
                <w:sz w:val="26"/>
                <w:szCs w:val="26"/>
                <w:rtl/>
              </w:rPr>
              <w:t>מיליארד ש"ח</w:t>
            </w:r>
          </w:p>
        </w:tc>
        <w:tc>
          <w:tcPr>
            <w:tcW w:w="417" w:type="dxa"/>
            <w:vAlign w:val="bottom"/>
          </w:tcPr>
          <w:p w14:paraId="1AC58F1F"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1951" w:type="dxa"/>
            <w:tcBorders>
              <w:bottom w:val="single" w:sz="12" w:space="0" w:color="auto"/>
            </w:tcBorders>
            <w:vAlign w:val="bottom"/>
          </w:tcPr>
          <w:p w14:paraId="28104C0A"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spacing w:val="-10"/>
                <w:sz w:val="36"/>
                <w:szCs w:val="36"/>
                <w:rtl/>
              </w:rPr>
              <w:t>2.9%</w:t>
            </w:r>
          </w:p>
        </w:tc>
      </w:tr>
      <w:tr w:rsidR="004F19B3" w14:paraId="2FA29F1B" w14:textId="77777777" w:rsidTr="00236CC3">
        <w:trPr>
          <w:trHeight w:val="85"/>
        </w:trPr>
        <w:tc>
          <w:tcPr>
            <w:tcW w:w="9603" w:type="dxa"/>
            <w:gridSpan w:val="8"/>
            <w:shd w:val="clear" w:color="auto" w:fill="auto"/>
            <w:vAlign w:val="center"/>
          </w:tcPr>
          <w:p w14:paraId="3EA734D5" w14:textId="77777777" w:rsidR="00236CC3" w:rsidRPr="00236CC3" w:rsidRDefault="00236CC3" w:rsidP="00236CC3">
            <w:pPr>
              <w:tabs>
                <w:tab w:val="center" w:pos="4153"/>
                <w:tab w:val="right" w:pos="8306"/>
              </w:tabs>
              <w:rPr>
                <w:rFonts w:ascii="Tahoma" w:hAnsi="Tahoma" w:cs="Tahoma"/>
                <w:spacing w:val="-10"/>
                <w:sz w:val="6"/>
                <w:szCs w:val="6"/>
                <w:rtl/>
              </w:rPr>
            </w:pPr>
          </w:p>
        </w:tc>
      </w:tr>
      <w:bookmarkEnd w:id="22"/>
      <w:tr w:rsidR="004F19B3" w14:paraId="35161B15" w14:textId="77777777" w:rsidTr="00236CC3">
        <w:trPr>
          <w:trHeight w:val="1155"/>
        </w:trPr>
        <w:tc>
          <w:tcPr>
            <w:tcW w:w="2132" w:type="dxa"/>
          </w:tcPr>
          <w:p w14:paraId="0CBE8C7A"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שיעור עליית מדד מחירי המזון (ללא פירות וירקות) ושיעור עליית מדד הפירות והירקות, בהתאמה, בישראל, משנת 2011 עד מאי 2024, לעומת שיעורו של מדד המחירים לצרכן שעלה ב-17% בלבד </w:t>
            </w:r>
          </w:p>
          <w:p w14:paraId="051FEA9B"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416" w:type="dxa"/>
          </w:tcPr>
          <w:p w14:paraId="3477FE52" w14:textId="77777777" w:rsidR="00236CC3" w:rsidRPr="00236CC3" w:rsidRDefault="00236CC3" w:rsidP="00236CC3">
            <w:pPr>
              <w:tabs>
                <w:tab w:val="center" w:pos="4153"/>
                <w:tab w:val="right" w:pos="8306"/>
              </w:tabs>
              <w:spacing w:line="240" w:lineRule="auto"/>
              <w:jc w:val="left"/>
              <w:rPr>
                <w:rFonts w:ascii="Tahoma" w:hAnsi="Tahoma" w:cs="Tahoma"/>
                <w:rtl/>
              </w:rPr>
            </w:pPr>
          </w:p>
        </w:tc>
        <w:tc>
          <w:tcPr>
            <w:tcW w:w="2135" w:type="dxa"/>
          </w:tcPr>
          <w:p w14:paraId="7A646A99"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Pr>
            </w:pPr>
            <w:r w:rsidRPr="00236CC3">
              <w:rPr>
                <w:rFonts w:ascii="Tahoma" w:hAnsi="Tahoma" w:cs="Tahoma" w:hint="cs"/>
                <w:sz w:val="19"/>
                <w:szCs w:val="19"/>
                <w:rtl/>
              </w:rPr>
              <w:t xml:space="preserve">כוח הקנייה של הצרכן בישראל נמוך לעומת כוח הקניה של הצרכן, </w:t>
            </w:r>
            <w:r w:rsidRPr="00236CC3">
              <w:rPr>
                <w:rFonts w:ascii="Tahoma" w:hAnsi="Tahoma" w:cs="Tahoma" w:hint="eastAsia"/>
                <w:sz w:val="19"/>
                <w:szCs w:val="19"/>
                <w:rtl/>
              </w:rPr>
              <w:t>באנגלייה</w:t>
            </w:r>
            <w:r w:rsidRPr="00236CC3">
              <w:rPr>
                <w:rFonts w:ascii="Tahoma" w:hAnsi="Tahoma" w:cs="Tahoma"/>
                <w:sz w:val="19"/>
                <w:szCs w:val="19"/>
                <w:rtl/>
              </w:rPr>
              <w:t xml:space="preserve"> </w:t>
            </w:r>
            <w:r w:rsidRPr="00236CC3">
              <w:rPr>
                <w:rFonts w:ascii="Tahoma" w:hAnsi="Tahoma" w:cs="Tahoma" w:hint="cs"/>
                <w:sz w:val="19"/>
                <w:szCs w:val="19"/>
                <w:rtl/>
              </w:rPr>
              <w:t>ב</w:t>
            </w:r>
            <w:r w:rsidRPr="00236CC3">
              <w:rPr>
                <w:rFonts w:ascii="Tahoma" w:hAnsi="Tahoma" w:cs="Tahoma"/>
                <w:sz w:val="19"/>
                <w:szCs w:val="19"/>
                <w:rtl/>
              </w:rPr>
              <w:t>צרפת ו</w:t>
            </w:r>
            <w:r w:rsidRPr="00236CC3">
              <w:rPr>
                <w:rFonts w:ascii="Tahoma" w:hAnsi="Tahoma" w:cs="Tahoma" w:hint="cs"/>
                <w:sz w:val="19"/>
                <w:szCs w:val="19"/>
                <w:rtl/>
              </w:rPr>
              <w:t>ב</w:t>
            </w:r>
            <w:r w:rsidRPr="00236CC3">
              <w:rPr>
                <w:rFonts w:ascii="Tahoma" w:hAnsi="Tahoma" w:cs="Tahoma"/>
                <w:sz w:val="19"/>
                <w:szCs w:val="19"/>
                <w:rtl/>
              </w:rPr>
              <w:t>ארה"ב</w:t>
            </w:r>
            <w:r w:rsidRPr="00236CC3">
              <w:rPr>
                <w:rFonts w:ascii="Tahoma" w:hAnsi="Tahoma" w:cs="Tahoma" w:hint="cs"/>
                <w:sz w:val="19"/>
                <w:szCs w:val="19"/>
                <w:rtl/>
              </w:rPr>
              <w:t xml:space="preserve"> - </w:t>
            </w:r>
            <w:r w:rsidRPr="00236CC3">
              <w:rPr>
                <w:rFonts w:ascii="Tahoma" w:hAnsi="Tahoma" w:cs="Tahoma" w:hint="eastAsia"/>
                <w:sz w:val="19"/>
                <w:szCs w:val="19"/>
                <w:rtl/>
              </w:rPr>
              <w:t>במונחי</w:t>
            </w:r>
            <w:r w:rsidRPr="00236CC3">
              <w:rPr>
                <w:rFonts w:ascii="Tahoma" w:hAnsi="Tahoma" w:cs="Tahoma"/>
                <w:sz w:val="19"/>
                <w:szCs w:val="19"/>
                <w:rtl/>
              </w:rPr>
              <w:t xml:space="preserve"> </w:t>
            </w:r>
            <w:r w:rsidRPr="00236CC3">
              <w:rPr>
                <w:rFonts w:ascii="Tahoma" w:hAnsi="Tahoma" w:cs="Tahoma" w:hint="eastAsia"/>
                <w:sz w:val="19"/>
                <w:szCs w:val="19"/>
                <w:rtl/>
              </w:rPr>
              <w:t>שכר</w:t>
            </w:r>
            <w:r w:rsidRPr="00236CC3">
              <w:rPr>
                <w:rFonts w:ascii="Tahoma" w:hAnsi="Tahoma" w:cs="Tahoma"/>
                <w:sz w:val="19"/>
                <w:szCs w:val="19"/>
                <w:rtl/>
              </w:rPr>
              <w:t xml:space="preserve"> </w:t>
            </w:r>
            <w:r w:rsidRPr="00236CC3">
              <w:rPr>
                <w:rFonts w:ascii="Tahoma" w:hAnsi="Tahoma" w:cs="Tahoma" w:hint="eastAsia"/>
                <w:sz w:val="19"/>
                <w:szCs w:val="19"/>
                <w:rtl/>
              </w:rPr>
              <w:t>של</w:t>
            </w:r>
            <w:r w:rsidRPr="00236CC3">
              <w:rPr>
                <w:rFonts w:ascii="Tahoma" w:hAnsi="Tahoma" w:cs="Tahoma"/>
                <w:sz w:val="19"/>
                <w:szCs w:val="19"/>
                <w:rtl/>
              </w:rPr>
              <w:t xml:space="preserve"> </w:t>
            </w:r>
            <w:r w:rsidRPr="00236CC3">
              <w:rPr>
                <w:rFonts w:ascii="Tahoma" w:hAnsi="Tahoma" w:cs="Tahoma" w:hint="eastAsia"/>
                <w:sz w:val="19"/>
                <w:szCs w:val="19"/>
                <w:rtl/>
              </w:rPr>
              <w:t>שעת</w:t>
            </w:r>
            <w:r w:rsidRPr="00236CC3">
              <w:rPr>
                <w:rFonts w:ascii="Tahoma" w:hAnsi="Tahoma" w:cs="Tahoma"/>
                <w:sz w:val="19"/>
                <w:szCs w:val="19"/>
                <w:rtl/>
              </w:rPr>
              <w:t xml:space="preserve"> </w:t>
            </w:r>
            <w:r w:rsidRPr="00236CC3">
              <w:rPr>
                <w:rFonts w:ascii="Tahoma" w:hAnsi="Tahoma" w:cs="Tahoma" w:hint="eastAsia"/>
                <w:sz w:val="19"/>
                <w:szCs w:val="19"/>
                <w:rtl/>
              </w:rPr>
              <w:t>עבודה</w:t>
            </w:r>
            <w:r w:rsidRPr="00236CC3">
              <w:rPr>
                <w:rFonts w:ascii="Tahoma" w:hAnsi="Tahoma" w:cs="Tahoma" w:hint="cs"/>
                <w:sz w:val="19"/>
                <w:szCs w:val="19"/>
                <w:rtl/>
              </w:rPr>
              <w:t xml:space="preserve"> במוצרים שנבדקו</w:t>
            </w:r>
          </w:p>
        </w:tc>
        <w:tc>
          <w:tcPr>
            <w:tcW w:w="417" w:type="dxa"/>
            <w:gridSpan w:val="2"/>
          </w:tcPr>
          <w:p w14:paraId="795A757A"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1E59B9F1"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bookmarkStart w:id="24" w:name="_Hlk166673471"/>
            <w:r w:rsidRPr="00236CC3">
              <w:rPr>
                <w:rFonts w:ascii="Tahoma" w:hAnsi="Tahoma" w:cs="Tahoma" w:hint="eastAsia"/>
                <w:sz w:val="19"/>
                <w:szCs w:val="19"/>
                <w:rtl/>
              </w:rPr>
              <w:t>ההוצאה</w:t>
            </w:r>
            <w:r w:rsidRPr="00236CC3">
              <w:rPr>
                <w:rFonts w:ascii="Tahoma" w:hAnsi="Tahoma" w:cs="Tahoma"/>
                <w:sz w:val="19"/>
                <w:szCs w:val="19"/>
                <w:rtl/>
              </w:rPr>
              <w:t xml:space="preserve"> לצריכה פרטית</w:t>
            </w:r>
            <w:r w:rsidRPr="00236CC3">
              <w:rPr>
                <w:rFonts w:ascii="Tahoma" w:hAnsi="Tahoma" w:cs="Tahoma" w:hint="cs"/>
                <w:sz w:val="19"/>
                <w:szCs w:val="19"/>
                <w:rtl/>
              </w:rPr>
              <w:t xml:space="preserve"> </w:t>
            </w:r>
            <w:r w:rsidRPr="00236CC3">
              <w:rPr>
                <w:rFonts w:ascii="Tahoma" w:hAnsi="Tahoma" w:cs="Tahoma" w:hint="eastAsia"/>
                <w:sz w:val="19"/>
                <w:szCs w:val="19"/>
                <w:rtl/>
              </w:rPr>
              <w:t>בישראל</w:t>
            </w:r>
            <w:r w:rsidRPr="00236CC3">
              <w:rPr>
                <w:rFonts w:ascii="Tahoma" w:hAnsi="Tahoma" w:cs="Tahoma"/>
                <w:sz w:val="19"/>
                <w:szCs w:val="19"/>
                <w:rtl/>
              </w:rPr>
              <w:t xml:space="preserve"> על </w:t>
            </w:r>
            <w:r w:rsidRPr="00236CC3">
              <w:rPr>
                <w:rFonts w:ascii="Tahoma" w:hAnsi="Tahoma" w:cs="Tahoma" w:hint="eastAsia"/>
                <w:sz w:val="19"/>
                <w:szCs w:val="19"/>
                <w:rtl/>
              </w:rPr>
              <w:t>מזון</w:t>
            </w:r>
            <w:r w:rsidRPr="00236CC3">
              <w:rPr>
                <w:rFonts w:ascii="Tahoma" w:hAnsi="Tahoma" w:cs="Tahoma"/>
                <w:sz w:val="19"/>
                <w:szCs w:val="19"/>
                <w:rtl/>
              </w:rPr>
              <w:t xml:space="preserve"> ומשקאות </w:t>
            </w:r>
            <w:r w:rsidRPr="00236CC3">
              <w:rPr>
                <w:rFonts w:ascii="Tahoma" w:hAnsi="Tahoma" w:cs="Tahoma" w:hint="eastAsia"/>
                <w:sz w:val="19"/>
                <w:szCs w:val="19"/>
                <w:rtl/>
              </w:rPr>
              <w:t>לא</w:t>
            </w:r>
            <w:r w:rsidRPr="00236CC3">
              <w:rPr>
                <w:rFonts w:ascii="Tahoma" w:hAnsi="Tahoma" w:cs="Tahoma"/>
                <w:sz w:val="19"/>
                <w:szCs w:val="19"/>
                <w:rtl/>
              </w:rPr>
              <w:t xml:space="preserve"> אלכוהוליי</w:t>
            </w:r>
            <w:r w:rsidRPr="00236CC3">
              <w:rPr>
                <w:rFonts w:ascii="Tahoma" w:hAnsi="Tahoma" w:cs="Tahoma" w:hint="eastAsia"/>
                <w:sz w:val="19"/>
                <w:szCs w:val="19"/>
                <w:rtl/>
              </w:rPr>
              <w:t>ם</w:t>
            </w:r>
            <w:r w:rsidRPr="00236CC3">
              <w:rPr>
                <w:rFonts w:ascii="Tahoma" w:hAnsi="Tahoma" w:cs="Tahoma"/>
                <w:sz w:val="19"/>
                <w:szCs w:val="19"/>
                <w:rtl/>
              </w:rPr>
              <w:t xml:space="preserve"> ב- </w:t>
            </w:r>
            <w:r w:rsidRPr="00236CC3">
              <w:rPr>
                <w:rFonts w:ascii="Tahoma" w:hAnsi="Tahoma" w:cs="Tahoma" w:hint="cs"/>
                <w:sz w:val="19"/>
                <w:szCs w:val="19"/>
                <w:rtl/>
              </w:rPr>
              <w:t>2021</w:t>
            </w:r>
            <w:bookmarkEnd w:id="24"/>
          </w:p>
        </w:tc>
        <w:tc>
          <w:tcPr>
            <w:tcW w:w="417" w:type="dxa"/>
          </w:tcPr>
          <w:p w14:paraId="733F065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951" w:type="dxa"/>
          </w:tcPr>
          <w:p w14:paraId="53E28BB2"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שיעור עליית מחירי המזון והצריכה בשלושת החודשים הראשונים למלחמה על פי בדיקת משרד הכלכלה</w:t>
            </w:r>
          </w:p>
        </w:tc>
      </w:tr>
      <w:tr w:rsidR="004F19B3" w14:paraId="75A53CAB" w14:textId="77777777" w:rsidTr="00236CC3">
        <w:trPr>
          <w:trHeight w:val="215"/>
        </w:trPr>
        <w:tc>
          <w:tcPr>
            <w:tcW w:w="9603" w:type="dxa"/>
            <w:gridSpan w:val="8"/>
          </w:tcPr>
          <w:p w14:paraId="2C19D24A" w14:textId="77777777" w:rsidR="00236CC3" w:rsidRPr="00236CC3" w:rsidRDefault="00236CC3" w:rsidP="00236CC3">
            <w:pPr>
              <w:tabs>
                <w:tab w:val="center" w:pos="4153"/>
                <w:tab w:val="right" w:pos="8306"/>
              </w:tabs>
              <w:spacing w:line="240" w:lineRule="auto"/>
              <w:jc w:val="center"/>
              <w:rPr>
                <w:rFonts w:ascii="Tahoma" w:hAnsi="Tahoma" w:cs="Tahoma"/>
                <w:sz w:val="6"/>
                <w:szCs w:val="6"/>
                <w:rtl/>
              </w:rPr>
            </w:pPr>
          </w:p>
        </w:tc>
      </w:tr>
      <w:tr w:rsidR="004F19B3" w14:paraId="1F412185" w14:textId="77777777" w:rsidTr="00236CC3">
        <w:trPr>
          <w:trHeight w:val="227"/>
        </w:trPr>
        <w:tc>
          <w:tcPr>
            <w:tcW w:w="2132" w:type="dxa"/>
            <w:tcBorders>
              <w:bottom w:val="single" w:sz="12" w:space="0" w:color="auto"/>
            </w:tcBorders>
            <w:vAlign w:val="bottom"/>
          </w:tcPr>
          <w:p w14:paraId="5F155984"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36"/>
                <w:szCs w:val="36"/>
                <w:rtl/>
              </w:rPr>
              <w:t xml:space="preserve">3 </w:t>
            </w:r>
            <w:r w:rsidRPr="00236CC3">
              <w:rPr>
                <w:rFonts w:ascii="Tahoma" w:hAnsi="Tahoma" w:cs="Tahoma" w:hint="eastAsia"/>
                <w:spacing w:val="-10"/>
                <w:sz w:val="26"/>
                <w:szCs w:val="26"/>
                <w:rtl/>
              </w:rPr>
              <w:t>ספקי</w:t>
            </w:r>
            <w:r w:rsidRPr="00236CC3">
              <w:rPr>
                <w:rFonts w:ascii="Tahoma" w:hAnsi="Tahoma" w:cs="Tahoma"/>
                <w:spacing w:val="-10"/>
                <w:sz w:val="26"/>
                <w:szCs w:val="26"/>
                <w:rtl/>
              </w:rPr>
              <w:t xml:space="preserve"> </w:t>
            </w:r>
            <w:r w:rsidRPr="00236CC3">
              <w:rPr>
                <w:rFonts w:ascii="Tahoma" w:hAnsi="Tahoma" w:cs="Tahoma" w:hint="eastAsia"/>
                <w:spacing w:val="-10"/>
                <w:sz w:val="26"/>
                <w:szCs w:val="26"/>
                <w:rtl/>
              </w:rPr>
              <w:t>מזון</w:t>
            </w:r>
          </w:p>
        </w:tc>
        <w:tc>
          <w:tcPr>
            <w:tcW w:w="416" w:type="dxa"/>
            <w:vAlign w:val="bottom"/>
          </w:tcPr>
          <w:p w14:paraId="5117FE49"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35" w:type="dxa"/>
            <w:tcBorders>
              <w:bottom w:val="single" w:sz="12" w:space="0" w:color="auto"/>
            </w:tcBorders>
            <w:vAlign w:val="bottom"/>
          </w:tcPr>
          <w:p w14:paraId="20830E7D"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36"/>
                <w:szCs w:val="36"/>
                <w:rtl/>
              </w:rPr>
              <w:t xml:space="preserve">23.4% </w:t>
            </w:r>
            <w:r w:rsidRPr="00236CC3">
              <w:rPr>
                <w:rFonts w:ascii="Tahoma" w:hAnsi="Tahoma" w:cs="Tahoma" w:hint="eastAsia"/>
                <w:spacing w:val="-10"/>
                <w:sz w:val="26"/>
                <w:szCs w:val="26"/>
                <w:rtl/>
              </w:rPr>
              <w:t>בלבד</w:t>
            </w:r>
          </w:p>
        </w:tc>
        <w:tc>
          <w:tcPr>
            <w:tcW w:w="417" w:type="dxa"/>
            <w:gridSpan w:val="2"/>
            <w:vAlign w:val="bottom"/>
          </w:tcPr>
          <w:p w14:paraId="5ECF8E53"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35" w:type="dxa"/>
            <w:tcBorders>
              <w:bottom w:val="single" w:sz="12" w:space="0" w:color="auto"/>
            </w:tcBorders>
            <w:shd w:val="clear" w:color="auto" w:fill="auto"/>
            <w:vAlign w:val="bottom"/>
          </w:tcPr>
          <w:p w14:paraId="5B93F9D7"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36"/>
                <w:szCs w:val="36"/>
                <w:rtl/>
              </w:rPr>
              <w:t xml:space="preserve">6.9% </w:t>
            </w:r>
            <w:r w:rsidRPr="00236CC3">
              <w:rPr>
                <w:rFonts w:ascii="Tahoma" w:hAnsi="Tahoma" w:cs="Tahoma" w:hint="eastAsia"/>
                <w:spacing w:val="-10"/>
                <w:sz w:val="26"/>
                <w:szCs w:val="26"/>
                <w:rtl/>
              </w:rPr>
              <w:t>בלבד</w:t>
            </w:r>
          </w:p>
        </w:tc>
        <w:tc>
          <w:tcPr>
            <w:tcW w:w="417" w:type="dxa"/>
            <w:vAlign w:val="bottom"/>
          </w:tcPr>
          <w:p w14:paraId="56E49854"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1951" w:type="dxa"/>
            <w:tcBorders>
              <w:bottom w:val="single" w:sz="12" w:space="0" w:color="auto"/>
            </w:tcBorders>
            <w:vAlign w:val="bottom"/>
          </w:tcPr>
          <w:p w14:paraId="1AB4A596"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eastAsia"/>
                <w:spacing w:val="-10"/>
                <w:sz w:val="26"/>
                <w:szCs w:val="26"/>
                <w:rtl/>
              </w:rPr>
              <w:t>עד</w:t>
            </w:r>
            <w:r w:rsidRPr="00236CC3">
              <w:rPr>
                <w:rFonts w:ascii="Tahoma" w:hAnsi="Tahoma" w:cs="Tahoma"/>
                <w:spacing w:val="-10"/>
                <w:sz w:val="36"/>
                <w:szCs w:val="36"/>
                <w:rtl/>
              </w:rPr>
              <w:t xml:space="preserve"> 380%</w:t>
            </w:r>
          </w:p>
        </w:tc>
      </w:tr>
      <w:tr w:rsidR="004F19B3" w14:paraId="0C3505E1" w14:textId="77777777" w:rsidTr="00236CC3">
        <w:trPr>
          <w:trHeight w:val="70"/>
        </w:trPr>
        <w:tc>
          <w:tcPr>
            <w:tcW w:w="9603" w:type="dxa"/>
            <w:gridSpan w:val="8"/>
            <w:vAlign w:val="center"/>
          </w:tcPr>
          <w:p w14:paraId="20AF9D5F" w14:textId="77777777" w:rsidR="00236CC3" w:rsidRPr="00236CC3" w:rsidRDefault="00236CC3" w:rsidP="00236CC3">
            <w:pPr>
              <w:tabs>
                <w:tab w:val="center" w:pos="4153"/>
                <w:tab w:val="right" w:pos="8306"/>
              </w:tabs>
              <w:spacing w:line="240" w:lineRule="auto"/>
              <w:rPr>
                <w:rFonts w:ascii="Tahoma" w:hAnsi="Tahoma" w:cs="Tahoma"/>
                <w:spacing w:val="-10"/>
                <w:sz w:val="6"/>
                <w:szCs w:val="6"/>
                <w:rtl/>
              </w:rPr>
            </w:pPr>
          </w:p>
        </w:tc>
      </w:tr>
      <w:tr w:rsidR="004F19B3" w14:paraId="7A3F8FED" w14:textId="77777777" w:rsidTr="00236CC3">
        <w:trPr>
          <w:trHeight w:val="1153"/>
        </w:trPr>
        <w:tc>
          <w:tcPr>
            <w:tcW w:w="2132" w:type="dxa"/>
          </w:tcPr>
          <w:p w14:paraId="692F3D56"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שולטים ביותר מ-85% מסכום המכירות ב-20 קטגוריות של מוצרי מזון</w:t>
            </w:r>
          </w:p>
        </w:tc>
        <w:tc>
          <w:tcPr>
            <w:tcW w:w="416" w:type="dxa"/>
          </w:tcPr>
          <w:p w14:paraId="5450F9B6"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4188A36B"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שיעור היבוא בישראל ביחס לתוצר, בהשוואה ל-47% בממוצע במדינות </w:t>
            </w:r>
          </w:p>
          <w:p w14:paraId="31F213B8"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ה-</w:t>
            </w:r>
            <w:r w:rsidRPr="00236CC3">
              <w:rPr>
                <w:rFonts w:ascii="Tahoma" w:hAnsi="Tahoma" w:cs="Tahoma" w:hint="cs"/>
                <w:sz w:val="19"/>
                <w:szCs w:val="19"/>
              </w:rPr>
              <w:t>OECD</w:t>
            </w:r>
            <w:r w:rsidRPr="00236CC3">
              <w:rPr>
                <w:rFonts w:ascii="Tahoma" w:hAnsi="Tahoma" w:cs="Tahoma" w:hint="cs"/>
                <w:sz w:val="19"/>
                <w:szCs w:val="19"/>
                <w:rtl/>
              </w:rPr>
              <w:t>, נכון לשנת 2020</w:t>
            </w:r>
          </w:p>
          <w:p w14:paraId="2EEB372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417" w:type="dxa"/>
            <w:gridSpan w:val="2"/>
          </w:tcPr>
          <w:p w14:paraId="10AF0386"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2526DBEF"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נתח השוק הממוצע של המותג הפרטי בישראל (ששיווקו עשוי לאפשר הוזלת מחירים) לעומת 36.1% במדינות נבחרות באירופה</w:t>
            </w:r>
          </w:p>
          <w:p w14:paraId="5ED038C3"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417" w:type="dxa"/>
          </w:tcPr>
          <w:p w14:paraId="751E81FB"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951" w:type="dxa"/>
          </w:tcPr>
          <w:p w14:paraId="2E6D5EAA"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פער המחירים בין מוצרי ירקות קפואים בישראל (היקרה יותר) בשנת 2023 בהשוואה למדינות באירופה </w:t>
            </w:r>
          </w:p>
          <w:p w14:paraId="34D56990" w14:textId="77777777" w:rsidR="00236CC3" w:rsidRPr="00236CC3" w:rsidRDefault="00236CC3" w:rsidP="00236CC3">
            <w:pPr>
              <w:tabs>
                <w:tab w:val="center" w:pos="4153"/>
                <w:tab w:val="right" w:pos="8306"/>
              </w:tabs>
              <w:spacing w:line="240" w:lineRule="auto"/>
              <w:ind w:firstLine="720"/>
              <w:jc w:val="left"/>
              <w:rPr>
                <w:rFonts w:ascii="Tahoma" w:hAnsi="Tahoma" w:cs="Tahoma"/>
                <w:sz w:val="19"/>
                <w:szCs w:val="19"/>
                <w:rtl/>
              </w:rPr>
            </w:pPr>
          </w:p>
        </w:tc>
      </w:tr>
      <w:tr w:rsidR="004F19B3" w14:paraId="76808BDF" w14:textId="77777777" w:rsidTr="00236CC3">
        <w:trPr>
          <w:trHeight w:val="252"/>
        </w:trPr>
        <w:tc>
          <w:tcPr>
            <w:tcW w:w="2132" w:type="dxa"/>
          </w:tcPr>
          <w:p w14:paraId="73817666"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416" w:type="dxa"/>
          </w:tcPr>
          <w:p w14:paraId="48A81845"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73B7FA96"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417" w:type="dxa"/>
            <w:gridSpan w:val="2"/>
          </w:tcPr>
          <w:p w14:paraId="74153F6E"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6E2F5160"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417" w:type="dxa"/>
          </w:tcPr>
          <w:p w14:paraId="2851B7CD"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951" w:type="dxa"/>
          </w:tcPr>
          <w:p w14:paraId="62050AEA"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r>
      <w:tr w:rsidR="004F19B3" w14:paraId="5D0CB3ED" w14:textId="77777777" w:rsidTr="00236CC3">
        <w:trPr>
          <w:trHeight w:val="227"/>
        </w:trPr>
        <w:tc>
          <w:tcPr>
            <w:tcW w:w="2132" w:type="dxa"/>
            <w:tcBorders>
              <w:bottom w:val="single" w:sz="12" w:space="0" w:color="auto"/>
            </w:tcBorders>
            <w:shd w:val="clear" w:color="auto" w:fill="auto"/>
            <w:vAlign w:val="bottom"/>
          </w:tcPr>
          <w:p w14:paraId="3C82D430" w14:textId="77777777" w:rsidR="00236CC3" w:rsidRPr="00236CC3" w:rsidRDefault="00000000" w:rsidP="00236CC3">
            <w:pPr>
              <w:tabs>
                <w:tab w:val="center" w:pos="4153"/>
                <w:tab w:val="right" w:pos="8306"/>
              </w:tabs>
              <w:spacing w:after="60" w:line="240" w:lineRule="auto"/>
              <w:jc w:val="left"/>
              <w:rPr>
                <w:rFonts w:ascii="Tahoma" w:hAnsi="Tahoma" w:cs="Tahoma"/>
                <w:sz w:val="19"/>
                <w:szCs w:val="19"/>
                <w:rtl/>
              </w:rPr>
            </w:pPr>
            <w:r w:rsidRPr="00236CC3">
              <w:rPr>
                <w:rFonts w:ascii="Tahoma" w:hAnsi="Tahoma" w:cs="Tahoma"/>
                <w:spacing w:val="-10"/>
                <w:sz w:val="36"/>
                <w:szCs w:val="36"/>
                <w:rtl/>
              </w:rPr>
              <w:t xml:space="preserve">38 </w:t>
            </w:r>
            <w:r w:rsidRPr="00236CC3">
              <w:rPr>
                <w:rFonts w:ascii="Tahoma" w:hAnsi="Tahoma" w:cs="Tahoma" w:hint="eastAsia"/>
                <w:spacing w:val="-10"/>
                <w:sz w:val="26"/>
                <w:szCs w:val="26"/>
                <w:rtl/>
              </w:rPr>
              <w:t>מיליון</w:t>
            </w:r>
            <w:r w:rsidRPr="00236CC3">
              <w:rPr>
                <w:rFonts w:ascii="Tahoma" w:hAnsi="Tahoma" w:cs="Tahoma"/>
                <w:spacing w:val="-10"/>
                <w:sz w:val="26"/>
                <w:szCs w:val="26"/>
                <w:rtl/>
              </w:rPr>
              <w:t xml:space="preserve"> </w:t>
            </w:r>
            <w:r w:rsidRPr="00236CC3">
              <w:rPr>
                <w:rFonts w:ascii="Tahoma" w:hAnsi="Tahoma" w:cs="Tahoma" w:hint="eastAsia"/>
                <w:spacing w:val="-10"/>
                <w:sz w:val="26"/>
                <w:szCs w:val="26"/>
                <w:rtl/>
              </w:rPr>
              <w:t>ש</w:t>
            </w:r>
            <w:r w:rsidRPr="00236CC3">
              <w:rPr>
                <w:rFonts w:ascii="Tahoma" w:hAnsi="Tahoma" w:cs="Tahoma"/>
                <w:spacing w:val="-10"/>
                <w:sz w:val="26"/>
                <w:szCs w:val="26"/>
                <w:rtl/>
              </w:rPr>
              <w:t>"ח</w:t>
            </w:r>
          </w:p>
        </w:tc>
        <w:tc>
          <w:tcPr>
            <w:tcW w:w="416" w:type="dxa"/>
            <w:vAlign w:val="bottom"/>
          </w:tcPr>
          <w:p w14:paraId="0212F7C1" w14:textId="77777777" w:rsidR="00236CC3" w:rsidRPr="00236CC3" w:rsidRDefault="00236CC3" w:rsidP="00236CC3">
            <w:pPr>
              <w:tabs>
                <w:tab w:val="center" w:pos="4153"/>
                <w:tab w:val="right" w:pos="8306"/>
              </w:tabs>
              <w:spacing w:after="60" w:line="240" w:lineRule="auto"/>
              <w:jc w:val="left"/>
              <w:rPr>
                <w:rFonts w:ascii="Tahoma" w:hAnsi="Tahoma" w:cs="Tahoma"/>
                <w:sz w:val="19"/>
                <w:szCs w:val="19"/>
                <w:rtl/>
              </w:rPr>
            </w:pPr>
          </w:p>
        </w:tc>
        <w:tc>
          <w:tcPr>
            <w:tcW w:w="2135" w:type="dxa"/>
            <w:tcBorders>
              <w:bottom w:val="single" w:sz="12" w:space="0" w:color="auto"/>
            </w:tcBorders>
            <w:vAlign w:val="bottom"/>
          </w:tcPr>
          <w:p w14:paraId="2CB75113" w14:textId="77777777" w:rsidR="00236CC3" w:rsidRPr="00236CC3" w:rsidRDefault="00000000" w:rsidP="00236CC3">
            <w:pPr>
              <w:tabs>
                <w:tab w:val="center" w:pos="4153"/>
                <w:tab w:val="right" w:pos="8306"/>
              </w:tabs>
              <w:spacing w:after="60" w:line="240" w:lineRule="auto"/>
              <w:jc w:val="left"/>
              <w:rPr>
                <w:rFonts w:ascii="Tahoma" w:hAnsi="Tahoma" w:cs="Tahoma"/>
                <w:sz w:val="19"/>
                <w:szCs w:val="19"/>
                <w:rtl/>
              </w:rPr>
            </w:pPr>
            <w:r w:rsidRPr="00236CC3">
              <w:rPr>
                <w:rFonts w:ascii="Tahoma" w:hAnsi="Tahoma" w:cs="Tahoma" w:hint="eastAsia"/>
                <w:spacing w:val="-10"/>
                <w:sz w:val="26"/>
                <w:szCs w:val="26"/>
                <w:rtl/>
              </w:rPr>
              <w:t>פי</w:t>
            </w:r>
            <w:r w:rsidRPr="00236CC3">
              <w:rPr>
                <w:rFonts w:ascii="Tahoma" w:hAnsi="Tahoma" w:cs="Tahoma"/>
                <w:spacing w:val="-10"/>
                <w:sz w:val="36"/>
                <w:szCs w:val="36"/>
                <w:rtl/>
              </w:rPr>
              <w:t xml:space="preserve"> 4</w:t>
            </w:r>
          </w:p>
        </w:tc>
        <w:tc>
          <w:tcPr>
            <w:tcW w:w="417" w:type="dxa"/>
            <w:gridSpan w:val="2"/>
            <w:vAlign w:val="bottom"/>
          </w:tcPr>
          <w:p w14:paraId="0FAE14F5" w14:textId="77777777" w:rsidR="00236CC3" w:rsidRPr="00236CC3" w:rsidRDefault="00236CC3" w:rsidP="00236CC3">
            <w:pPr>
              <w:tabs>
                <w:tab w:val="center" w:pos="4153"/>
                <w:tab w:val="right" w:pos="8306"/>
              </w:tabs>
              <w:spacing w:after="60" w:line="240" w:lineRule="auto"/>
              <w:jc w:val="left"/>
              <w:rPr>
                <w:rFonts w:ascii="Tahoma" w:hAnsi="Tahoma" w:cs="Tahoma"/>
                <w:sz w:val="19"/>
                <w:szCs w:val="19"/>
                <w:rtl/>
              </w:rPr>
            </w:pPr>
          </w:p>
        </w:tc>
        <w:tc>
          <w:tcPr>
            <w:tcW w:w="2135" w:type="dxa"/>
            <w:tcBorders>
              <w:bottom w:val="single" w:sz="12" w:space="0" w:color="auto"/>
            </w:tcBorders>
            <w:vAlign w:val="bottom"/>
          </w:tcPr>
          <w:p w14:paraId="2466B753" w14:textId="77777777" w:rsidR="00236CC3" w:rsidRPr="00236CC3" w:rsidRDefault="00000000" w:rsidP="00236CC3">
            <w:pPr>
              <w:tabs>
                <w:tab w:val="center" w:pos="4153"/>
                <w:tab w:val="right" w:pos="8306"/>
              </w:tabs>
              <w:spacing w:after="60" w:line="240" w:lineRule="auto"/>
              <w:jc w:val="left"/>
              <w:rPr>
                <w:rFonts w:ascii="Tahoma" w:hAnsi="Tahoma" w:cs="Tahoma"/>
                <w:sz w:val="19"/>
                <w:szCs w:val="19"/>
                <w:rtl/>
              </w:rPr>
            </w:pPr>
            <w:r w:rsidRPr="00236CC3">
              <w:rPr>
                <w:rFonts w:ascii="Tahoma" w:hAnsi="Tahoma" w:cs="Tahoma"/>
                <w:spacing w:val="-10"/>
                <w:sz w:val="36"/>
                <w:szCs w:val="36"/>
                <w:rtl/>
              </w:rPr>
              <w:t xml:space="preserve"> 210</w:t>
            </w:r>
            <w:r w:rsidRPr="00236CC3">
              <w:rPr>
                <w:rFonts w:ascii="Tahoma" w:hAnsi="Tahoma" w:cs="Tahoma"/>
                <w:spacing w:val="-10"/>
                <w:sz w:val="36"/>
                <w:szCs w:val="36"/>
              </w:rPr>
              <w:t xml:space="preserve"> </w:t>
            </w:r>
            <w:r w:rsidRPr="00236CC3">
              <w:rPr>
                <w:rFonts w:ascii="Tahoma" w:hAnsi="Tahoma" w:cs="Tahoma" w:hint="eastAsia"/>
                <w:spacing w:val="-10"/>
                <w:sz w:val="26"/>
                <w:szCs w:val="26"/>
                <w:rtl/>
              </w:rPr>
              <w:t>חנויות</w:t>
            </w:r>
            <w:r w:rsidRPr="00236CC3">
              <w:rPr>
                <w:rFonts w:ascii="Tahoma" w:hAnsi="Tahoma" w:cs="Tahoma"/>
                <w:spacing w:val="-10"/>
                <w:sz w:val="36"/>
                <w:szCs w:val="36"/>
                <w:rtl/>
              </w:rPr>
              <w:t xml:space="preserve"> </w:t>
            </w:r>
          </w:p>
        </w:tc>
        <w:tc>
          <w:tcPr>
            <w:tcW w:w="417" w:type="dxa"/>
            <w:vAlign w:val="bottom"/>
          </w:tcPr>
          <w:p w14:paraId="1393A719" w14:textId="77777777" w:rsidR="00236CC3" w:rsidRPr="00236CC3" w:rsidRDefault="00236CC3" w:rsidP="00236CC3">
            <w:pPr>
              <w:tabs>
                <w:tab w:val="center" w:pos="4153"/>
                <w:tab w:val="right" w:pos="8306"/>
              </w:tabs>
              <w:spacing w:after="60" w:line="240" w:lineRule="auto"/>
              <w:jc w:val="left"/>
              <w:rPr>
                <w:rFonts w:ascii="Tahoma" w:hAnsi="Tahoma" w:cs="Tahoma"/>
                <w:sz w:val="19"/>
                <w:szCs w:val="19"/>
                <w:rtl/>
              </w:rPr>
            </w:pPr>
          </w:p>
        </w:tc>
        <w:tc>
          <w:tcPr>
            <w:tcW w:w="1951" w:type="dxa"/>
            <w:tcBorders>
              <w:bottom w:val="single" w:sz="12" w:space="0" w:color="auto"/>
            </w:tcBorders>
            <w:vAlign w:val="bottom"/>
          </w:tcPr>
          <w:p w14:paraId="227E298C" w14:textId="77777777" w:rsidR="00236CC3" w:rsidRPr="00236CC3" w:rsidRDefault="00000000" w:rsidP="00236CC3">
            <w:pPr>
              <w:tabs>
                <w:tab w:val="center" w:pos="4153"/>
                <w:tab w:val="right" w:pos="8306"/>
              </w:tabs>
              <w:spacing w:after="60" w:line="240" w:lineRule="auto"/>
              <w:jc w:val="left"/>
              <w:rPr>
                <w:rFonts w:ascii="Tahoma" w:hAnsi="Tahoma" w:cs="Tahoma"/>
                <w:sz w:val="19"/>
                <w:szCs w:val="19"/>
                <w:rtl/>
              </w:rPr>
            </w:pPr>
            <w:r w:rsidRPr="00236CC3">
              <w:rPr>
                <w:rFonts w:ascii="Tahoma" w:hAnsi="Tahoma" w:cs="Tahoma"/>
                <w:spacing w:val="-10"/>
                <w:sz w:val="36"/>
                <w:szCs w:val="36"/>
                <w:rtl/>
              </w:rPr>
              <w:t>403%</w:t>
            </w:r>
          </w:p>
        </w:tc>
      </w:tr>
      <w:tr w:rsidR="004F19B3" w14:paraId="2A4AA7D6" w14:textId="77777777" w:rsidTr="00236CC3">
        <w:trPr>
          <w:trHeight w:val="85"/>
        </w:trPr>
        <w:tc>
          <w:tcPr>
            <w:tcW w:w="9603" w:type="dxa"/>
            <w:gridSpan w:val="8"/>
            <w:shd w:val="clear" w:color="auto" w:fill="auto"/>
            <w:vAlign w:val="center"/>
          </w:tcPr>
          <w:p w14:paraId="4B5F83A8" w14:textId="77777777" w:rsidR="00236CC3" w:rsidRPr="00236CC3" w:rsidRDefault="00236CC3" w:rsidP="00236CC3">
            <w:pPr>
              <w:tabs>
                <w:tab w:val="center" w:pos="4153"/>
                <w:tab w:val="right" w:pos="8306"/>
              </w:tabs>
              <w:spacing w:line="240" w:lineRule="auto"/>
              <w:rPr>
                <w:rFonts w:ascii="Tahoma" w:hAnsi="Tahoma" w:cs="Tahoma"/>
                <w:spacing w:val="-10"/>
                <w:sz w:val="6"/>
                <w:szCs w:val="6"/>
                <w:rtl/>
              </w:rPr>
            </w:pPr>
          </w:p>
        </w:tc>
      </w:tr>
      <w:tr w:rsidR="004F19B3" w14:paraId="1A500DCB" w14:textId="77777777" w:rsidTr="00236CC3">
        <w:trPr>
          <w:trHeight w:val="1155"/>
        </w:trPr>
        <w:tc>
          <w:tcPr>
            <w:tcW w:w="2132" w:type="dxa"/>
          </w:tcPr>
          <w:p w14:paraId="0D15947D"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החיסכון המצרפי של משקי הבית על מוצרי טונה בעקבות הפחתת המכס, לעומת 11 מיליון ש"ח אובדן הכנסות המדינה</w:t>
            </w:r>
          </w:p>
        </w:tc>
        <w:tc>
          <w:tcPr>
            <w:tcW w:w="416" w:type="dxa"/>
          </w:tcPr>
          <w:p w14:paraId="0FEE276D"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271" w:type="dxa"/>
            <w:gridSpan w:val="2"/>
          </w:tcPr>
          <w:p w14:paraId="3E6B33ED"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Pr>
            </w:pPr>
            <w:r w:rsidRPr="00236CC3">
              <w:rPr>
                <w:rFonts w:ascii="Tahoma" w:hAnsi="Tahoma" w:cs="Tahoma" w:hint="cs"/>
                <w:sz w:val="19"/>
                <w:szCs w:val="19"/>
                <w:rtl/>
              </w:rPr>
              <w:t>הגידול בהיקף הצריכה של אננס בישראל. מחירו פחת בכ-50% לאחר הפחתת המכס ופתיחת מדינה נוספת ליבוא</w:t>
            </w:r>
          </w:p>
          <w:p w14:paraId="31B3CED6" w14:textId="77777777" w:rsidR="00236CC3" w:rsidRPr="00236CC3" w:rsidRDefault="00236CC3" w:rsidP="00236CC3">
            <w:pPr>
              <w:tabs>
                <w:tab w:val="center" w:pos="4153"/>
                <w:tab w:val="right" w:pos="8306"/>
              </w:tabs>
              <w:spacing w:line="240" w:lineRule="auto"/>
              <w:ind w:left="360" w:right="23"/>
              <w:jc w:val="left"/>
              <w:rPr>
                <w:rFonts w:ascii="Tahoma" w:hAnsi="Tahoma" w:cs="Tahoma"/>
                <w:sz w:val="19"/>
                <w:szCs w:val="19"/>
                <w:rtl/>
              </w:rPr>
            </w:pPr>
          </w:p>
        </w:tc>
        <w:tc>
          <w:tcPr>
            <w:tcW w:w="281" w:type="dxa"/>
          </w:tcPr>
          <w:p w14:paraId="5A12A302"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18047792"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מתוך 848 חנויות גדולות (25%) הן בעלות ריכוזיות גיאוגרפית גבוהה (בעלות "שיעור </w:t>
            </w:r>
            <w:r w:rsidRPr="00236CC3">
              <w:rPr>
                <w:rFonts w:ascii="Tahoma" w:hAnsi="Tahoma" w:cs="Tahoma" w:hint="cs"/>
                <w:sz w:val="19"/>
                <w:szCs w:val="19"/>
                <w:rtl/>
              </w:rPr>
              <w:lastRenderedPageBreak/>
              <w:t>מחושב מעל 30%) נכון לשנת 2021</w:t>
            </w:r>
          </w:p>
        </w:tc>
        <w:tc>
          <w:tcPr>
            <w:tcW w:w="417" w:type="dxa"/>
          </w:tcPr>
          <w:p w14:paraId="7E6BC878"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951" w:type="dxa"/>
          </w:tcPr>
          <w:p w14:paraId="07F698C9"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hAnsi="Tahoma" w:cs="Tahoma" w:hint="cs"/>
                <w:sz w:val="19"/>
                <w:szCs w:val="19"/>
                <w:rtl/>
              </w:rPr>
              <w:t xml:space="preserve">פער המחירים המרבי לגבי מוצרי האיפור שנדגמו בשנת 2023 בין ישראל (היקרה יותר) למדינות נבחרות </w:t>
            </w:r>
            <w:r w:rsidRPr="00236CC3">
              <w:rPr>
                <w:rFonts w:ascii="Tahoma" w:hAnsi="Tahoma" w:cs="Tahoma" w:hint="cs"/>
                <w:sz w:val="19"/>
                <w:szCs w:val="19"/>
                <w:rtl/>
              </w:rPr>
              <w:lastRenderedPageBreak/>
              <w:t xml:space="preserve">באירופה, </w:t>
            </w:r>
            <w:r w:rsidRPr="00236CC3">
              <w:rPr>
                <w:rFonts w:ascii="Tahoma" w:hAnsi="Tahoma" w:cs="Tahoma"/>
                <w:sz w:val="19"/>
                <w:szCs w:val="19"/>
                <w:rtl/>
              </w:rPr>
              <w:t>גם לאחר כניסתה לתוקף של הרפורמה ליבוא מקביל של תמרוק</w:t>
            </w:r>
            <w:r w:rsidRPr="00236CC3">
              <w:rPr>
                <w:rFonts w:ascii="Tahoma" w:hAnsi="Tahoma" w:cs="Tahoma" w:hint="cs"/>
                <w:sz w:val="19"/>
                <w:szCs w:val="19"/>
                <w:rtl/>
              </w:rPr>
              <w:t>ים</w:t>
            </w:r>
          </w:p>
        </w:tc>
      </w:tr>
      <w:bookmarkEnd w:id="23"/>
    </w:tbl>
    <w:p w14:paraId="0C2DF61F" w14:textId="77777777" w:rsidR="00236CC3" w:rsidRPr="00236CC3" w:rsidRDefault="00236CC3" w:rsidP="00236CC3">
      <w:pPr>
        <w:ind w:left="-710"/>
        <w:rPr>
          <w:rFonts w:eastAsiaTheme="minorHAnsi"/>
          <w:rtl/>
        </w:rPr>
      </w:pPr>
    </w:p>
    <w:p w14:paraId="5A47C0C7" w14:textId="77777777" w:rsidR="00236CC3" w:rsidRPr="00236CC3" w:rsidRDefault="00000000" w:rsidP="00236CC3">
      <w:pPr>
        <w:ind w:left="-710"/>
        <w:rPr>
          <w:rFonts w:ascii="Tahoma" w:eastAsiaTheme="minorHAnsi" w:hAnsi="Tahoma" w:cs="Tahoma"/>
          <w:noProof/>
          <w:rtl/>
        </w:rPr>
      </w:pPr>
      <w:r w:rsidRPr="00236CC3">
        <w:rPr>
          <w:rFonts w:ascii="Tahoma" w:eastAsiaTheme="minorHAnsi" w:hAnsi="Tahoma" w:cs="Tahoma"/>
          <w:noProof/>
        </w:rPr>
        <w:drawing>
          <wp:inline distT="0" distB="0" distL="0" distR="0" wp14:anchorId="51239847" wp14:editId="5D95C8E3">
            <wp:extent cx="6104255" cy="438829"/>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0DBB7101" w14:textId="77777777" w:rsidR="00236CC3" w:rsidRPr="00236CC3" w:rsidRDefault="00236CC3" w:rsidP="00236CC3">
      <w:pPr>
        <w:ind w:left="-710"/>
        <w:rPr>
          <w:rFonts w:ascii="Tahoma" w:eastAsiaTheme="minorHAnsi" w:hAnsi="Tahoma" w:cs="Tahoma"/>
          <w:noProof/>
          <w:rtl/>
        </w:rPr>
      </w:pPr>
    </w:p>
    <w:p w14:paraId="6AEAFD9D" w14:textId="77777777" w:rsidR="00236CC3" w:rsidRPr="00236CC3" w:rsidRDefault="00000000" w:rsidP="00236CC3">
      <w:pPr>
        <w:ind w:left="-710" w:right="-567"/>
        <w:rPr>
          <w:rFonts w:eastAsiaTheme="minorHAnsi"/>
          <w:rtl/>
        </w:rPr>
      </w:pPr>
      <w:r w:rsidRPr="00236CC3">
        <w:rPr>
          <w:rFonts w:ascii="Tahoma" w:eastAsiaTheme="minorHAnsi" w:hAnsi="Tahoma" w:cs="Tahoma"/>
          <w:noProof/>
          <w:rtl/>
        </w:rPr>
        <w:drawing>
          <wp:inline distT="0" distB="0" distL="0" distR="0" wp14:anchorId="56489849" wp14:editId="3A0710F8">
            <wp:extent cx="2616789" cy="200650"/>
            <wp:effectExtent l="0" t="0" r="0" b="9525"/>
            <wp:docPr id="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54107076" w14:textId="77777777" w:rsidR="00236CC3" w:rsidRPr="00236CC3" w:rsidRDefault="00236CC3" w:rsidP="00236CC3">
      <w:pPr>
        <w:rPr>
          <w:rFonts w:ascii="Tahoma" w:eastAsiaTheme="minorHAnsi" w:hAnsi="Tahoma" w:cs="Tahoma"/>
          <w:b/>
          <w:bCs/>
          <w:sz w:val="11"/>
          <w:szCs w:val="11"/>
          <w:rtl/>
        </w:rPr>
      </w:pPr>
      <w:bookmarkStart w:id="25" w:name="_Hlk167347705"/>
    </w:p>
    <w:bookmarkEnd w:id="25"/>
    <w:p w14:paraId="15B74599"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הכרזת מונופול וקבוצות ריכוז על ידי רשות התחרות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b/>
          <w:bCs/>
          <w:sz w:val="19"/>
          <w:szCs w:val="19"/>
          <w:rtl/>
        </w:rPr>
        <w:t>למעט פעילותה בשוק התה</w:t>
      </w:r>
      <w:r w:rsidRPr="00236CC3">
        <w:rPr>
          <w:rFonts w:ascii="Tahoma" w:eastAsiaTheme="minorHAnsi" w:hAnsi="Tahoma" w:cs="Tahoma" w:hint="cs"/>
          <w:b/>
          <w:bCs/>
          <w:sz w:val="19"/>
          <w:szCs w:val="19"/>
          <w:rtl/>
        </w:rPr>
        <w:t xml:space="preserve"> בשנת 2023</w:t>
      </w:r>
      <w:r w:rsidRPr="00236CC3">
        <w:rPr>
          <w:rFonts w:ascii="Tahoma" w:eastAsiaTheme="minorHAnsi" w:hAnsi="Tahoma" w:cs="Tahoma"/>
          <w:b/>
          <w:bCs/>
          <w:sz w:val="19"/>
          <w:szCs w:val="19"/>
          <w:rtl/>
        </w:rPr>
        <w:t>, רשות התחרות לא בחנה</w:t>
      </w:r>
      <w:r w:rsidRPr="00236CC3">
        <w:rPr>
          <w:rFonts w:ascii="Tahoma" w:eastAsiaTheme="minorHAnsi" w:hAnsi="Tahoma" w:cs="Tahoma" w:hint="cs"/>
          <w:b/>
          <w:bCs/>
          <w:sz w:val="19"/>
          <w:szCs w:val="19"/>
          <w:rtl/>
        </w:rPr>
        <w:t xml:space="preserve"> ב</w:t>
      </w:r>
      <w:r w:rsidRPr="00236CC3">
        <w:rPr>
          <w:rFonts w:ascii="Tahoma" w:eastAsiaTheme="minorHAnsi" w:hAnsi="Tahoma" w:cs="Tahoma"/>
          <w:b/>
          <w:bCs/>
          <w:sz w:val="19"/>
          <w:szCs w:val="19"/>
          <w:rtl/>
        </w:rPr>
        <w:t>אופן שיטתי קטגוריות נוספות בתחום המזון ומוצרי הצריכה שיש בהן ריכוזיות גבוהה</w:t>
      </w:r>
      <w:r w:rsidRPr="00236CC3">
        <w:rPr>
          <w:rFonts w:ascii="Tahoma" w:eastAsiaTheme="minorHAnsi" w:hAnsi="Tahoma" w:cs="Tahoma"/>
          <w:sz w:val="19"/>
          <w:szCs w:val="19"/>
          <w:rtl/>
        </w:rPr>
        <w:t xml:space="preserve"> מבחינת יכולת הספקים להשפיע על התחרות ועל מחיר המוצרים, ובכללן קטגוריות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בהן שולטים יבואנים ישירים.</w:t>
      </w:r>
      <w:r w:rsidRPr="00236CC3">
        <w:rPr>
          <w:rFonts w:ascii="Tahoma" w:eastAsiaTheme="minorHAnsi" w:hAnsi="Tahoma" w:cs="Tahoma" w:hint="cs"/>
          <w:sz w:val="19"/>
          <w:szCs w:val="19"/>
          <w:rtl/>
        </w:rPr>
        <w:t xml:space="preserve"> נמצא </w:t>
      </w:r>
      <w:r w:rsidRPr="00236CC3">
        <w:rPr>
          <w:rFonts w:ascii="Tahoma" w:eastAsiaTheme="minorHAnsi" w:hAnsi="Tahoma" w:cs="Tahoma"/>
          <w:sz w:val="19"/>
          <w:szCs w:val="19"/>
          <w:rtl/>
        </w:rPr>
        <w:t xml:space="preserve">כי </w:t>
      </w:r>
      <w:r w:rsidRPr="00236CC3">
        <w:rPr>
          <w:rFonts w:ascii="Tahoma" w:eastAsiaTheme="minorHAnsi" w:hAnsi="Tahoma" w:cs="Tahoma"/>
          <w:b/>
          <w:bCs/>
          <w:sz w:val="19"/>
          <w:szCs w:val="19"/>
          <w:rtl/>
        </w:rPr>
        <w:t>ב-36 מתוך 38 קטגוריות בענף המזון נותרה ריכוזיות גבוהה</w:t>
      </w:r>
      <w:r w:rsidRPr="00236CC3">
        <w:rPr>
          <w:rFonts w:ascii="Tahoma" w:eastAsiaTheme="minorHAnsi" w:hAnsi="Tahoma" w:cs="Tahoma"/>
          <w:sz w:val="19"/>
          <w:szCs w:val="19"/>
          <w:rtl/>
        </w:rPr>
        <w:t xml:space="preserve"> (מעל 50% מהשוק)</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ב-20 קטגוריות מזון חלקן של שלוש החברות השולטות בקטגוריה גבוה מ-85%, והממוצע של חלקן בכל הקטגוריות עומד על כ-84%</w:t>
      </w:r>
      <w:r w:rsidRPr="00236CC3">
        <w:rPr>
          <w:rFonts w:ascii="Tahoma" w:eastAsiaTheme="minorHAnsi" w:hAnsi="Tahoma" w:cs="Tahoma" w:hint="cs"/>
          <w:sz w:val="19"/>
          <w:szCs w:val="19"/>
          <w:rtl/>
        </w:rPr>
        <w:t xml:space="preserve"> (כך למשל, בקטגוריה שמנת מתוקה שלוש החברות הגדולות בקטגוריה מחזיקות 99% מהשוק, בקטגוריה קפה נמס הן מחזיקות 93% מהשוק ובקטגוריה דגני בוקר - 87% מהשוק)</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אף שקיימת ריכוזיות משמעותית של ספקים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 xml:space="preserve">להם </w:t>
      </w:r>
      <w:r w:rsidRPr="00236CC3">
        <w:rPr>
          <w:rFonts w:ascii="Tahoma" w:eastAsiaTheme="minorHAnsi" w:hAnsi="Tahoma" w:cs="Tahoma" w:hint="cs"/>
          <w:sz w:val="19"/>
          <w:szCs w:val="19"/>
          <w:rtl/>
        </w:rPr>
        <w:t>יותר</w:t>
      </w:r>
      <w:r w:rsidRPr="00236CC3">
        <w:rPr>
          <w:rFonts w:ascii="Tahoma" w:eastAsiaTheme="minorHAnsi" w:hAnsi="Tahoma" w:cs="Tahoma"/>
          <w:sz w:val="19"/>
          <w:szCs w:val="19"/>
          <w:rtl/>
        </w:rPr>
        <w:t xml:space="preserve"> מ-50% מהאספקה ב-36 קטגוריות מזון</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 xml:space="preserve">נכון לשנת 2023 רשות התחרות לא בחנה </w:t>
      </w:r>
      <w:r w:rsidRPr="00236CC3">
        <w:rPr>
          <w:rFonts w:ascii="Tahoma" w:eastAsiaTheme="minorHAnsi" w:hAnsi="Tahoma" w:cs="Tahoma" w:hint="cs"/>
          <w:b/>
          <w:bCs/>
          <w:sz w:val="19"/>
          <w:szCs w:val="19"/>
          <w:rtl/>
        </w:rPr>
        <w:t xml:space="preserve">את </w:t>
      </w:r>
      <w:r w:rsidRPr="00236CC3">
        <w:rPr>
          <w:rFonts w:ascii="Tahoma" w:eastAsiaTheme="minorHAnsi" w:hAnsi="Tahoma" w:cs="Tahoma"/>
          <w:b/>
          <w:bCs/>
          <w:sz w:val="19"/>
          <w:szCs w:val="19"/>
          <w:rtl/>
        </w:rPr>
        <w:t>הצורך להכריז על קבוצות ריכוז בענף המזון</w:t>
      </w:r>
      <w:r w:rsidRPr="00236CC3">
        <w:rPr>
          <w:rFonts w:ascii="Tahoma" w:eastAsiaTheme="minorHAnsi" w:hAnsi="Tahoma" w:cs="Tahoma"/>
          <w:sz w:val="19"/>
          <w:szCs w:val="19"/>
          <w:rtl/>
        </w:rPr>
        <w:t xml:space="preserve"> ולהורות לחבריהן על נקיטת צעדים להגברה ניכרת של התחרות בענף המזון.</w:t>
      </w:r>
    </w:p>
    <w:p w14:paraId="32F5B32F"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cs"/>
          <w:b/>
          <w:bCs/>
          <w:sz w:val="19"/>
          <w:szCs w:val="19"/>
          <w:rtl/>
        </w:rPr>
        <w:t>השפעת מלחמת "חרבות ברזל" על יוקר המחיה -</w:t>
      </w:r>
      <w:r w:rsidRPr="00236CC3">
        <w:rPr>
          <w:rFonts w:ascii="Tahoma" w:eastAsiaTheme="minorHAnsi" w:hAnsi="Tahoma" w:cs="Tahoma" w:hint="cs"/>
          <w:sz w:val="19"/>
          <w:szCs w:val="19"/>
          <w:rtl/>
        </w:rPr>
        <w:t xml:space="preserve"> במהלך המלחמה היקף כוח האדם בתעשייה הצטמצם ב-18% ותפוקת המפעלים בישראל הצטמצמה בכ-50% בשלושת החודשים הראשונים למלחמת חרבות ברזל. כמו כן נמצאו עליות מחירי מזון בשיעור בין 2.9% ל- 6% ברשתות המזון</w:t>
      </w:r>
      <w:r>
        <w:rPr>
          <w:rFonts w:ascii="Tahoma" w:eastAsiaTheme="minorHAnsi" w:hAnsi="Tahoma" w:cs="Tahoma"/>
          <w:sz w:val="19"/>
          <w:szCs w:val="19"/>
          <w:vertAlign w:val="superscript"/>
          <w:rtl/>
        </w:rPr>
        <w:footnoteReference w:id="1"/>
      </w:r>
      <w:r w:rsidRPr="00236CC3">
        <w:rPr>
          <w:rFonts w:ascii="Tahoma" w:eastAsiaTheme="minorHAnsi" w:hAnsi="Tahoma" w:cs="Tahoma" w:hint="cs"/>
          <w:sz w:val="19"/>
          <w:szCs w:val="19"/>
          <w:rtl/>
        </w:rPr>
        <w:t xml:space="preserve"> באותה התקופה. באותה התקופה לא הייתה חקיקה שאפשרה לרשות להגנת הצרכן להתמודד עם עליות המחירים שהיו </w:t>
      </w:r>
      <w:r w:rsidRPr="00236CC3">
        <w:rPr>
          <w:rFonts w:ascii="Tahoma" w:eastAsiaTheme="minorHAnsi" w:hAnsi="Tahoma" w:cs="Tahoma" w:hint="eastAsia"/>
          <w:sz w:val="19"/>
          <w:szCs w:val="19"/>
          <w:rtl/>
        </w:rPr>
        <w:t>לכאורה</w:t>
      </w:r>
      <w:r w:rsidRPr="00236CC3">
        <w:rPr>
          <w:rFonts w:ascii="Tahoma" w:eastAsiaTheme="minorHAnsi" w:hAnsi="Tahoma" w:cs="Tahoma" w:hint="cs"/>
          <w:sz w:val="19"/>
          <w:szCs w:val="19"/>
          <w:rtl/>
        </w:rPr>
        <w:t xml:space="preserve"> ללא הצדקה כלכלית.</w:t>
      </w:r>
    </w:p>
    <w:p w14:paraId="16E7D92F" w14:textId="77777777" w:rsidR="00236CC3" w:rsidRPr="00236CC3" w:rsidRDefault="00000000" w:rsidP="00236CC3">
      <w:pPr>
        <w:numPr>
          <w:ilvl w:val="0"/>
          <w:numId w:val="21"/>
        </w:numPr>
        <w:ind w:left="-143" w:right="-567" w:hanging="567"/>
        <w:contextualSpacing/>
        <w:rPr>
          <w:rFonts w:ascii="Tahoma" w:eastAsiaTheme="minorHAnsi" w:hAnsi="Tahoma" w:cs="Tahoma"/>
          <w:sz w:val="19"/>
          <w:szCs w:val="19"/>
        </w:rPr>
      </w:pPr>
      <w:r w:rsidRPr="00236CC3">
        <w:rPr>
          <w:rFonts w:ascii="Tahoma" w:eastAsiaTheme="minorHAnsi" w:hAnsi="Tahoma" w:cs="Tahoma" w:hint="cs"/>
          <w:b/>
          <w:bCs/>
          <w:sz w:val="19"/>
          <w:szCs w:val="19"/>
          <w:rtl/>
        </w:rPr>
        <w:t xml:space="preserve">קונגלמרטים בתחום המזון והצריכה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בשנת 2023 </w:t>
      </w:r>
      <w:r w:rsidRPr="00236CC3">
        <w:rPr>
          <w:rFonts w:ascii="Tahoma" w:eastAsiaTheme="minorHAnsi" w:hAnsi="Tahoma" w:cs="Tahoma"/>
          <w:sz w:val="19"/>
          <w:szCs w:val="19"/>
          <w:rtl/>
        </w:rPr>
        <w:t xml:space="preserve">יש לפחות 13 חברות </w:t>
      </w:r>
      <w:r w:rsidRPr="00236CC3">
        <w:rPr>
          <w:rFonts w:ascii="Tahoma" w:eastAsiaTheme="minorHAnsi" w:hAnsi="Tahoma" w:cs="Tahoma" w:hint="cs"/>
          <w:sz w:val="19"/>
          <w:szCs w:val="19"/>
          <w:rtl/>
        </w:rPr>
        <w:t xml:space="preserve">וקבוצות מסחריות </w:t>
      </w:r>
      <w:r w:rsidRPr="00236CC3">
        <w:rPr>
          <w:rFonts w:ascii="Tahoma" w:eastAsiaTheme="minorHAnsi" w:hAnsi="Tahoma" w:cs="Tahoma"/>
          <w:sz w:val="19"/>
          <w:szCs w:val="19"/>
          <w:rtl/>
        </w:rPr>
        <w:t>בישראל</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שהן קונגלומרט בתחום המזון ומוצרי הצריכה, משמע הן פועלות בו</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זמנית בכמה קטגוריות בתחום המזון.</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חלק מהחברות אף מחזיקות בנתח שוק </w:t>
      </w:r>
      <w:r w:rsidRPr="00236CC3">
        <w:rPr>
          <w:rFonts w:ascii="Tahoma" w:eastAsiaTheme="minorHAnsi" w:hAnsi="Tahoma" w:cs="Tahoma" w:hint="cs"/>
          <w:sz w:val="19"/>
          <w:szCs w:val="19"/>
          <w:rtl/>
        </w:rPr>
        <w:t>גדול</w:t>
      </w:r>
      <w:r w:rsidRPr="00236CC3">
        <w:rPr>
          <w:rFonts w:ascii="Tahoma" w:eastAsiaTheme="minorHAnsi" w:hAnsi="Tahoma" w:cs="Tahoma"/>
          <w:sz w:val="19"/>
          <w:szCs w:val="19"/>
          <w:rtl/>
        </w:rPr>
        <w:t xml:space="preserve"> בקטגוריות שהן פועלות בהן.</w:t>
      </w:r>
      <w:r w:rsidRPr="00236CC3">
        <w:rPr>
          <w:rFonts w:ascii="Tahoma" w:eastAsiaTheme="minorHAnsi" w:hAnsi="Tahoma" w:cs="Tahoma" w:hint="cs"/>
          <w:sz w:val="19"/>
          <w:szCs w:val="19"/>
          <w:rtl/>
        </w:rPr>
        <w:t xml:space="preserve"> </w:t>
      </w:r>
    </w:p>
    <w:p w14:paraId="5783A203" w14:textId="77777777" w:rsidR="00236CC3" w:rsidRPr="00236CC3" w:rsidRDefault="00236CC3" w:rsidP="00236CC3">
      <w:pPr>
        <w:ind w:left="-143" w:right="-567"/>
        <w:contextualSpacing/>
        <w:rPr>
          <w:rFonts w:ascii="Tahoma" w:eastAsiaTheme="minorHAnsi" w:hAnsi="Tahoma" w:cs="Tahoma"/>
          <w:b/>
          <w:bCs/>
          <w:sz w:val="11"/>
          <w:szCs w:val="11"/>
          <w:rtl/>
        </w:rPr>
      </w:pPr>
    </w:p>
    <w:p w14:paraId="6FEB20EF" w14:textId="77777777" w:rsidR="00236CC3" w:rsidRPr="00236CC3" w:rsidRDefault="00000000" w:rsidP="00236CC3">
      <w:pPr>
        <w:numPr>
          <w:ilvl w:val="0"/>
          <w:numId w:val="27"/>
        </w:numPr>
        <w:ind w:left="278" w:right="-567" w:hanging="357"/>
        <w:contextualSpacing/>
        <w:rPr>
          <w:rFonts w:ascii="Tahoma" w:eastAsiaTheme="minorHAnsi" w:hAnsi="Tahoma" w:cs="Tahoma"/>
          <w:sz w:val="19"/>
          <w:szCs w:val="19"/>
        </w:rPr>
      </w:pPr>
      <w:r w:rsidRPr="00236CC3">
        <w:rPr>
          <w:rFonts w:ascii="Tahoma" w:eastAsiaTheme="minorHAnsi" w:hAnsi="Tahoma" w:cs="Tahoma"/>
          <w:b/>
          <w:bCs/>
          <w:sz w:val="19"/>
          <w:szCs w:val="19"/>
          <w:rtl/>
        </w:rPr>
        <w:t>מיזוגים חדשים</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במקרה שספק גדול של מוצר מזון מבקש להיכנס לפעילות בקטגוריה אחרת בענף המזון באמצעות מיזוג עם ספק בקטגוריה האחרת</w:t>
      </w:r>
      <w:r w:rsidRPr="00236CC3">
        <w:rPr>
          <w:rFonts w:ascii="Tahoma" w:eastAsiaTheme="minorHAnsi" w:hAnsi="Tahoma" w:cs="Tahoma" w:hint="cs"/>
          <w:sz w:val="19"/>
          <w:szCs w:val="19"/>
          <w:rtl/>
        </w:rPr>
        <w:t>, דהיינו מיזוג קונגלומרטי</w:t>
      </w:r>
      <w:r w:rsidRPr="00236CC3">
        <w:rPr>
          <w:rFonts w:ascii="Tahoma" w:eastAsiaTheme="minorHAnsi" w:hAnsi="Tahoma" w:cs="Tahoma"/>
          <w:sz w:val="19"/>
          <w:szCs w:val="19"/>
          <w:rtl/>
        </w:rPr>
        <w:t>, רשות התחרות בוחנת את השפעת המיזוג על התחרות בקטגוריה האחרת. נוסף על כך</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הרשות בוחנת את הפגיעה האפשרית </w:t>
      </w:r>
      <w:r w:rsidRPr="00236CC3">
        <w:rPr>
          <w:rFonts w:ascii="Tahoma" w:eastAsiaTheme="minorHAnsi" w:hAnsi="Tahoma" w:cs="Tahoma"/>
          <w:sz w:val="19"/>
          <w:szCs w:val="19"/>
          <w:rtl/>
        </w:rPr>
        <w:lastRenderedPageBreak/>
        <w:t>בתחרות בעקבות המיזוג גם בתחומים הקיימים שבהם עוסק הרוכש</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עם זאת, </w:t>
      </w:r>
      <w:r w:rsidRPr="00236CC3">
        <w:rPr>
          <w:rFonts w:ascii="Tahoma" w:eastAsiaTheme="minorHAnsi" w:hAnsi="Tahoma" w:cs="Tahoma" w:hint="cs"/>
          <w:sz w:val="19"/>
          <w:szCs w:val="19"/>
          <w:rtl/>
        </w:rPr>
        <w:t>מיזוגים מסוג אלה שבהם הצדדים פועלים כל אחד בענף אחר, אינם מעלים חשש ברור לפגיעה בתחרות, וזאת בשונה ממיזוגים של ספקים הפועלים באותם ענפים; לכן,</w:t>
      </w:r>
      <w:r w:rsidRPr="00236CC3">
        <w:rPr>
          <w:rFonts w:ascii="Tahoma" w:eastAsiaTheme="minorHAnsi" w:hAnsi="Tahoma" w:cs="Tahoma"/>
          <w:sz w:val="19"/>
          <w:szCs w:val="19"/>
          <w:rtl/>
        </w:rPr>
        <w:t xml:space="preserve"> רשות התחרות </w:t>
      </w:r>
      <w:r w:rsidRPr="00236CC3">
        <w:rPr>
          <w:rFonts w:ascii="Tahoma" w:eastAsiaTheme="minorHAnsi" w:hAnsi="Tahoma" w:cs="Tahoma" w:hint="cs"/>
          <w:sz w:val="19"/>
          <w:szCs w:val="19"/>
          <w:rtl/>
        </w:rPr>
        <w:t xml:space="preserve">מתקשה </w:t>
      </w:r>
      <w:r w:rsidRPr="00236CC3">
        <w:rPr>
          <w:rFonts w:ascii="Tahoma" w:eastAsiaTheme="minorHAnsi" w:hAnsi="Tahoma" w:cs="Tahoma"/>
          <w:sz w:val="19"/>
          <w:szCs w:val="19"/>
          <w:rtl/>
        </w:rPr>
        <w:t>לכמת את חששות</w:t>
      </w:r>
      <w:r w:rsidRPr="00236CC3">
        <w:rPr>
          <w:rFonts w:ascii="Tahoma" w:eastAsiaTheme="minorHAnsi" w:hAnsi="Tahoma" w:cs="Tahoma" w:hint="cs"/>
          <w:sz w:val="19"/>
          <w:szCs w:val="19"/>
          <w:rtl/>
        </w:rPr>
        <w:t>יה</w:t>
      </w:r>
      <w:r w:rsidRPr="00236CC3">
        <w:rPr>
          <w:rFonts w:ascii="Tahoma" w:eastAsiaTheme="minorHAnsi" w:hAnsi="Tahoma" w:cs="Tahoma"/>
          <w:sz w:val="19"/>
          <w:szCs w:val="19"/>
          <w:rtl/>
        </w:rPr>
        <w:t xml:space="preserve"> ולבסס התנגדויות למיזוגים בעלי מאפיינים אלו.</w:t>
      </w:r>
    </w:p>
    <w:p w14:paraId="2A5B547B" w14:textId="77777777" w:rsidR="00236CC3" w:rsidRPr="00236CC3" w:rsidRDefault="00236CC3" w:rsidP="00236CC3">
      <w:pPr>
        <w:ind w:left="-143" w:right="-567"/>
        <w:contextualSpacing/>
        <w:rPr>
          <w:rFonts w:ascii="Tahoma" w:eastAsiaTheme="minorHAnsi" w:hAnsi="Tahoma" w:cs="Tahoma"/>
          <w:sz w:val="11"/>
          <w:szCs w:val="11"/>
        </w:rPr>
      </w:pPr>
    </w:p>
    <w:p w14:paraId="0CC4BCA4" w14:textId="77777777" w:rsidR="00236CC3" w:rsidRPr="00236CC3" w:rsidRDefault="00000000" w:rsidP="00236CC3">
      <w:pPr>
        <w:numPr>
          <w:ilvl w:val="0"/>
          <w:numId w:val="27"/>
        </w:numPr>
        <w:spacing w:after="120"/>
        <w:ind w:left="278" w:right="-567" w:hanging="357"/>
        <w:rPr>
          <w:rFonts w:ascii="Tahoma" w:eastAsiaTheme="minorHAnsi" w:hAnsi="Tahoma" w:cs="Tahoma"/>
          <w:sz w:val="19"/>
          <w:szCs w:val="19"/>
          <w:rtl/>
        </w:rPr>
      </w:pPr>
      <w:r w:rsidRPr="00236CC3">
        <w:rPr>
          <w:rFonts w:ascii="Tahoma" w:eastAsiaTheme="minorHAnsi" w:hAnsi="Tahoma" w:cs="Tahoma"/>
          <w:b/>
          <w:bCs/>
          <w:sz w:val="19"/>
          <w:szCs w:val="19"/>
          <w:rtl/>
        </w:rPr>
        <w:t>מיזוגים שאושרו בעבר</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בענף המזון קיימים גם קונגלומ</w:t>
      </w:r>
      <w:r w:rsidRPr="00236CC3">
        <w:rPr>
          <w:rFonts w:ascii="Tahoma" w:eastAsiaTheme="minorHAnsi" w:hAnsi="Tahoma" w:cs="Tahoma" w:hint="cs"/>
          <w:sz w:val="19"/>
          <w:szCs w:val="19"/>
          <w:rtl/>
        </w:rPr>
        <w:t>ר</w:t>
      </w:r>
      <w:r w:rsidRPr="00236CC3">
        <w:rPr>
          <w:rFonts w:ascii="Tahoma" w:eastAsiaTheme="minorHAnsi" w:hAnsi="Tahoma" w:cs="Tahoma"/>
          <w:sz w:val="19"/>
          <w:szCs w:val="19"/>
          <w:rtl/>
        </w:rPr>
        <w:t>טים עקב מיזוג שנעשה בעבר</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ויכול שמעמדם בקטגוריות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בהן הם פועלים השתנה בינתיים</w:t>
      </w:r>
      <w:r w:rsidRPr="00236CC3">
        <w:rPr>
          <w:rFonts w:ascii="Tahoma" w:eastAsiaTheme="minorHAnsi" w:hAnsi="Tahoma" w:cs="Tahoma" w:hint="cs"/>
          <w:sz w:val="19"/>
          <w:szCs w:val="19"/>
          <w:rtl/>
        </w:rPr>
        <w:t>. כמו</w:t>
      </w:r>
      <w:r w:rsidRPr="00236CC3">
        <w:rPr>
          <w:rFonts w:ascii="Tahoma" w:eastAsiaTheme="minorHAnsi" w:hAnsi="Tahoma" w:cs="Tahoma"/>
          <w:sz w:val="19"/>
          <w:szCs w:val="19"/>
          <w:rtl/>
        </w:rPr>
        <w:t xml:space="preserve"> כן</w:t>
      </w:r>
      <w:r w:rsidRPr="00236CC3">
        <w:rPr>
          <w:rFonts w:ascii="Tahoma" w:eastAsiaTheme="minorHAnsi" w:hAnsi="Tahoma" w:cs="Tahoma" w:hint="cs"/>
          <w:sz w:val="19"/>
          <w:szCs w:val="19"/>
          <w:rtl/>
        </w:rPr>
        <w:t>, קיימים</w:t>
      </w:r>
      <w:r w:rsidRPr="00236CC3">
        <w:rPr>
          <w:rFonts w:ascii="Tahoma" w:eastAsiaTheme="minorHAnsi" w:hAnsi="Tahoma" w:cs="Tahoma"/>
          <w:sz w:val="19"/>
          <w:szCs w:val="19"/>
          <w:rtl/>
        </w:rPr>
        <w:t xml:space="preserve"> קונגלומ</w:t>
      </w:r>
      <w:r w:rsidRPr="00236CC3">
        <w:rPr>
          <w:rFonts w:ascii="Tahoma" w:eastAsiaTheme="minorHAnsi" w:hAnsi="Tahoma" w:cs="Tahoma" w:hint="cs"/>
          <w:sz w:val="19"/>
          <w:szCs w:val="19"/>
          <w:rtl/>
        </w:rPr>
        <w:t>ר</w:t>
      </w:r>
      <w:r w:rsidRPr="00236CC3">
        <w:rPr>
          <w:rFonts w:ascii="Tahoma" w:eastAsiaTheme="minorHAnsi" w:hAnsi="Tahoma" w:cs="Tahoma"/>
          <w:sz w:val="19"/>
          <w:szCs w:val="19"/>
          <w:rtl/>
        </w:rPr>
        <w:t xml:space="preserve">טים שלא עקב מיזוג, שהם בעלי נתח שוק </w:t>
      </w:r>
      <w:r w:rsidRPr="00236CC3">
        <w:rPr>
          <w:rFonts w:ascii="Tahoma" w:eastAsiaTheme="minorHAnsi" w:hAnsi="Tahoma" w:cs="Tahoma" w:hint="cs"/>
          <w:sz w:val="19"/>
          <w:szCs w:val="19"/>
          <w:rtl/>
        </w:rPr>
        <w:t>גדול</w:t>
      </w:r>
      <w:r w:rsidRPr="00236CC3">
        <w:rPr>
          <w:rFonts w:ascii="Tahoma" w:eastAsiaTheme="minorHAnsi" w:hAnsi="Tahoma" w:cs="Tahoma"/>
          <w:sz w:val="19"/>
          <w:szCs w:val="19"/>
          <w:rtl/>
        </w:rPr>
        <w:t xml:space="preserve"> בקטגוריית מזון אחת לפחות, ולגבי</w:t>
      </w:r>
      <w:r w:rsidRPr="00236CC3">
        <w:rPr>
          <w:rFonts w:ascii="Tahoma" w:eastAsiaTheme="minorHAnsi" w:hAnsi="Tahoma" w:cs="Tahoma" w:hint="cs"/>
          <w:sz w:val="19"/>
          <w:szCs w:val="19"/>
          <w:rtl/>
        </w:rPr>
        <w:t>הם</w:t>
      </w:r>
      <w:r w:rsidRPr="00236CC3">
        <w:rPr>
          <w:rFonts w:ascii="Tahoma" w:eastAsiaTheme="minorHAnsi" w:hAnsi="Tahoma" w:cs="Tahoma"/>
          <w:sz w:val="19"/>
          <w:szCs w:val="19"/>
          <w:rtl/>
        </w:rPr>
        <w:t xml:space="preserve"> רשות התחרות אינה בוחנת את השפעת פעילותם על התחרות בקטגוריות המזון האחרות. </w:t>
      </w:r>
    </w:p>
    <w:p w14:paraId="72859DC4"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מקטע הספקים המשפיע על הריכוזיות בשוק המזון והצריכה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נתח השוק של </w:t>
      </w:r>
      <w:r w:rsidRPr="00236CC3">
        <w:rPr>
          <w:rFonts w:ascii="Tahoma" w:eastAsiaTheme="minorHAnsi" w:hAnsi="Tahoma" w:cs="Tahoma" w:hint="eastAsia"/>
          <w:sz w:val="19"/>
          <w:szCs w:val="19"/>
          <w:rtl/>
        </w:rPr>
        <w:t>חמשת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הספקים</w:t>
      </w:r>
      <w:r w:rsidRPr="00236CC3">
        <w:rPr>
          <w:rFonts w:ascii="Tahoma" w:eastAsiaTheme="minorHAnsi" w:hAnsi="Tahoma" w:cs="Tahoma"/>
          <w:sz w:val="19"/>
          <w:szCs w:val="19"/>
          <w:rtl/>
        </w:rPr>
        <w:t xml:space="preserve"> הגדולים</w:t>
      </w:r>
      <w:r w:rsidRPr="00236CC3">
        <w:rPr>
          <w:rFonts w:ascii="Tahoma" w:eastAsiaTheme="minorHAnsi" w:hAnsi="Tahoma" w:cs="Tahoma" w:hint="cs"/>
          <w:sz w:val="19"/>
          <w:szCs w:val="19"/>
          <w:rtl/>
        </w:rPr>
        <w:t xml:space="preserve"> בשוק המזון והצריכה</w:t>
      </w:r>
      <w:r w:rsidRPr="00236CC3">
        <w:rPr>
          <w:rFonts w:ascii="Tahoma" w:eastAsiaTheme="minorHAnsi" w:hAnsi="Tahoma" w:cs="Tahoma"/>
          <w:sz w:val="19"/>
          <w:szCs w:val="19"/>
          <w:rtl/>
        </w:rPr>
        <w:t xml:space="preserve"> אומנם הצטמצם מעט במשך השנים, כך שבשנת 2022 הם </w:t>
      </w:r>
      <w:r w:rsidRPr="00236CC3">
        <w:rPr>
          <w:rFonts w:ascii="Tahoma" w:eastAsiaTheme="minorHAnsi" w:hAnsi="Tahoma" w:cs="Tahoma" w:hint="cs"/>
          <w:sz w:val="19"/>
          <w:szCs w:val="19"/>
          <w:rtl/>
        </w:rPr>
        <w:t>החזיקו</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ב</w:t>
      </w:r>
      <w:r w:rsidRPr="00236CC3">
        <w:rPr>
          <w:rFonts w:ascii="Tahoma" w:eastAsiaTheme="minorHAnsi" w:hAnsi="Tahoma" w:cs="Tahoma"/>
          <w:sz w:val="19"/>
          <w:szCs w:val="19"/>
          <w:rtl/>
        </w:rPr>
        <w:t>כ-37.5% מנתח שוק המזון בישראל</w:t>
      </w:r>
      <w:r w:rsidRPr="00236CC3">
        <w:rPr>
          <w:rFonts w:ascii="Tahoma" w:eastAsiaTheme="minorHAnsi" w:hAnsi="Tahoma" w:cs="Tahoma" w:hint="cs"/>
          <w:sz w:val="19"/>
          <w:szCs w:val="19"/>
          <w:rtl/>
        </w:rPr>
        <w:t xml:space="preserve"> לעומת 42.7% בשנת </w:t>
      </w:r>
      <w:r w:rsidRPr="00236CC3">
        <w:rPr>
          <w:rFonts w:ascii="Tahoma" w:eastAsiaTheme="minorHAnsi" w:hAnsi="Tahoma" w:cs="Tahoma"/>
          <w:sz w:val="19"/>
          <w:szCs w:val="19"/>
          <w:rtl/>
        </w:rPr>
        <w:t xml:space="preserve">2017, אך </w:t>
      </w:r>
      <w:r w:rsidRPr="00236CC3">
        <w:rPr>
          <w:rFonts w:ascii="Tahoma" w:eastAsiaTheme="minorHAnsi" w:hAnsi="Tahoma" w:cs="Tahoma" w:hint="cs"/>
          <w:sz w:val="19"/>
          <w:szCs w:val="19"/>
          <w:rtl/>
        </w:rPr>
        <w:t xml:space="preserve">לדברי רשות התחרות </w:t>
      </w:r>
      <w:r w:rsidRPr="00236CC3">
        <w:rPr>
          <w:rFonts w:ascii="Tahoma" w:eastAsiaTheme="minorHAnsi" w:hAnsi="Tahoma" w:cs="Tahoma"/>
          <w:sz w:val="19"/>
          <w:szCs w:val="19"/>
          <w:rtl/>
        </w:rPr>
        <w:t xml:space="preserve">הוא עדיין </w:t>
      </w:r>
      <w:r w:rsidRPr="00236CC3">
        <w:rPr>
          <w:rFonts w:ascii="Tahoma" w:eastAsiaTheme="minorHAnsi" w:hAnsi="Tahoma" w:cs="Tahoma" w:hint="cs"/>
          <w:sz w:val="19"/>
          <w:szCs w:val="19"/>
          <w:rtl/>
        </w:rPr>
        <w:t xml:space="preserve">ריכוזי </w:t>
      </w:r>
      <w:r w:rsidRPr="00236CC3">
        <w:rPr>
          <w:rFonts w:ascii="Tahoma" w:eastAsiaTheme="minorHAnsi" w:hAnsi="Tahoma" w:cs="Tahoma"/>
          <w:sz w:val="19"/>
          <w:szCs w:val="19"/>
          <w:rtl/>
        </w:rPr>
        <w:t xml:space="preserve">ומצביע על הריכוזיות הגבוהה בשוק המזון ומוצרי הצריכה בישראל. </w:t>
      </w:r>
    </w:p>
    <w:p w14:paraId="0B025F45"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שיווק מותג פרטי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עלה</w:t>
      </w:r>
      <w:r w:rsidRPr="00236CC3">
        <w:rPr>
          <w:rFonts w:ascii="Tahoma" w:eastAsiaTheme="minorHAnsi" w:hAnsi="Tahoma" w:cs="Tahoma"/>
          <w:sz w:val="19"/>
          <w:szCs w:val="19"/>
          <w:rtl/>
        </w:rPr>
        <w:t xml:space="preserve"> כי חלקו של המותג הפרטי מסך המכר הכולל של מוצרי מזון ומוצרי צריכה בשוק הקמעונאי משנת 2014 עד 2022 עלה באופן מתון והגיע ל-6.9%</w:t>
      </w:r>
      <w:r w:rsidRPr="00236CC3">
        <w:rPr>
          <w:rFonts w:ascii="Tahoma" w:eastAsiaTheme="minorHAnsi" w:hAnsi="Tahoma" w:cs="Tahoma" w:hint="cs"/>
          <w:sz w:val="19"/>
          <w:szCs w:val="19"/>
          <w:rtl/>
        </w:rPr>
        <w:t xml:space="preserve"> בלבד, לעומת</w:t>
      </w:r>
      <w:r w:rsidRPr="00236CC3">
        <w:rPr>
          <w:rFonts w:ascii="Tahoma" w:eastAsiaTheme="minorHAnsi" w:hAnsi="Tahoma" w:cs="Tahoma"/>
          <w:sz w:val="19"/>
          <w:szCs w:val="19"/>
          <w:rtl/>
        </w:rPr>
        <w:t xml:space="preserve"> נתח השוק הממוצע של המותג הפרטי במדינות נבחרות באירופה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גדול פי חמישה מנתח השוק הממוצע בישראל (36.1% לעומת 6.9%, בהתאמה).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רק במהלך שנת 2023 החלה רשות</w:t>
      </w:r>
      <w:r w:rsidRPr="00236CC3">
        <w:rPr>
          <w:rFonts w:ascii="Tahoma" w:eastAsiaTheme="minorHAnsi" w:hAnsi="Tahoma" w:cs="Tahoma" w:hint="cs"/>
          <w:sz w:val="19"/>
          <w:szCs w:val="19"/>
          <w:rtl/>
        </w:rPr>
        <w:t xml:space="preserve"> התחרות </w:t>
      </w:r>
      <w:r w:rsidRPr="00236CC3">
        <w:rPr>
          <w:rFonts w:ascii="Tahoma" w:eastAsiaTheme="minorHAnsi" w:hAnsi="Tahoma" w:cs="Tahoma"/>
          <w:sz w:val="19"/>
          <w:szCs w:val="19"/>
          <w:rtl/>
        </w:rPr>
        <w:t>לבחון את השפעתה של התחזקות המותג הפרטי של קמעונאים גדולים על התחרות, לרבות ההשפעה על הספקים הקטנים וכניסתם למדף אצל אותם הקמעונאים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והיא</w:t>
      </w:r>
      <w:r w:rsidRPr="00236CC3">
        <w:rPr>
          <w:rFonts w:ascii="Tahoma" w:eastAsiaTheme="minorHAnsi" w:hAnsi="Tahoma" w:cs="Tahoma"/>
          <w:sz w:val="19"/>
          <w:szCs w:val="19"/>
          <w:rtl/>
        </w:rPr>
        <w:t xml:space="preserve"> טרם בחנה </w:t>
      </w:r>
      <w:r w:rsidRPr="00236CC3">
        <w:rPr>
          <w:rFonts w:ascii="Tahoma" w:eastAsiaTheme="minorHAnsi" w:hAnsi="Tahoma" w:cs="Tahoma" w:hint="cs"/>
          <w:sz w:val="19"/>
          <w:szCs w:val="19"/>
          <w:rtl/>
        </w:rPr>
        <w:t xml:space="preserve">את </w:t>
      </w:r>
      <w:r w:rsidRPr="00236CC3">
        <w:rPr>
          <w:rFonts w:ascii="Tahoma" w:eastAsiaTheme="minorHAnsi" w:hAnsi="Tahoma" w:cs="Tahoma"/>
          <w:sz w:val="19"/>
          <w:szCs w:val="19"/>
          <w:rtl/>
        </w:rPr>
        <w:t>הצורך לעשות שימוש בסעיף 11 לחוק המזון המסמיך את הממונה על התחרות לתת הוראות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לקמעונאי </w:t>
      </w:r>
      <w:r w:rsidRPr="00236CC3">
        <w:rPr>
          <w:rFonts w:ascii="Tahoma" w:eastAsiaTheme="minorHAnsi" w:hAnsi="Tahoma" w:cs="Tahoma" w:hint="cs"/>
          <w:sz w:val="19"/>
          <w:szCs w:val="19"/>
          <w:rtl/>
        </w:rPr>
        <w:t>לגבי</w:t>
      </w:r>
      <w:r w:rsidRPr="00236CC3">
        <w:rPr>
          <w:rFonts w:ascii="Tahoma" w:eastAsiaTheme="minorHAnsi" w:hAnsi="Tahoma" w:cs="Tahoma"/>
          <w:sz w:val="19"/>
          <w:szCs w:val="19"/>
          <w:rtl/>
        </w:rPr>
        <w:t xml:space="preserve"> המותג הפרטי</w:t>
      </w:r>
      <w:r w:rsidRPr="00236CC3">
        <w:rPr>
          <w:rFonts w:ascii="Tahoma" w:eastAsiaTheme="minorHAnsi" w:hAnsi="Tahoma" w:cs="Tahoma" w:hint="cs"/>
          <w:sz w:val="19"/>
          <w:szCs w:val="19"/>
          <w:rtl/>
        </w:rPr>
        <w:t>.</w:t>
      </w:r>
    </w:p>
    <w:p w14:paraId="750D7F4E"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תחרות גיאוגרפית של קמעונאים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נמצא כי חוק המזון א</w:t>
      </w:r>
      <w:r w:rsidRPr="00236CC3">
        <w:rPr>
          <w:rFonts w:ascii="Tahoma" w:eastAsiaTheme="minorHAnsi" w:hAnsi="Tahoma" w:cs="Tahoma" w:hint="cs"/>
          <w:sz w:val="19"/>
          <w:szCs w:val="19"/>
          <w:rtl/>
        </w:rPr>
        <w:t>ינו</w:t>
      </w:r>
      <w:r w:rsidRPr="00236CC3">
        <w:rPr>
          <w:rFonts w:ascii="Tahoma" w:eastAsiaTheme="minorHAnsi" w:hAnsi="Tahoma" w:cs="Tahoma"/>
          <w:sz w:val="19"/>
          <w:szCs w:val="19"/>
          <w:rtl/>
        </w:rPr>
        <w:t xml:space="preserve"> נותן </w:t>
      </w:r>
      <w:r w:rsidRPr="00236CC3">
        <w:rPr>
          <w:rFonts w:ascii="Tahoma" w:eastAsiaTheme="minorHAnsi" w:hAnsi="Tahoma" w:cs="Tahoma" w:hint="cs"/>
          <w:sz w:val="19"/>
          <w:szCs w:val="19"/>
          <w:rtl/>
        </w:rPr>
        <w:t xml:space="preserve">לרשות התחרות </w:t>
      </w:r>
      <w:r w:rsidRPr="00236CC3">
        <w:rPr>
          <w:rFonts w:ascii="Tahoma" w:eastAsiaTheme="minorHAnsi" w:hAnsi="Tahoma" w:cs="Tahoma"/>
          <w:sz w:val="19"/>
          <w:szCs w:val="19"/>
          <w:rtl/>
        </w:rPr>
        <w:t xml:space="preserve">מענה </w:t>
      </w:r>
      <w:r w:rsidRPr="00236CC3">
        <w:rPr>
          <w:rFonts w:ascii="Tahoma" w:eastAsiaTheme="minorHAnsi" w:hAnsi="Tahoma" w:cs="Tahoma" w:hint="cs"/>
          <w:sz w:val="19"/>
          <w:szCs w:val="19"/>
          <w:rtl/>
        </w:rPr>
        <w:t>לבחינת הריכוזיות הגיאוגרפית</w:t>
      </w:r>
      <w:r w:rsidRPr="00236CC3">
        <w:rPr>
          <w:rFonts w:ascii="Tahoma" w:eastAsiaTheme="minorHAnsi" w:hAnsi="Tahoma" w:cs="Tahoma"/>
          <w:sz w:val="19"/>
          <w:szCs w:val="19"/>
          <w:rtl/>
        </w:rPr>
        <w:t xml:space="preserve"> של הקמעונאים הגדולים בתחומים נוספים שעלולה לפגוע בתחרות, לרבות </w:t>
      </w:r>
      <w:r w:rsidRPr="00236CC3">
        <w:rPr>
          <w:rFonts w:ascii="Tahoma" w:eastAsiaTheme="minorHAnsi" w:hAnsi="Tahoma" w:cs="Tahoma" w:hint="cs"/>
          <w:sz w:val="19"/>
          <w:szCs w:val="19"/>
          <w:rtl/>
        </w:rPr>
        <w:t>באמצעות</w:t>
      </w:r>
      <w:r w:rsidRPr="00236CC3">
        <w:rPr>
          <w:rFonts w:ascii="Tahoma" w:eastAsiaTheme="minorHAnsi" w:hAnsi="Tahoma" w:cs="Tahoma"/>
          <w:sz w:val="19"/>
          <w:szCs w:val="19"/>
          <w:rtl/>
        </w:rPr>
        <w:t xml:space="preserve"> פתיחת חנויות שכונתיות חדשות</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שאינן מוגדרות כחנויות גדולות בחוק המזון</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וכן </w:t>
      </w:r>
      <w:r w:rsidRPr="00236CC3">
        <w:rPr>
          <w:rFonts w:ascii="Tahoma" w:eastAsiaTheme="minorHAnsi" w:hAnsi="Tahoma" w:cs="Tahoma" w:hint="cs"/>
          <w:sz w:val="19"/>
          <w:szCs w:val="19"/>
          <w:rtl/>
        </w:rPr>
        <w:t>ב</w:t>
      </w:r>
      <w:r w:rsidRPr="00236CC3">
        <w:rPr>
          <w:rFonts w:ascii="Tahoma" w:eastAsiaTheme="minorHAnsi" w:hAnsi="Tahoma" w:cs="Tahoma"/>
          <w:sz w:val="19"/>
          <w:szCs w:val="19"/>
          <w:rtl/>
        </w:rPr>
        <w:t>התרחבות לשוק הסיטונאי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מה שהופך אותם</w:t>
      </w:r>
      <w:r w:rsidRPr="00236CC3">
        <w:rPr>
          <w:rFonts w:ascii="Tahoma" w:eastAsiaTheme="minorHAnsi" w:hAnsi="Tahoma" w:cs="Tahoma"/>
          <w:sz w:val="19"/>
          <w:szCs w:val="19"/>
          <w:rtl/>
        </w:rPr>
        <w:t xml:space="preserve"> לספקים של קמעונאים קטנים ובינוניים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דבר</w:t>
      </w:r>
      <w:r w:rsidRPr="00236CC3">
        <w:rPr>
          <w:rFonts w:ascii="Tahoma" w:eastAsiaTheme="minorHAnsi" w:hAnsi="Tahoma" w:cs="Tahoma"/>
          <w:sz w:val="19"/>
          <w:szCs w:val="19"/>
          <w:rtl/>
        </w:rPr>
        <w:t xml:space="preserve"> שעלול לגרום לפגיעה ביכולת של הקמעונאים הקטנים להתחרות באותו אזור גיאוגרפי בחנויות של </w:t>
      </w:r>
      <w:r w:rsidRPr="00236CC3">
        <w:rPr>
          <w:rFonts w:ascii="Tahoma" w:eastAsiaTheme="minorHAnsi" w:hAnsi="Tahoma" w:cs="Tahoma" w:hint="cs"/>
          <w:sz w:val="19"/>
          <w:szCs w:val="19"/>
          <w:rtl/>
        </w:rPr>
        <w:t>הקמעונאים הגדולים המשמשים גם ספקים</w:t>
      </w:r>
      <w:r w:rsidRPr="00236CC3">
        <w:rPr>
          <w:rFonts w:ascii="Tahoma" w:eastAsiaTheme="minorHAnsi" w:hAnsi="Tahoma" w:cs="Tahoma"/>
          <w:sz w:val="19"/>
          <w:szCs w:val="19"/>
          <w:rtl/>
        </w:rPr>
        <w:t>.</w:t>
      </w:r>
    </w:p>
    <w:p w14:paraId="21D9B7BE"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בחינת האפקטיביות של חוק המזון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חוק המזון </w:t>
      </w:r>
      <w:r w:rsidRPr="00236CC3">
        <w:rPr>
          <w:rFonts w:ascii="Tahoma" w:eastAsiaTheme="minorHAnsi" w:hAnsi="Tahoma" w:cs="Tahoma" w:hint="cs"/>
          <w:sz w:val="19"/>
          <w:szCs w:val="19"/>
          <w:rtl/>
        </w:rPr>
        <w:t xml:space="preserve">שנחקק בשנת 2014 </w:t>
      </w:r>
      <w:r w:rsidRPr="00236CC3">
        <w:rPr>
          <w:rFonts w:ascii="Tahoma" w:eastAsiaTheme="minorHAnsi" w:hAnsi="Tahoma" w:cs="Tahoma"/>
          <w:sz w:val="19"/>
          <w:szCs w:val="19"/>
          <w:rtl/>
        </w:rPr>
        <w:t xml:space="preserve">הוא חוק ייחודי למדינת ישראל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מטרתו להגביר את התחרותיות בענף המזון ובתחום מוצרי הצריכה כדי להוריד את המחירים לצרכן. חוק המזון נחקק בעקבות מסקנות ועדת קדמי, והוסדרו בו הוראות בדבר תחרות גיאוגרפית של קמעונאים ושקיפות מחירים וכן כללים ביחסי הפעילות בין ספקים לקמעונאים.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מיום כניסתו לתוקף של חוק המזון ועד מועד סיום הביקורת לא בחנו משרד הכלכלה, רשות התחרות והרשות להגנת הצרכן, כל גוף בתחומו, את השפעתו הכוללת של חוק המזון על המחירים לצרכן ועל התחרותיות בענף המזון ובתחום מוצרי הצריכה. עם זאת, הם בחנו דרכים נוספות לקידום מטרות חוק המזון</w:t>
      </w:r>
      <w:r w:rsidRPr="00236CC3">
        <w:rPr>
          <w:rFonts w:ascii="Tahoma" w:eastAsiaTheme="minorHAnsi" w:hAnsi="Tahoma" w:cs="Tahoma" w:hint="cs"/>
          <w:sz w:val="19"/>
          <w:szCs w:val="19"/>
          <w:rtl/>
        </w:rPr>
        <w:t>.</w:t>
      </w:r>
    </w:p>
    <w:p w14:paraId="386AB6C9"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tl/>
        </w:rPr>
      </w:pPr>
      <w:r w:rsidRPr="00236CC3">
        <w:rPr>
          <w:rFonts w:ascii="Tahoma" w:eastAsiaTheme="minorHAnsi" w:hAnsi="Tahoma" w:cs="Tahoma" w:hint="eastAsia"/>
          <w:b/>
          <w:bCs/>
          <w:sz w:val="19"/>
          <w:szCs w:val="19"/>
          <w:rtl/>
        </w:rPr>
        <w:t>ועדת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השרים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למאבק</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ביוקר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המחיה</w:t>
      </w:r>
      <w:r w:rsidRPr="00236CC3">
        <w:rPr>
          <w:rFonts w:ascii="Tahoma" w:eastAsiaTheme="minorHAnsi" w:hAnsi="Tahoma" w:cs="Tahoma"/>
          <w:sz w:val="19"/>
          <w:szCs w:val="19"/>
          <w:rtl/>
        </w:rPr>
        <w:t xml:space="preserve"> - הוועדה</w:t>
      </w:r>
      <w:r w:rsidRPr="00236CC3">
        <w:rPr>
          <w:rFonts w:ascii="Tahoma" w:eastAsiaTheme="minorHAnsi" w:hAnsi="Tahoma" w:cs="Tahoma" w:hint="cs"/>
          <w:sz w:val="19"/>
          <w:szCs w:val="19"/>
          <w:rtl/>
        </w:rPr>
        <w:t xml:space="preserve"> בהשתתפות ראש הממשלה ו</w:t>
      </w:r>
      <w:r w:rsidRPr="00236CC3">
        <w:rPr>
          <w:rFonts w:ascii="Tahoma" w:eastAsiaTheme="minorHAnsi" w:hAnsi="Tahoma" w:cs="Tahoma"/>
          <w:sz w:val="19"/>
          <w:szCs w:val="19"/>
          <w:rtl/>
        </w:rPr>
        <w:t>שר</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 xml:space="preserve"> האוצר,</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הכלכלה, החקלאות, הגנת הסביבה, האנרגי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ה והתשתיות, הבריאות, הרווחה והביטחון החברתי,</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שירותי דת, הבינוי והשיכון, הנגב, הגליל והחוסן הלאומי, התקשורת, התיירות והעלייה והקליטה</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הוקמה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ביוני</w:t>
      </w:r>
      <w:r w:rsidRPr="00236CC3">
        <w:rPr>
          <w:rFonts w:ascii="Tahoma" w:eastAsiaTheme="minorHAnsi" w:hAnsi="Tahoma" w:cs="Tahoma"/>
          <w:sz w:val="19"/>
          <w:szCs w:val="19"/>
          <w:rtl/>
        </w:rPr>
        <w:t xml:space="preserve"> 2023</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ונכון למועד </w:t>
      </w:r>
      <w:r w:rsidRPr="00236CC3">
        <w:rPr>
          <w:rFonts w:ascii="Tahoma" w:eastAsiaTheme="minorHAnsi" w:hAnsi="Tahoma" w:cs="Tahoma"/>
          <w:sz w:val="19"/>
          <w:szCs w:val="19"/>
          <w:rtl/>
        </w:rPr>
        <w:lastRenderedPageBreak/>
        <w:t xml:space="preserve">סיום הביקורת </w:t>
      </w:r>
      <w:r w:rsidRPr="00236CC3">
        <w:rPr>
          <w:rFonts w:ascii="Tahoma" w:eastAsiaTheme="minorHAnsi" w:hAnsi="Tahoma" w:cs="Tahoma" w:hint="cs"/>
          <w:sz w:val="19"/>
          <w:szCs w:val="19"/>
          <w:rtl/>
        </w:rPr>
        <w:t xml:space="preserve">היא </w:t>
      </w:r>
      <w:r w:rsidRPr="00236CC3">
        <w:rPr>
          <w:rFonts w:ascii="Tahoma" w:eastAsiaTheme="minorHAnsi" w:hAnsi="Tahoma" w:cs="Tahoma"/>
          <w:sz w:val="19"/>
          <w:szCs w:val="19"/>
          <w:rtl/>
        </w:rPr>
        <w:t xml:space="preserve">התכנסה </w:t>
      </w:r>
      <w:r w:rsidRPr="00236CC3">
        <w:rPr>
          <w:rFonts w:ascii="Tahoma" w:eastAsiaTheme="minorHAnsi" w:hAnsi="Tahoma" w:cs="Tahoma" w:hint="eastAsia"/>
          <w:sz w:val="19"/>
          <w:szCs w:val="19"/>
          <w:rtl/>
        </w:rPr>
        <w:t>שבע</w:t>
      </w:r>
      <w:r w:rsidRPr="00236CC3">
        <w:rPr>
          <w:rFonts w:ascii="Tahoma" w:eastAsiaTheme="minorHAnsi" w:hAnsi="Tahoma" w:cs="Tahoma"/>
          <w:sz w:val="19"/>
          <w:szCs w:val="19"/>
          <w:rtl/>
        </w:rPr>
        <w:t xml:space="preserve"> פעמים: </w:t>
      </w:r>
      <w:r w:rsidRPr="00236CC3">
        <w:rPr>
          <w:rFonts w:ascii="Tahoma" w:eastAsiaTheme="minorHAnsi" w:hAnsi="Tahoma" w:cs="Tahoma" w:hint="eastAsia"/>
          <w:sz w:val="19"/>
          <w:szCs w:val="19"/>
          <w:rtl/>
        </w:rPr>
        <w:t>פעמיים</w:t>
      </w:r>
      <w:r w:rsidRPr="00236CC3">
        <w:rPr>
          <w:rFonts w:ascii="Tahoma" w:eastAsiaTheme="minorHAnsi" w:hAnsi="Tahoma" w:cs="Tahoma"/>
          <w:sz w:val="19"/>
          <w:szCs w:val="19"/>
          <w:rtl/>
        </w:rPr>
        <w:t xml:space="preserve"> ביוני 2023, </w:t>
      </w:r>
      <w:r w:rsidRPr="00236CC3">
        <w:rPr>
          <w:rFonts w:ascii="Tahoma" w:eastAsiaTheme="minorHAnsi" w:hAnsi="Tahoma" w:cs="Tahoma" w:hint="eastAsia"/>
          <w:sz w:val="19"/>
          <w:szCs w:val="19"/>
          <w:rtl/>
        </w:rPr>
        <w:t>פעמיים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ביולי</w:t>
      </w:r>
      <w:r w:rsidRPr="00236CC3">
        <w:rPr>
          <w:rFonts w:ascii="Tahoma" w:eastAsiaTheme="minorHAnsi" w:hAnsi="Tahoma" w:cs="Tahoma"/>
          <w:sz w:val="19"/>
          <w:szCs w:val="19"/>
          <w:rtl/>
        </w:rPr>
        <w:t xml:space="preserve"> 2023</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פעמיים בספטמבר 2023 ו</w:t>
      </w:r>
      <w:r w:rsidRPr="00236CC3">
        <w:rPr>
          <w:rFonts w:ascii="Tahoma" w:eastAsiaTheme="minorHAnsi" w:hAnsi="Tahoma" w:cs="Tahoma" w:hint="eastAsia"/>
          <w:sz w:val="19"/>
          <w:szCs w:val="19"/>
          <w:rtl/>
        </w:rPr>
        <w:t>פעם</w:t>
      </w:r>
      <w:r w:rsidRPr="00236CC3">
        <w:rPr>
          <w:rFonts w:ascii="Tahoma" w:eastAsiaTheme="minorHAnsi" w:hAnsi="Tahoma" w:cs="Tahoma"/>
          <w:sz w:val="19"/>
          <w:szCs w:val="19"/>
          <w:rtl/>
        </w:rPr>
        <w:t xml:space="preserve"> נוספת </w:t>
      </w:r>
      <w:r w:rsidRPr="00236CC3">
        <w:rPr>
          <w:rFonts w:ascii="Tahoma" w:eastAsiaTheme="minorHAnsi" w:hAnsi="Tahoma" w:cs="Tahoma" w:hint="eastAsia"/>
          <w:sz w:val="19"/>
          <w:szCs w:val="19"/>
          <w:rtl/>
        </w:rPr>
        <w:t>בפברואר</w:t>
      </w:r>
      <w:r w:rsidRPr="00236CC3">
        <w:rPr>
          <w:rFonts w:ascii="Tahoma" w:eastAsiaTheme="minorHAnsi" w:hAnsi="Tahoma" w:cs="Tahoma"/>
          <w:sz w:val="19"/>
          <w:szCs w:val="19"/>
          <w:rtl/>
        </w:rPr>
        <w:t xml:space="preserve"> 2024. </w:t>
      </w:r>
      <w:r w:rsidRPr="00236CC3">
        <w:rPr>
          <w:rFonts w:ascii="Tahoma" w:eastAsiaTheme="minorHAnsi" w:hAnsi="Tahoma" w:cs="Tahoma" w:hint="cs"/>
          <w:sz w:val="19"/>
          <w:szCs w:val="19"/>
          <w:rtl/>
        </w:rPr>
        <w:t>זאת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אף</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שיבואנים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וספקים</w:t>
      </w:r>
      <w:r w:rsidRPr="00236CC3">
        <w:rPr>
          <w:rFonts w:ascii="Tahoma" w:eastAsiaTheme="minorHAnsi" w:hAnsi="Tahoma" w:cs="Tahoma" w:hint="cs"/>
          <w:sz w:val="19"/>
          <w:szCs w:val="19"/>
          <w:rtl/>
        </w:rPr>
        <w:t xml:space="preserve"> מסוימים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הכריזו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hint="cs"/>
          <w:sz w:val="19"/>
          <w:szCs w:val="19"/>
          <w:rtl/>
        </w:rPr>
        <w:t xml:space="preserve"> כמה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עליות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מחירים</w:t>
      </w:r>
      <w:r w:rsidRPr="00236CC3">
        <w:rPr>
          <w:rFonts w:ascii="Tahoma" w:eastAsiaTheme="minorHAnsi" w:hAnsi="Tahoma" w:cs="Tahoma" w:hint="cs"/>
          <w:sz w:val="19"/>
          <w:szCs w:val="19"/>
          <w:rtl/>
        </w:rPr>
        <w:t xml:space="preserve"> של עשרות אחוזים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בתקופת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פעילותה</w:t>
      </w:r>
      <w:r w:rsidRPr="00236CC3">
        <w:rPr>
          <w:rFonts w:ascii="Tahoma" w:eastAsiaTheme="minorHAnsi" w:hAnsi="Tahoma" w:cs="Tahoma"/>
          <w:sz w:val="19"/>
          <w:szCs w:val="19"/>
          <w:rtl/>
        </w:rPr>
        <w:t xml:space="preserve"> ועל אף ההשלכ</w:t>
      </w:r>
      <w:r w:rsidRPr="00236CC3">
        <w:rPr>
          <w:rFonts w:ascii="Tahoma" w:eastAsiaTheme="minorHAnsi" w:hAnsi="Tahoma" w:cs="Tahoma" w:hint="eastAsia"/>
          <w:sz w:val="19"/>
          <w:szCs w:val="19"/>
          <w:rtl/>
        </w:rPr>
        <w:t>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הכלכליות</w:t>
      </w:r>
      <w:r w:rsidRPr="00236CC3">
        <w:rPr>
          <w:rFonts w:ascii="Tahoma" w:eastAsiaTheme="minorHAnsi" w:hAnsi="Tahoma" w:cs="Tahoma"/>
          <w:sz w:val="19"/>
          <w:szCs w:val="19"/>
          <w:rtl/>
        </w:rPr>
        <w:t xml:space="preserve"> שמציבה מלחמת חרבות ברזל </w:t>
      </w:r>
      <w:r w:rsidRPr="00236CC3">
        <w:rPr>
          <w:rFonts w:ascii="Tahoma" w:eastAsiaTheme="minorHAnsi" w:hAnsi="Tahoma" w:cs="Tahoma" w:hint="eastAsia"/>
          <w:sz w:val="19"/>
          <w:szCs w:val="19"/>
          <w:rtl/>
        </w:rPr>
        <w:t>בפני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הציבור</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עוד נמצא שבישיבת הוועדה נקבע שסיום תהליך החקיקה של רפורמת "מה שטוב לאירופה טוב לישראל" יהיה עד ל-7.4</w:t>
      </w:r>
      <w:r w:rsidRPr="00236CC3">
        <w:rPr>
          <w:rFonts w:ascii="Tahoma" w:eastAsiaTheme="minorHAnsi" w:hAnsi="Tahoma" w:cs="Tahoma"/>
          <w:sz w:val="19"/>
          <w:szCs w:val="19"/>
          <w:rtl/>
        </w:rPr>
        <w:t xml:space="preserve">.24. </w:t>
      </w:r>
      <w:r w:rsidRPr="00236CC3">
        <w:rPr>
          <w:rFonts w:ascii="Tahoma" w:eastAsiaTheme="minorHAnsi" w:hAnsi="Tahoma" w:cs="Tahoma" w:hint="eastAsia"/>
          <w:sz w:val="19"/>
          <w:szCs w:val="19"/>
          <w:rtl/>
        </w:rPr>
        <w:t>החקיקה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הרפורמה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הושלמה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ביולי</w:t>
      </w:r>
      <w:r w:rsidRPr="00236CC3">
        <w:rPr>
          <w:rFonts w:ascii="Tahoma" w:eastAsiaTheme="minorHAnsi" w:hAnsi="Tahoma" w:cs="Tahoma"/>
          <w:sz w:val="19"/>
          <w:szCs w:val="19"/>
          <w:rtl/>
        </w:rPr>
        <w:t xml:space="preserve"> 2024.</w:t>
      </w:r>
    </w:p>
    <w:p w14:paraId="70F310C9"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הרפורמה בחקלאות </w:t>
      </w:r>
      <w:r w:rsidRPr="00236CC3">
        <w:rPr>
          <w:rFonts w:ascii="Tahoma" w:eastAsiaTheme="minorHAnsi" w:hAnsi="Tahoma" w:cs="Tahoma"/>
          <w:sz w:val="19"/>
          <w:szCs w:val="19"/>
          <w:rtl/>
        </w:rPr>
        <w:t>-</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 xml:space="preserve">משרד החקלאות גיבש תיקון לתקנות הגנת הצומח, אולם עם הקמתה של הממשלה החדשה בשנת 2022 </w:t>
      </w:r>
      <w:r w:rsidRPr="00236CC3">
        <w:rPr>
          <w:rFonts w:ascii="Tahoma" w:eastAsiaTheme="minorHAnsi" w:hAnsi="Tahoma" w:cs="Tahoma" w:hint="cs"/>
          <w:sz w:val="19"/>
          <w:szCs w:val="19"/>
          <w:rtl/>
        </w:rPr>
        <w:t xml:space="preserve">לא קודם </w:t>
      </w:r>
      <w:r w:rsidRPr="00236CC3">
        <w:rPr>
          <w:rFonts w:ascii="Tahoma" w:eastAsiaTheme="minorHAnsi" w:hAnsi="Tahoma" w:cs="Tahoma"/>
          <w:sz w:val="19"/>
          <w:szCs w:val="19"/>
          <w:rtl/>
        </w:rPr>
        <w:t>אישור התיקון על ידי שר החקלאות. עוד נמצא כי לא נערך דיון בשאלת משך הקפאת הרפורמה והשלכותיה או בחלופות אפשריות אחרות אם יוחלט על הקפאתה לתקופה שאינה מוגבלת בזמן. זאת ועוד, לפני הקפאת הרפורמה, וכחלק ממרכיביה, משרד האוצר והחקלאות לא הצליחו לגבש הסכמות לגבי מתן תמיכה ישירה לחקלאים כמענה להפחתת המכסים ופתיחת השוק ליבוא.</w:t>
      </w:r>
      <w:r w:rsidRPr="00236CC3">
        <w:rPr>
          <w:rFonts w:ascii="Tahoma" w:eastAsiaTheme="minorHAnsi" w:hAnsi="Tahoma" w:cs="Tahoma" w:hint="cs"/>
          <w:sz w:val="19"/>
          <w:szCs w:val="19"/>
          <w:rtl/>
        </w:rPr>
        <w:t xml:space="preserve"> הרפורמה נעצרה בטרם הושלמה, </w:t>
      </w:r>
      <w:r w:rsidRPr="00236CC3">
        <w:rPr>
          <w:rFonts w:ascii="Tahoma" w:eastAsiaTheme="minorHAnsi" w:hAnsi="Tahoma" w:cs="Tahoma" w:hint="eastAsia"/>
          <w:sz w:val="19"/>
          <w:szCs w:val="19"/>
          <w:rtl/>
        </w:rPr>
        <w:t>ולא</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נערך דיון לגבי ההשלכות של מהלך זה לאחר שהרפורמה בחקלאות הוקפאה </w:t>
      </w:r>
      <w:bookmarkStart w:id="26" w:name="_Hlk166685296"/>
      <w:r w:rsidRPr="00236CC3">
        <w:rPr>
          <w:rFonts w:ascii="Tahoma" w:eastAsiaTheme="minorHAnsi" w:hAnsi="Tahoma" w:cs="Tahoma" w:hint="cs"/>
          <w:sz w:val="19"/>
          <w:szCs w:val="19"/>
          <w:rtl/>
        </w:rPr>
        <w:t>על מגוון המוצרים החקלאיים בשווקים, על הכמות שלהם ועל מחירם</w:t>
      </w:r>
      <w:bookmarkEnd w:id="26"/>
      <w:r w:rsidRPr="00236CC3">
        <w:rPr>
          <w:rFonts w:ascii="Tahoma" w:eastAsiaTheme="minorHAnsi" w:hAnsi="Tahoma" w:cs="Tahoma" w:hint="cs"/>
          <w:sz w:val="19"/>
          <w:szCs w:val="19"/>
          <w:rtl/>
        </w:rPr>
        <w:t>.</w:t>
      </w:r>
      <w:r w:rsidRPr="00236CC3">
        <w:rPr>
          <w:rFonts w:eastAsiaTheme="minorHAnsi" w:hint="cs"/>
          <w:b/>
          <w:bCs/>
          <w:rtl/>
        </w:rPr>
        <w:t xml:space="preserve"> </w:t>
      </w:r>
      <w:r w:rsidRPr="00236CC3">
        <w:rPr>
          <w:rFonts w:ascii="Tahoma" w:eastAsiaTheme="minorHAnsi" w:hAnsi="Tahoma" w:cs="Tahoma" w:hint="cs"/>
          <w:sz w:val="19"/>
          <w:szCs w:val="19"/>
          <w:rtl/>
        </w:rPr>
        <w:t>קיום הרפורמה באופן חלקי, פגע ב</w:t>
      </w:r>
      <w:r w:rsidRPr="00236CC3">
        <w:rPr>
          <w:rFonts w:ascii="Tahoma" w:eastAsiaTheme="minorHAnsi" w:hAnsi="Tahoma" w:cs="Tahoma"/>
          <w:sz w:val="19"/>
          <w:szCs w:val="19"/>
          <w:rtl/>
        </w:rPr>
        <w:t>השגת התועלת הצפויה ממנה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באופן שניתן היה להקל את יבוא הפירות והירקות למאכל ולהוריד את יוקר המחיה</w:t>
      </w:r>
      <w:r w:rsidRPr="00236CC3">
        <w:rPr>
          <w:rFonts w:ascii="Tahoma" w:eastAsiaTheme="minorHAnsi" w:hAnsi="Tahoma" w:cs="Tahoma" w:hint="cs"/>
          <w:sz w:val="19"/>
          <w:szCs w:val="19"/>
          <w:rtl/>
        </w:rPr>
        <w:t xml:space="preserve"> בה בעת, העדר התמיכה בחקלאים הביאה, לטענת משרד החקלאות לפגיעה בתוצרת החקלאית בענפים מסוימים</w:t>
      </w:r>
      <w:r w:rsidRPr="00236CC3">
        <w:rPr>
          <w:rFonts w:ascii="Tahoma" w:eastAsiaTheme="minorHAnsi" w:hAnsi="Tahoma" w:cs="Tahoma"/>
          <w:sz w:val="19"/>
          <w:szCs w:val="19"/>
          <w:rtl/>
        </w:rPr>
        <w:t>.</w:t>
      </w:r>
    </w:p>
    <w:p w14:paraId="37D7F212"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tl/>
        </w:rPr>
      </w:pPr>
      <w:r w:rsidRPr="00236CC3">
        <w:rPr>
          <w:rFonts w:ascii="Tahoma" w:eastAsiaTheme="minorHAnsi" w:hAnsi="Tahoma" w:cs="Tahoma" w:hint="eastAsia"/>
          <w:b/>
          <w:bCs/>
          <w:sz w:val="19"/>
          <w:szCs w:val="19"/>
          <w:rtl/>
        </w:rPr>
        <w:t>הפחתת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מכסים</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 xml:space="preserve"> נמצא כי הפחתת המכס, על ידי משרד האוצר, על הענבים לבדה לא הביאה לגידול משמעותי בהיצע, לאחר הפחתת המכס בשנת 2023 עם 13,607 טון שנמכרו באותה שנה לעומת 12,314 טון שנמכרו בשנת 2021 לפני הפחתת המכס, וזאת בשונה ממה שעלה בבדיקה הנוגעת למחיר האננס, שם שיעור ההפחתה במכס היה גדול יותר ונפתחה מדינה נוספת ליבוא, דבר שכנראה תרם לגידול בהיצע של המוצר ולירידה ניכרת במחירו. </w:t>
      </w:r>
    </w:p>
    <w:p w14:paraId="726E6A89"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תקני מזון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עד למועד </w:t>
      </w:r>
      <w:r w:rsidRPr="00236CC3">
        <w:rPr>
          <w:rFonts w:ascii="Tahoma" w:eastAsiaTheme="minorHAnsi" w:hAnsi="Tahoma" w:cs="Tahoma" w:hint="cs"/>
          <w:sz w:val="19"/>
          <w:szCs w:val="19"/>
          <w:rtl/>
        </w:rPr>
        <w:t>סיום</w:t>
      </w:r>
      <w:r w:rsidRPr="00236CC3">
        <w:rPr>
          <w:rFonts w:ascii="Tahoma" w:eastAsiaTheme="minorHAnsi" w:hAnsi="Tahoma" w:cs="Tahoma"/>
          <w:sz w:val="19"/>
          <w:szCs w:val="19"/>
          <w:rtl/>
        </w:rPr>
        <w:t xml:space="preserve"> הביקורת משרד הבריאות </w:t>
      </w:r>
      <w:r w:rsidRPr="00236CC3">
        <w:rPr>
          <w:rFonts w:ascii="Tahoma" w:eastAsiaTheme="minorHAnsi" w:hAnsi="Tahoma" w:cs="Tahoma" w:hint="cs"/>
          <w:sz w:val="19"/>
          <w:szCs w:val="19"/>
          <w:rtl/>
        </w:rPr>
        <w:t>לא</w:t>
      </w:r>
      <w:r w:rsidRPr="00236CC3">
        <w:rPr>
          <w:rFonts w:ascii="Tahoma" w:eastAsiaTheme="minorHAnsi" w:hAnsi="Tahoma" w:cs="Tahoma"/>
          <w:sz w:val="19"/>
          <w:szCs w:val="19"/>
          <w:rtl/>
        </w:rPr>
        <w:t xml:space="preserve"> עמד בלוחות הזמנים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עליהם המליצה הוועדה</w:t>
      </w:r>
      <w:r w:rsidRPr="00236CC3">
        <w:rPr>
          <w:rFonts w:ascii="Tahoma" w:eastAsiaTheme="minorHAnsi" w:hAnsi="Tahoma" w:cs="Tahoma" w:hint="cs"/>
          <w:sz w:val="19"/>
          <w:szCs w:val="19"/>
          <w:rtl/>
        </w:rPr>
        <w:t xml:space="preserve"> לבחינת תקני מזון</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לבחינת הכללתם של תקנים בתוספת הרביעית לחוק התקנים, </w:t>
      </w:r>
      <w:r w:rsidRPr="00236CC3">
        <w:rPr>
          <w:rFonts w:ascii="Tahoma" w:eastAsiaTheme="minorHAnsi" w:hAnsi="Tahoma" w:cs="Tahoma" w:hint="eastAsia"/>
          <w:sz w:val="19"/>
          <w:szCs w:val="19"/>
          <w:rtl/>
        </w:rPr>
        <w:t>כך</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שיתאפשר</w:t>
      </w:r>
      <w:r w:rsidRPr="00236CC3">
        <w:rPr>
          <w:rFonts w:ascii="Tahoma" w:eastAsiaTheme="minorHAnsi" w:hAnsi="Tahoma" w:cs="Tahoma"/>
          <w:sz w:val="19"/>
          <w:szCs w:val="19"/>
          <w:rtl/>
        </w:rPr>
        <w:t xml:space="preserve"> </w:t>
      </w:r>
      <w:bookmarkStart w:id="27" w:name="_Hlk166674886"/>
      <w:r w:rsidRPr="00236CC3">
        <w:rPr>
          <w:rFonts w:ascii="Tahoma" w:eastAsiaTheme="minorHAnsi" w:hAnsi="Tahoma" w:cs="Tahoma" w:hint="eastAsia"/>
          <w:sz w:val="19"/>
          <w:szCs w:val="19"/>
          <w:rtl/>
        </w:rPr>
        <w:t>יבוא</w:t>
      </w:r>
      <w:r w:rsidRPr="00236CC3">
        <w:rPr>
          <w:rFonts w:ascii="Tahoma" w:eastAsiaTheme="minorHAnsi" w:hAnsi="Tahoma" w:cs="Tahoma"/>
          <w:sz w:val="19"/>
          <w:szCs w:val="19"/>
          <w:rtl/>
        </w:rPr>
        <w:t xml:space="preserve"> מצרך או תהליך עבודה המתאים לדרישות אסדרה זרה; </w:t>
      </w:r>
      <w:r w:rsidRPr="00236CC3">
        <w:rPr>
          <w:rFonts w:ascii="Tahoma" w:eastAsiaTheme="minorHAnsi" w:hAnsi="Tahoma" w:cs="Tahoma" w:hint="eastAsia"/>
          <w:sz w:val="19"/>
          <w:szCs w:val="19"/>
          <w:rtl/>
        </w:rPr>
        <w:t>משרד</w:t>
      </w:r>
      <w:r w:rsidRPr="00236CC3">
        <w:rPr>
          <w:rFonts w:ascii="Tahoma" w:eastAsiaTheme="minorHAnsi" w:hAnsi="Tahoma" w:cs="Tahoma"/>
          <w:sz w:val="19"/>
          <w:szCs w:val="19"/>
          <w:rtl/>
        </w:rPr>
        <w:t xml:space="preserve"> הבריאות לא הציג את תוצאות בחינת אפשרות צירופם של אף לא תקן אחד מתוך 15 </w:t>
      </w:r>
      <w:r w:rsidRPr="00236CC3">
        <w:rPr>
          <w:rFonts w:ascii="Tahoma" w:eastAsiaTheme="minorHAnsi" w:hAnsi="Tahoma" w:cs="Tahoma" w:hint="eastAsia"/>
          <w:sz w:val="19"/>
          <w:szCs w:val="19"/>
          <w:rtl/>
        </w:rPr>
        <w:t>התקנים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שעליהם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המליצה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הוועדה</w:t>
      </w:r>
      <w:r w:rsidRPr="00236CC3">
        <w:rPr>
          <w:rFonts w:ascii="Tahoma" w:eastAsiaTheme="minorHAnsi" w:hAnsi="Tahoma" w:cs="Tahoma"/>
          <w:sz w:val="19"/>
          <w:szCs w:val="19"/>
          <w:rtl/>
        </w:rPr>
        <w:t>.</w:t>
      </w:r>
      <w:bookmarkEnd w:id="27"/>
      <w:r w:rsidRPr="00236CC3">
        <w:rPr>
          <w:rFonts w:ascii="Tahoma" w:eastAsiaTheme="minorHAnsi" w:hAnsi="Tahoma" w:cs="Tahoma"/>
          <w:sz w:val="19"/>
          <w:szCs w:val="19"/>
          <w:rtl/>
        </w:rPr>
        <w:t xml:space="preserve"> עוד נמצא כי בניגוד לסעיף 313ב בחוק בריאות הציבור (מזון) </w:t>
      </w:r>
      <w:r w:rsidRPr="00236CC3">
        <w:rPr>
          <w:rFonts w:ascii="Tahoma" w:eastAsiaTheme="minorHAnsi" w:hAnsi="Tahoma" w:cs="Tahoma" w:hint="eastAsia"/>
          <w:sz w:val="19"/>
          <w:szCs w:val="19"/>
          <w:rtl/>
        </w:rPr>
        <w:t>משרד</w:t>
      </w:r>
      <w:r w:rsidRPr="00236CC3">
        <w:rPr>
          <w:rFonts w:ascii="Tahoma" w:eastAsiaTheme="minorHAnsi" w:hAnsi="Tahoma" w:cs="Tahoma"/>
          <w:sz w:val="19"/>
          <w:szCs w:val="19"/>
          <w:rtl/>
        </w:rPr>
        <w:t xml:space="preserve"> הבריאות לא הס</w:t>
      </w:r>
      <w:r w:rsidRPr="00236CC3">
        <w:rPr>
          <w:rFonts w:ascii="Tahoma" w:eastAsiaTheme="minorHAnsi" w:hAnsi="Tahoma" w:cs="Tahoma" w:hint="eastAsia"/>
          <w:sz w:val="19"/>
          <w:szCs w:val="19"/>
          <w:rtl/>
        </w:rPr>
        <w:t>י</w:t>
      </w:r>
      <w:r w:rsidRPr="00236CC3">
        <w:rPr>
          <w:rFonts w:ascii="Tahoma" w:eastAsiaTheme="minorHAnsi" w:hAnsi="Tahoma" w:cs="Tahoma"/>
          <w:sz w:val="19"/>
          <w:szCs w:val="19"/>
          <w:rtl/>
        </w:rPr>
        <w:t xml:space="preserve">ר רשמיות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שמונה</w:t>
      </w:r>
      <w:r w:rsidRPr="00236CC3">
        <w:rPr>
          <w:rFonts w:ascii="Tahoma" w:eastAsiaTheme="minorHAnsi" w:hAnsi="Tahoma" w:cs="Tahoma"/>
          <w:sz w:val="19"/>
          <w:szCs w:val="19"/>
          <w:rtl/>
        </w:rPr>
        <w:t xml:space="preserve"> תקנים </w:t>
      </w:r>
      <w:r w:rsidRPr="00236CC3">
        <w:rPr>
          <w:rFonts w:ascii="Tahoma" w:eastAsiaTheme="minorHAnsi" w:hAnsi="Tahoma" w:cs="Tahoma" w:hint="eastAsia"/>
          <w:sz w:val="19"/>
          <w:szCs w:val="19"/>
          <w:rtl/>
        </w:rPr>
        <w:t>ב</w:t>
      </w:r>
      <w:r w:rsidRPr="00236CC3">
        <w:rPr>
          <w:rFonts w:ascii="Tahoma" w:eastAsiaTheme="minorHAnsi" w:hAnsi="Tahoma" w:cs="Tahoma"/>
          <w:sz w:val="19"/>
          <w:szCs w:val="19"/>
          <w:rtl/>
        </w:rPr>
        <w:t xml:space="preserve">-1.1.24 כפי שקבעה הוועדה. יבוא ומכירת מוצרים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עליהם חלים תקנים אלו אפשרית רק בעבור מוצרים העומדים בתקינה הישראלית הייחודית, דבר שיכול להגביל את היבוא שלא לצורך. בין המוצרים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עליהם חלים מגבלות אלו כלולים לדוגמה שמן זית, שוקולד, דבש ומוצרי דבש. נוסף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כך יש תקנים ייחודיים בישראל העוסקים בכושר השתמרות, כגון לשימורי פירות וירקות, לשימורי ירקות כבושים או מוחמצים בחומץ או בחומצות מאכל, לשימורי דגים בשמן, למוצרי עגבניות משומרות ועוד.</w:t>
      </w:r>
    </w:p>
    <w:p w14:paraId="10FA0D59"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אימוץ </w:t>
      </w:r>
      <w:r w:rsidRPr="00236CC3">
        <w:rPr>
          <w:rFonts w:ascii="Tahoma" w:eastAsiaTheme="minorHAnsi" w:hAnsi="Tahoma" w:cs="Tahoma"/>
          <w:b/>
          <w:bCs/>
          <w:sz w:val="19"/>
          <w:szCs w:val="19"/>
          <w:rtl/>
        </w:rPr>
        <w:t>התקינה האירופית לה</w:t>
      </w:r>
      <w:r w:rsidRPr="00236CC3">
        <w:rPr>
          <w:rFonts w:ascii="Tahoma" w:eastAsiaTheme="minorHAnsi" w:hAnsi="Tahoma" w:cs="Tahoma" w:hint="cs"/>
          <w:b/>
          <w:bCs/>
          <w:sz w:val="19"/>
          <w:szCs w:val="19"/>
          <w:rtl/>
        </w:rPr>
        <w:t>י</w:t>
      </w:r>
      <w:r w:rsidRPr="00236CC3">
        <w:rPr>
          <w:rFonts w:ascii="Tahoma" w:eastAsiaTheme="minorHAnsi" w:hAnsi="Tahoma" w:cs="Tahoma"/>
          <w:b/>
          <w:bCs/>
          <w:sz w:val="19"/>
          <w:szCs w:val="19"/>
          <w:rtl/>
        </w:rPr>
        <w:t xml:space="preserve">מצאות ליסטריה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אימוץ הרגולציה האירופית, בכפוף לניהול סיכונים, יכול להבטיח כי הרגולציה תהיה פשוטה וברורה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מבחינת הדרישות ומבחינת האכיפה הן לרגולטור הן לעוסק במזון. </w:t>
      </w:r>
      <w:r w:rsidRPr="00236CC3">
        <w:rPr>
          <w:rFonts w:ascii="Tahoma" w:eastAsiaTheme="minorHAnsi" w:hAnsi="Tahoma" w:cs="Tahoma"/>
          <w:b/>
          <w:bCs/>
          <w:sz w:val="19"/>
          <w:szCs w:val="19"/>
          <w:rtl/>
        </w:rPr>
        <w:t>שירות המזון</w:t>
      </w:r>
      <w:r w:rsidRPr="00236CC3">
        <w:rPr>
          <w:rFonts w:ascii="Tahoma" w:eastAsiaTheme="minorHAnsi" w:hAnsi="Tahoma" w:cs="Tahoma" w:hint="cs"/>
          <w:b/>
          <w:bCs/>
          <w:sz w:val="19"/>
          <w:szCs w:val="19"/>
          <w:rtl/>
        </w:rPr>
        <w:t xml:space="preserve"> במשרד הבריאות</w:t>
      </w:r>
      <w:r w:rsidRPr="00236CC3">
        <w:rPr>
          <w:rFonts w:ascii="Tahoma" w:eastAsiaTheme="minorHAnsi" w:hAnsi="Tahoma" w:cs="Tahoma"/>
          <w:b/>
          <w:bCs/>
          <w:sz w:val="19"/>
          <w:szCs w:val="19"/>
          <w:rtl/>
        </w:rPr>
        <w:t xml:space="preserve"> טרם ערך עבודת מטה לבחינת </w:t>
      </w:r>
      <w:r w:rsidRPr="00236CC3">
        <w:rPr>
          <w:rFonts w:ascii="Tahoma" w:eastAsiaTheme="minorHAnsi" w:hAnsi="Tahoma" w:cs="Tahoma" w:hint="cs"/>
          <w:b/>
          <w:bCs/>
          <w:sz w:val="19"/>
          <w:szCs w:val="19"/>
          <w:rtl/>
        </w:rPr>
        <w:t>ה</w:t>
      </w:r>
      <w:r w:rsidRPr="00236CC3">
        <w:rPr>
          <w:rFonts w:ascii="Tahoma" w:eastAsiaTheme="minorHAnsi" w:hAnsi="Tahoma" w:cs="Tahoma"/>
          <w:b/>
          <w:bCs/>
          <w:sz w:val="19"/>
          <w:szCs w:val="19"/>
          <w:rtl/>
        </w:rPr>
        <w:t>אפשרות לאמץ את התקינה האירופית לה</w:t>
      </w:r>
      <w:r w:rsidRPr="00236CC3">
        <w:rPr>
          <w:rFonts w:ascii="Tahoma" w:eastAsiaTheme="minorHAnsi" w:hAnsi="Tahoma" w:cs="Tahoma" w:hint="cs"/>
          <w:b/>
          <w:bCs/>
          <w:sz w:val="19"/>
          <w:szCs w:val="19"/>
          <w:rtl/>
        </w:rPr>
        <w:t>י</w:t>
      </w:r>
      <w:r w:rsidRPr="00236CC3">
        <w:rPr>
          <w:rFonts w:ascii="Tahoma" w:eastAsiaTheme="minorHAnsi" w:hAnsi="Tahoma" w:cs="Tahoma"/>
          <w:b/>
          <w:bCs/>
          <w:sz w:val="19"/>
          <w:szCs w:val="19"/>
          <w:rtl/>
        </w:rPr>
        <w:t>מצאות ליסטריה במזון באופן שיבטיח את בריאות הציבור בישראל</w:t>
      </w:r>
      <w:r w:rsidRPr="00236CC3">
        <w:rPr>
          <w:rFonts w:ascii="Tahoma" w:eastAsiaTheme="minorHAnsi" w:hAnsi="Tahoma" w:cs="Tahoma"/>
          <w:sz w:val="19"/>
          <w:szCs w:val="19"/>
          <w:rtl/>
        </w:rPr>
        <w:t xml:space="preserve">, ולא קבע לוחות זמנים להשלמת עבודה זו. עד להשלמת הבחינה של שירות המזון, מוצרים רבים שמשווקים באיחוד האירופי אסורים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יבוא לישראל שלא בהכרח לצורך.</w:t>
      </w:r>
    </w:p>
    <w:p w14:paraId="63DEC14F"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lastRenderedPageBreak/>
        <w:t xml:space="preserve">יבוא באמצעות המסלול האירופי ואישור יבואנים נאותים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מנתוני משרד הכלכלה עולה שקבלת אישור שחרור משלוח מהנמל במסגרת המסלול האירופי </w:t>
      </w:r>
      <w:r w:rsidRPr="00236CC3">
        <w:rPr>
          <w:rFonts w:ascii="Tahoma" w:eastAsiaTheme="minorHAnsi" w:hAnsi="Tahoma" w:cs="Tahoma" w:hint="cs"/>
          <w:sz w:val="19"/>
          <w:szCs w:val="19"/>
          <w:rtl/>
        </w:rPr>
        <w:t>אורכת</w:t>
      </w:r>
      <w:r w:rsidRPr="00236CC3">
        <w:rPr>
          <w:rFonts w:ascii="Tahoma" w:eastAsiaTheme="minorHAnsi" w:hAnsi="Tahoma" w:cs="Tahoma"/>
          <w:sz w:val="19"/>
          <w:szCs w:val="19"/>
          <w:rtl/>
        </w:rPr>
        <w:t xml:space="preserve"> בסך הכול כ-5 ימים לעומת 74 - 111 ימים במסלול יבוא מזון רגיש, הדורש אישור מראש שלא במסגרת המסלול האירופי. מנתוני משרד הכלכלה עולה שיבואן המייבא מוצרי חלב מסוימים במסלול האירופי יכול לחסוך כ-11% מעלות המכר לעומ</w:t>
      </w:r>
      <w:r w:rsidRPr="00236CC3">
        <w:rPr>
          <w:rFonts w:ascii="Tahoma" w:eastAsiaTheme="minorHAnsi" w:hAnsi="Tahoma" w:cs="Tahoma" w:hint="cs"/>
          <w:sz w:val="19"/>
          <w:szCs w:val="19"/>
          <w:rtl/>
        </w:rPr>
        <w:t>ת</w:t>
      </w:r>
      <w:r w:rsidRPr="00236CC3">
        <w:rPr>
          <w:rFonts w:ascii="Tahoma" w:eastAsiaTheme="minorHAnsi" w:hAnsi="Tahoma" w:cs="Tahoma"/>
          <w:sz w:val="19"/>
          <w:szCs w:val="19"/>
          <w:rtl/>
        </w:rPr>
        <w:t xml:space="preserve"> יבואן המי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 xml:space="preserve">בא במסלול הרגיל. </w:t>
      </w:r>
      <w:r w:rsidRPr="00236CC3">
        <w:rPr>
          <w:rFonts w:ascii="Tahoma" w:eastAsiaTheme="minorHAnsi" w:hAnsi="Tahoma" w:cs="Tahoma" w:hint="cs"/>
          <w:sz w:val="19"/>
          <w:szCs w:val="19"/>
          <w:rtl/>
        </w:rPr>
        <w:t xml:space="preserve">עם זאת, נמצא כי </w:t>
      </w:r>
      <w:r w:rsidRPr="00236CC3">
        <w:rPr>
          <w:rFonts w:ascii="Tahoma" w:eastAsiaTheme="minorHAnsi" w:hAnsi="Tahoma" w:cs="Tahoma"/>
          <w:sz w:val="19"/>
          <w:szCs w:val="19"/>
          <w:rtl/>
        </w:rPr>
        <w:t>כ-</w:t>
      </w:r>
      <w:r w:rsidRPr="00236CC3">
        <w:rPr>
          <w:rFonts w:ascii="Tahoma" w:eastAsiaTheme="minorHAnsi" w:hAnsi="Tahoma" w:cs="Tahoma" w:hint="cs"/>
          <w:sz w:val="19"/>
          <w:szCs w:val="19"/>
          <w:rtl/>
        </w:rPr>
        <w:t>150</w:t>
      </w:r>
      <w:r w:rsidRPr="00236CC3">
        <w:rPr>
          <w:rFonts w:ascii="Tahoma" w:eastAsiaTheme="minorHAnsi" w:hAnsi="Tahoma" w:cs="Tahoma"/>
          <w:sz w:val="19"/>
          <w:szCs w:val="19"/>
          <w:rtl/>
        </w:rPr>
        <w:t xml:space="preserve"> יבואנים גדולים בתחום המזון אינם עוברים למסלול האירופי כיבואן נאות, ומרבית היבוא של המזון הרגיש ממשיך להגיע במסלול </w:t>
      </w:r>
      <w:r w:rsidRPr="00236CC3">
        <w:rPr>
          <w:rFonts w:ascii="Tahoma" w:eastAsiaTheme="minorHAnsi" w:hAnsi="Tahoma" w:cs="Tahoma" w:hint="cs"/>
          <w:sz w:val="19"/>
          <w:szCs w:val="19"/>
          <w:rtl/>
        </w:rPr>
        <w:t xml:space="preserve">הרגיל </w:t>
      </w:r>
      <w:r w:rsidRPr="00236CC3">
        <w:rPr>
          <w:rFonts w:ascii="Tahoma" w:eastAsiaTheme="minorHAnsi" w:hAnsi="Tahoma" w:cs="Tahoma"/>
          <w:sz w:val="19"/>
          <w:szCs w:val="19"/>
          <w:rtl/>
        </w:rPr>
        <w:t xml:space="preserve">הדורש אישור יבוא מראש ובדיקות בשער הכניסה לישראל. </w:t>
      </w:r>
      <w:r w:rsidRPr="00236CC3">
        <w:rPr>
          <w:rFonts w:ascii="Tahoma" w:eastAsiaTheme="minorHAnsi" w:hAnsi="Tahoma" w:cs="Tahoma"/>
          <w:b/>
          <w:bCs/>
          <w:sz w:val="19"/>
          <w:szCs w:val="19"/>
          <w:rtl/>
        </w:rPr>
        <w:t>העדפת מסלול היבוא היקר יותר על ידי היבואנים מלמדת שבכוחם להעמיס את העלויות הנוספות על הצרכן ושהשוק אינו תחרותי מספיק</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והם אינם חשופים לתחרות מספיקה מצד יבואנים מתחרים.</w:t>
      </w:r>
      <w:r w:rsidRPr="00236CC3">
        <w:rPr>
          <w:rFonts w:eastAsiaTheme="minorHAnsi"/>
          <w:rtl/>
        </w:rPr>
        <w:t xml:space="preserve"> </w:t>
      </w:r>
      <w:r w:rsidRPr="00236CC3">
        <w:rPr>
          <w:rFonts w:ascii="Tahoma" w:eastAsiaTheme="minorHAnsi" w:hAnsi="Tahoma" w:cs="Tahoma"/>
          <w:sz w:val="19"/>
          <w:szCs w:val="19"/>
          <w:rtl/>
        </w:rPr>
        <w:t>לטענת היבואנים, התנאים ברפורמה ביבוא מזון לפי המסלול האירופי אינם נותנים להם מענה שלם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למשל, חוסר היכולת לייבא במכולה אחת מוצרים הנכללים ברפורמה ומוצרים שאינם נכללים בה</w:t>
      </w:r>
      <w:r w:rsidRPr="00236CC3">
        <w:rPr>
          <w:rFonts w:ascii="Tahoma" w:eastAsiaTheme="minorHAnsi" w:hAnsi="Tahoma" w:cs="Tahoma" w:hint="cs"/>
          <w:sz w:val="19"/>
          <w:szCs w:val="19"/>
          <w:rtl/>
        </w:rPr>
        <w:t>.</w:t>
      </w:r>
    </w:p>
    <w:p w14:paraId="73AAD374"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יוקר מחירי המזון הבריא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נמצא </w:t>
      </w:r>
      <w:r w:rsidRPr="00236CC3">
        <w:rPr>
          <w:rFonts w:ascii="Tahoma" w:eastAsiaTheme="minorHAnsi" w:hAnsi="Tahoma" w:cs="Tahoma"/>
          <w:sz w:val="19"/>
          <w:szCs w:val="19"/>
          <w:rtl/>
        </w:rPr>
        <w:t xml:space="preserve">כי </w:t>
      </w:r>
      <w:r w:rsidRPr="00236CC3">
        <w:rPr>
          <w:rFonts w:ascii="Tahoma" w:eastAsiaTheme="minorHAnsi" w:hAnsi="Tahoma" w:cs="Tahoma"/>
          <w:b/>
          <w:bCs/>
          <w:sz w:val="19"/>
          <w:szCs w:val="19"/>
          <w:rtl/>
        </w:rPr>
        <w:t>קיימים חסמים ליבוא ירקות קפואים</w:t>
      </w:r>
      <w:r w:rsidRPr="00236CC3">
        <w:rPr>
          <w:rFonts w:ascii="Tahoma" w:eastAsiaTheme="minorHAnsi" w:hAnsi="Tahoma" w:cs="Tahoma"/>
          <w:sz w:val="19"/>
          <w:szCs w:val="19"/>
          <w:rtl/>
        </w:rPr>
        <w:t xml:space="preserve">, ובכללם חסמים מתוקף תקנות משרד הבריאות בדבר הימצאות חיידקים שאינה תואמת את המקובל באירופה וחסמי מכס. חסמים אלה </w:t>
      </w:r>
      <w:r w:rsidRPr="00236CC3">
        <w:rPr>
          <w:rFonts w:ascii="Tahoma" w:eastAsiaTheme="minorHAnsi" w:hAnsi="Tahoma" w:cs="Tahoma"/>
          <w:b/>
          <w:bCs/>
          <w:sz w:val="19"/>
          <w:szCs w:val="19"/>
          <w:rtl/>
        </w:rPr>
        <w:t xml:space="preserve">תורמים להפרשי המחירים של </w:t>
      </w:r>
      <w:r w:rsidRPr="00236CC3">
        <w:rPr>
          <w:rFonts w:ascii="Tahoma" w:eastAsiaTheme="minorHAnsi" w:hAnsi="Tahoma" w:cs="Tahoma" w:hint="cs"/>
          <w:b/>
          <w:bCs/>
          <w:sz w:val="19"/>
          <w:szCs w:val="19"/>
          <w:rtl/>
        </w:rPr>
        <w:t>יותר</w:t>
      </w:r>
      <w:r w:rsidRPr="00236CC3">
        <w:rPr>
          <w:rFonts w:ascii="Tahoma" w:eastAsiaTheme="minorHAnsi" w:hAnsi="Tahoma" w:cs="Tahoma"/>
          <w:b/>
          <w:bCs/>
          <w:sz w:val="19"/>
          <w:szCs w:val="19"/>
          <w:rtl/>
        </w:rPr>
        <w:t xml:space="preserve"> מ-100%</w:t>
      </w:r>
      <w:r w:rsidRPr="00236CC3">
        <w:rPr>
          <w:rFonts w:ascii="Tahoma" w:eastAsiaTheme="minorHAnsi" w:hAnsi="Tahoma" w:cs="Tahoma"/>
          <w:sz w:val="19"/>
          <w:szCs w:val="19"/>
          <w:rtl/>
        </w:rPr>
        <w:t xml:space="preserve"> ברוב מוצרי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ירקות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קפואים </w:t>
      </w:r>
      <w:r w:rsidRPr="00236CC3">
        <w:rPr>
          <w:rFonts w:ascii="Tahoma" w:eastAsiaTheme="minorHAnsi" w:hAnsi="Tahoma" w:cs="Tahoma" w:hint="cs"/>
          <w:sz w:val="19"/>
          <w:szCs w:val="19"/>
          <w:rtl/>
        </w:rPr>
        <w:t xml:space="preserve">הנמכרים </w:t>
      </w:r>
      <w:r w:rsidRPr="00236CC3">
        <w:rPr>
          <w:rFonts w:ascii="Tahoma" w:eastAsiaTheme="minorHAnsi" w:hAnsi="Tahoma" w:cs="Tahoma"/>
          <w:sz w:val="19"/>
          <w:szCs w:val="19"/>
          <w:rtl/>
        </w:rPr>
        <w:t>בחו</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ל בהשוואה למחירי המוצרים הנמכרים בישראל.</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כמו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בירקות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הקפואים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קיימים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מכסים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גבוהים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וריכוזיות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ספק</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דומיננטי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בשוק</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שיש</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להם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השפעה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מחיר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המוצרים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לצרכן</w:t>
      </w:r>
      <w:r w:rsidRPr="00236CC3">
        <w:rPr>
          <w:rFonts w:ascii="Tahoma" w:eastAsiaTheme="minorHAnsi" w:hAnsi="Tahoma" w:cs="Tahoma" w:hint="cs"/>
          <w:sz w:val="19"/>
          <w:szCs w:val="19"/>
          <w:rtl/>
        </w:rPr>
        <w:t xml:space="preserve"> ופער מחירים של עד כ-161% לעומת חו"ל</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עוד, נמצא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באופן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שאינו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עולה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בקנה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אחד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המלצות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משרד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הבריאות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לצריכת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מזון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בריא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בקטגוריה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לחמים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יש</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פיקוח</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מחירים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הלחם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הלבן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ואין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פיקוח</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מחירים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הלחם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המלא</w:t>
      </w:r>
      <w:r w:rsidRPr="00236CC3">
        <w:rPr>
          <w:rFonts w:ascii="Tahoma" w:eastAsiaTheme="minorHAnsi" w:hAnsi="Tahoma" w:cs="Tahoma"/>
          <w:sz w:val="19"/>
          <w:szCs w:val="19"/>
          <w:rtl/>
        </w:rPr>
        <w:t xml:space="preserve"> (הבריא), </w:t>
      </w:r>
      <w:r w:rsidRPr="00236CC3">
        <w:rPr>
          <w:rFonts w:ascii="Tahoma" w:eastAsiaTheme="minorHAnsi" w:hAnsi="Tahoma" w:cs="Tahoma" w:hint="eastAsia"/>
          <w:sz w:val="19"/>
          <w:szCs w:val="19"/>
          <w:rtl/>
        </w:rPr>
        <w:t>וכך</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פערי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המחירים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בקטגוריות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שנבחנו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ישראל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למדינות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נבחרות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עומדים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82%</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כמו כן </w:t>
      </w:r>
      <w:r w:rsidRPr="00236CC3">
        <w:rPr>
          <w:rFonts w:ascii="Tahoma" w:eastAsiaTheme="minorHAnsi" w:hAnsi="Tahoma" w:cs="Tahoma" w:hint="eastAsia"/>
          <w:sz w:val="19"/>
          <w:szCs w:val="19"/>
          <w:rtl/>
        </w:rPr>
        <w:t>מחירם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הגבוה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מוצרים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שנחשבים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מוצרים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בריאים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ייתכן</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ומ</w:t>
      </w:r>
      <w:r w:rsidRPr="00236CC3">
        <w:rPr>
          <w:rFonts w:ascii="Tahoma" w:eastAsiaTheme="minorHAnsi" w:hAnsi="Tahoma" w:cs="Tahoma" w:hint="eastAsia"/>
          <w:sz w:val="19"/>
          <w:szCs w:val="19"/>
          <w:rtl/>
        </w:rPr>
        <w:t>צמצם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צריכתם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ידי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הציבור</w:t>
      </w:r>
      <w:r w:rsidRPr="00236CC3">
        <w:rPr>
          <w:rFonts w:ascii="Tahoma" w:eastAsiaTheme="minorHAnsi" w:hAnsi="Tahoma" w:cs="Tahoma" w:hint="cs"/>
          <w:sz w:val="19"/>
          <w:szCs w:val="19"/>
          <w:rtl/>
        </w:rPr>
        <w:t>.</w:t>
      </w:r>
    </w:p>
    <w:p w14:paraId="7B7F0E96"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יוקר מחירי התמרוקים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גם לאחר כניסתה לתוקף של הרפורמה ליבוא מקביל של תמרוק</w:t>
      </w:r>
      <w:r w:rsidRPr="00236CC3">
        <w:rPr>
          <w:rFonts w:ascii="Tahoma" w:eastAsiaTheme="minorHAnsi" w:hAnsi="Tahoma" w:cs="Tahoma" w:hint="cs"/>
          <w:sz w:val="19"/>
          <w:szCs w:val="19"/>
          <w:rtl/>
        </w:rPr>
        <w:t>ים בינואר 2023</w:t>
      </w:r>
      <w:r w:rsidRPr="00236CC3">
        <w:rPr>
          <w:rFonts w:ascii="Tahoma" w:eastAsiaTheme="minorHAnsi" w:hAnsi="Tahoma" w:cs="Tahoma"/>
          <w:sz w:val="19"/>
          <w:szCs w:val="19"/>
          <w:rtl/>
        </w:rPr>
        <w:t xml:space="preserve"> על בסיס אישור התאמה לתמרוק</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 xml:space="preserve"> ייחוס, מוצרי האיפור בישראל שנדגמו יקרים עד כ-403% לעומת מדינות נבחרות באירופה, לדוגמ</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מייק אפ </w:t>
      </w:r>
      <w:r w:rsidRPr="00236CC3">
        <w:rPr>
          <w:rFonts w:ascii="Tahoma" w:eastAsiaTheme="minorHAnsi" w:hAnsi="Tahoma" w:cs="Tahoma"/>
          <w:sz w:val="19"/>
          <w:szCs w:val="19"/>
        </w:rPr>
        <w:t>Revlon</w:t>
      </w:r>
      <w:r w:rsidRPr="00236CC3">
        <w:rPr>
          <w:rFonts w:ascii="Tahoma" w:eastAsiaTheme="minorHAnsi" w:hAnsi="Tahoma" w:cs="Tahoma"/>
          <w:sz w:val="19"/>
          <w:szCs w:val="19"/>
          <w:rtl/>
        </w:rPr>
        <w:t xml:space="preserve"> בנפח 30 מ"ל</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מחירו הממוצע במדינות שנדגמו עומד על 25.4 ש"ח לעומת מחירו בישראל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102.4 ש"ח.</w:t>
      </w:r>
      <w:r w:rsidRPr="00236CC3">
        <w:rPr>
          <w:rFonts w:ascii="Tahoma" w:eastAsiaTheme="minorHAnsi" w:hAnsi="Tahoma" w:cs="Tahoma" w:hint="cs"/>
          <w:sz w:val="19"/>
          <w:szCs w:val="19"/>
          <w:rtl/>
        </w:rPr>
        <w:t xml:space="preserve"> </w:t>
      </w:r>
    </w:p>
    <w:p w14:paraId="545F7DA9" w14:textId="77777777" w:rsidR="00236CC3" w:rsidRPr="00236CC3" w:rsidRDefault="00000000" w:rsidP="00236CC3">
      <w:pPr>
        <w:spacing w:before="240" w:after="160" w:line="288" w:lineRule="auto"/>
        <w:ind w:left="-283" w:right="-567" w:hanging="454"/>
        <w:rPr>
          <w:rFonts w:ascii="Tahoma" w:eastAsiaTheme="minorHAnsi" w:hAnsi="Tahoma" w:cs="Tahoma"/>
          <w:sz w:val="19"/>
          <w:szCs w:val="19"/>
          <w:rtl/>
        </w:rPr>
      </w:pPr>
      <w:r w:rsidRPr="00236CC3">
        <w:rPr>
          <w:rFonts w:ascii="Tahoma" w:eastAsiaTheme="minorHAnsi" w:hAnsi="Tahoma" w:cs="Tahoma" w:hint="cs"/>
          <w:noProof/>
          <w:sz w:val="19"/>
          <w:szCs w:val="19"/>
          <w:rtl/>
        </w:rPr>
        <w:drawing>
          <wp:inline distT="0" distB="0" distL="0" distR="0" wp14:anchorId="3C22DBE0" wp14:editId="2059FBCA">
            <wp:extent cx="2710450" cy="207831"/>
            <wp:effectExtent l="0" t="0" r="0" b="1905"/>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6E64AF42"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hint="cs"/>
          <w:b/>
          <w:bCs/>
          <w:sz w:val="19"/>
          <w:szCs w:val="19"/>
          <w:rtl/>
        </w:rPr>
        <w:t xml:space="preserve">פעילות רשות התחרות לאחר ממצאי הדוח הקודם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משרד מבקר המדינה מציין לחיוב את פע</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לות </w:t>
      </w:r>
      <w:r w:rsidRPr="00236CC3">
        <w:rPr>
          <w:rFonts w:ascii="Tahoma" w:eastAsiaTheme="minorHAnsi" w:hAnsi="Tahoma" w:cs="Tahoma" w:hint="cs"/>
          <w:sz w:val="19"/>
          <w:szCs w:val="19"/>
          <w:rtl/>
        </w:rPr>
        <w:t xml:space="preserve">האכיפה של </w:t>
      </w:r>
      <w:r w:rsidRPr="00236CC3">
        <w:rPr>
          <w:rFonts w:ascii="Tahoma" w:eastAsiaTheme="minorHAnsi" w:hAnsi="Tahoma" w:cs="Tahoma"/>
          <w:sz w:val="19"/>
          <w:szCs w:val="19"/>
          <w:rtl/>
        </w:rPr>
        <w:t xml:space="preserve">רשות התחרות </w:t>
      </w:r>
      <w:r w:rsidRPr="00236CC3">
        <w:rPr>
          <w:rFonts w:ascii="Tahoma" w:eastAsiaTheme="minorHAnsi" w:hAnsi="Tahoma" w:cs="Tahoma" w:hint="cs"/>
          <w:sz w:val="19"/>
          <w:szCs w:val="19"/>
          <w:rtl/>
        </w:rPr>
        <w:t>בעקבות</w:t>
      </w:r>
      <w:r w:rsidRPr="00236CC3">
        <w:rPr>
          <w:rFonts w:ascii="Tahoma" w:eastAsiaTheme="minorHAnsi" w:hAnsi="Tahoma" w:cs="Tahoma"/>
          <w:sz w:val="19"/>
          <w:szCs w:val="19"/>
          <w:rtl/>
        </w:rPr>
        <w:t xml:space="preserve"> ממצאי הדוח הקודם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היא </w:t>
      </w:r>
      <w:r w:rsidRPr="00236CC3">
        <w:rPr>
          <w:rFonts w:ascii="Tahoma" w:eastAsiaTheme="minorHAnsi" w:hAnsi="Tahoma" w:cs="Tahoma"/>
          <w:sz w:val="19"/>
          <w:szCs w:val="19"/>
          <w:rtl/>
        </w:rPr>
        <w:t>בחנה את שוק התה ומצאה שלחברה הפועלת בו יש כוח שוק משמעותי בו והיא אינה מוגדרת כספק גדול על פי חוק המזון</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ופעלה להכריז עליה</w:t>
      </w:r>
      <w:r w:rsidRPr="00236CC3">
        <w:rPr>
          <w:rFonts w:ascii="Tahoma" w:eastAsiaTheme="minorHAnsi" w:hAnsi="Tahoma" w:cs="Tahoma"/>
          <w:b/>
          <w:bCs/>
          <w:sz w:val="19"/>
          <w:szCs w:val="19"/>
          <w:rtl/>
        </w:rPr>
        <w:t xml:space="preserve"> </w:t>
      </w:r>
      <w:r w:rsidRPr="00236CC3">
        <w:rPr>
          <w:rFonts w:ascii="Tahoma" w:eastAsiaTheme="minorHAnsi" w:hAnsi="Tahoma" w:cs="Tahoma" w:hint="cs"/>
          <w:sz w:val="19"/>
          <w:szCs w:val="19"/>
          <w:rtl/>
        </w:rPr>
        <w:t>כ</w:t>
      </w:r>
      <w:r w:rsidRPr="00236CC3">
        <w:rPr>
          <w:rFonts w:ascii="Tahoma" w:eastAsiaTheme="minorHAnsi" w:hAnsi="Tahoma" w:cs="Tahoma"/>
          <w:sz w:val="19"/>
          <w:szCs w:val="19"/>
          <w:rtl/>
        </w:rPr>
        <w:t>מונופול</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ב</w:t>
      </w:r>
      <w:r w:rsidRPr="00236CC3">
        <w:rPr>
          <w:rFonts w:ascii="Tahoma" w:eastAsiaTheme="minorHAnsi" w:hAnsi="Tahoma" w:cs="Tahoma" w:hint="cs"/>
          <w:sz w:val="19"/>
          <w:szCs w:val="19"/>
          <w:rtl/>
        </w:rPr>
        <w:t>ענף</w:t>
      </w:r>
      <w:r w:rsidRPr="00236CC3">
        <w:rPr>
          <w:rFonts w:ascii="Tahoma" w:eastAsiaTheme="minorHAnsi" w:hAnsi="Tahoma" w:cs="Tahoma"/>
          <w:sz w:val="19"/>
          <w:szCs w:val="19"/>
          <w:rtl/>
        </w:rPr>
        <w:t xml:space="preserve"> המזון</w:t>
      </w:r>
      <w:r w:rsidRPr="00236CC3">
        <w:rPr>
          <w:rFonts w:ascii="Tahoma" w:eastAsiaTheme="minorHAnsi" w:hAnsi="Tahoma" w:cs="Tahoma" w:hint="cs"/>
          <w:sz w:val="19"/>
          <w:szCs w:val="19"/>
          <w:rtl/>
        </w:rPr>
        <w:t xml:space="preserve"> (תה)</w:t>
      </w:r>
      <w:r w:rsidRPr="00236CC3">
        <w:rPr>
          <w:rFonts w:ascii="Tahoma" w:eastAsiaTheme="minorHAnsi" w:hAnsi="Tahoma" w:cs="Tahoma"/>
          <w:sz w:val="19"/>
          <w:szCs w:val="19"/>
          <w:rtl/>
        </w:rPr>
        <w:t xml:space="preserve"> (לראשונה מזה </w:t>
      </w:r>
      <w:r w:rsidRPr="00236CC3">
        <w:rPr>
          <w:rFonts w:ascii="Tahoma" w:eastAsiaTheme="minorHAnsi" w:hAnsi="Tahoma" w:cs="Tahoma" w:hint="cs"/>
          <w:sz w:val="19"/>
          <w:szCs w:val="19"/>
          <w:rtl/>
        </w:rPr>
        <w:t>יותר</w:t>
      </w:r>
      <w:r w:rsidRPr="00236CC3">
        <w:rPr>
          <w:rFonts w:ascii="Tahoma" w:eastAsiaTheme="minorHAnsi" w:hAnsi="Tahoma" w:cs="Tahoma"/>
          <w:sz w:val="19"/>
          <w:szCs w:val="19"/>
          <w:rtl/>
        </w:rPr>
        <w:t xml:space="preserve"> מ-20 שנים);</w:t>
      </w:r>
      <w:r w:rsidRPr="00236CC3">
        <w:rPr>
          <w:rFonts w:ascii="Tahoma" w:eastAsiaTheme="minorHAnsi" w:hAnsi="Tahoma" w:cs="Tahoma" w:hint="cs"/>
          <w:sz w:val="19"/>
          <w:szCs w:val="19"/>
          <w:rtl/>
        </w:rPr>
        <w:t xml:space="preserve"> רשות התחרות בצעה בכמה מועדים מפוי חסמי יבוא; יזמה תיקוני חקיקה להתמודדות עם פרקטיקות אנטי תחרותיות, יזמה </w:t>
      </w:r>
      <w:r w:rsidRPr="00236CC3">
        <w:rPr>
          <w:rFonts w:ascii="Tahoma" w:eastAsiaTheme="minorHAnsi" w:hAnsi="Tahoma" w:cs="Tahoma"/>
          <w:sz w:val="19"/>
          <w:szCs w:val="19"/>
          <w:rtl/>
        </w:rPr>
        <w:t>בחינת התקשרויות בין ספקים וקמעונאים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חקר</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התבטאויות פומביות של שחקנים בשוק המזון</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אסר</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על סידור מדפים של ספקים גדולים אצל קמעונאים גדולים</w:t>
      </w:r>
      <w:r w:rsidRPr="00236CC3">
        <w:rPr>
          <w:rFonts w:ascii="Tahoma" w:eastAsiaTheme="minorHAnsi" w:hAnsi="Tahoma" w:cs="Tahoma" w:hint="cs"/>
          <w:sz w:val="19"/>
          <w:szCs w:val="19"/>
          <w:rtl/>
        </w:rPr>
        <w:t>; ו</w:t>
      </w:r>
      <w:r w:rsidRPr="00236CC3">
        <w:rPr>
          <w:rFonts w:ascii="Tahoma" w:eastAsiaTheme="minorHAnsi" w:hAnsi="Tahoma" w:cs="Tahoma"/>
          <w:sz w:val="19"/>
          <w:szCs w:val="19"/>
          <w:rtl/>
        </w:rPr>
        <w:t>דרשה לקבל ולבחון חוזי התקשרויות בין היבואנים הישירים לבין ספקיהם בחו"ל</w:t>
      </w:r>
      <w:r w:rsidRPr="00236CC3">
        <w:rPr>
          <w:rFonts w:ascii="Tahoma" w:eastAsiaTheme="minorHAnsi" w:hAnsi="Tahoma" w:cs="Tahoma" w:hint="cs"/>
          <w:sz w:val="19"/>
          <w:szCs w:val="19"/>
          <w:rtl/>
        </w:rPr>
        <w:t>.</w:t>
      </w:r>
    </w:p>
    <w:p w14:paraId="27A46247"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hint="cs"/>
          <w:b/>
          <w:bCs/>
          <w:sz w:val="19"/>
          <w:szCs w:val="19"/>
          <w:rtl/>
        </w:rPr>
        <w:t>פעילות היחידה להגנת הצומח לאחר ממצאי הדוח הקודם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משרד מבקר המדינה רואה בחיוב את הפעולות היזומות של היחידה להגנת הצומח לגיבוש אמנת שירות להתרת יבוא פירות וירקות ולגיבוש נוהל </w:t>
      </w:r>
      <w:r w:rsidRPr="00236CC3">
        <w:rPr>
          <w:rFonts w:ascii="Tahoma" w:eastAsiaTheme="minorHAnsi" w:hAnsi="Tahoma" w:cs="Tahoma"/>
          <w:sz w:val="19"/>
          <w:szCs w:val="19"/>
          <w:rtl/>
        </w:rPr>
        <w:lastRenderedPageBreak/>
        <w:t>פנימי להסדרת היבוא וכן לפתיחת מדינות נוספות ליבוא מוצרי פירות וירקות לישראל</w:t>
      </w:r>
      <w:r w:rsidRPr="00236CC3">
        <w:rPr>
          <w:rFonts w:ascii="Tahoma" w:eastAsiaTheme="minorHAnsi" w:hAnsi="Tahoma" w:cs="Tahoma" w:hint="cs"/>
          <w:sz w:val="19"/>
          <w:szCs w:val="19"/>
          <w:rtl/>
        </w:rPr>
        <w:t>, דבר שהוביל, בין היתר, להגדלת הכמות של יבוא האננס ולהפחתה משמעותית במחירו לצרכן.</w:t>
      </w:r>
    </w:p>
    <w:p w14:paraId="685AF576" w14:textId="77777777" w:rsidR="00236CC3" w:rsidRPr="00236CC3" w:rsidRDefault="00000000" w:rsidP="00236CC3">
      <w:pPr>
        <w:spacing w:before="120" w:after="120" w:line="288" w:lineRule="auto"/>
        <w:ind w:left="-851" w:right="-567"/>
        <w:rPr>
          <w:rFonts w:ascii="Tahoma" w:eastAsiaTheme="minorHAnsi" w:hAnsi="Tahoma" w:cs="Tahoma"/>
          <w:b/>
          <w:bCs/>
          <w:sz w:val="19"/>
          <w:szCs w:val="19"/>
        </w:rPr>
      </w:pPr>
      <w:r w:rsidRPr="00236CC3">
        <w:rPr>
          <w:rFonts w:ascii="Tahoma" w:eastAsiaTheme="minorHAnsi" w:hAnsi="Tahoma" w:cs="Tahoma" w:hint="cs"/>
          <w:b/>
          <w:bCs/>
          <w:sz w:val="19"/>
          <w:szCs w:val="19"/>
          <w:rtl/>
        </w:rPr>
        <w:t xml:space="preserve">מבקר המדינה מתניהו אנגלמן קובע כי </w:t>
      </w:r>
      <w:r w:rsidRPr="00236CC3">
        <w:rPr>
          <w:rFonts w:ascii="Tahoma" w:eastAsiaTheme="minorHAnsi" w:hAnsi="Tahoma" w:cs="Tahoma"/>
          <w:b/>
          <w:bCs/>
          <w:sz w:val="19"/>
          <w:szCs w:val="19"/>
          <w:rtl/>
        </w:rPr>
        <w:t xml:space="preserve">על </w:t>
      </w:r>
      <w:r w:rsidRPr="00236CC3">
        <w:rPr>
          <w:rFonts w:ascii="Tahoma" w:eastAsiaTheme="minorHAnsi" w:hAnsi="Tahoma" w:cs="Tahoma" w:hint="eastAsia"/>
          <w:b/>
          <w:bCs/>
          <w:sz w:val="19"/>
          <w:szCs w:val="19"/>
          <w:rtl/>
        </w:rPr>
        <w:t>ראש</w:t>
      </w:r>
      <w:r w:rsidRPr="00236CC3">
        <w:rPr>
          <w:rFonts w:ascii="Tahoma" w:eastAsiaTheme="minorHAnsi" w:hAnsi="Tahoma" w:cs="Tahoma"/>
          <w:b/>
          <w:bCs/>
          <w:sz w:val="19"/>
          <w:szCs w:val="19"/>
          <w:rtl/>
        </w:rPr>
        <w:t xml:space="preserve"> הממשלה, </w:t>
      </w:r>
      <w:r w:rsidRPr="00236CC3">
        <w:rPr>
          <w:rFonts w:ascii="Tahoma" w:eastAsiaTheme="minorHAnsi" w:hAnsi="Tahoma" w:cs="Tahoma" w:hint="eastAsia"/>
          <w:b/>
          <w:bCs/>
          <w:sz w:val="19"/>
          <w:szCs w:val="19"/>
          <w:rtl/>
        </w:rPr>
        <w:t>שרי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האוצר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הכלכלה</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ה</w:t>
      </w:r>
      <w:r w:rsidRPr="00236CC3">
        <w:rPr>
          <w:rFonts w:ascii="Tahoma" w:eastAsiaTheme="minorHAnsi" w:hAnsi="Tahoma" w:cs="Tahoma" w:hint="eastAsia"/>
          <w:b/>
          <w:bCs/>
          <w:sz w:val="19"/>
          <w:szCs w:val="19"/>
          <w:rtl/>
        </w:rPr>
        <w:t>בריאות</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ה</w:t>
      </w:r>
      <w:r w:rsidRPr="00236CC3">
        <w:rPr>
          <w:rFonts w:ascii="Tahoma" w:eastAsiaTheme="minorHAnsi" w:hAnsi="Tahoma" w:cs="Tahoma" w:hint="eastAsia"/>
          <w:b/>
          <w:bCs/>
          <w:sz w:val="19"/>
          <w:szCs w:val="19"/>
          <w:rtl/>
        </w:rPr>
        <w:t>חקלאות ושרים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אחרים</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הגנת הסביבה, האנרגי</w:t>
      </w:r>
      <w:r w:rsidRPr="00236CC3">
        <w:rPr>
          <w:rFonts w:ascii="Tahoma" w:eastAsiaTheme="minorHAnsi" w:hAnsi="Tahoma" w:cs="Tahoma" w:hint="cs"/>
          <w:b/>
          <w:bCs/>
          <w:sz w:val="19"/>
          <w:szCs w:val="19"/>
          <w:rtl/>
        </w:rPr>
        <w:t>י</w:t>
      </w:r>
      <w:r w:rsidRPr="00236CC3">
        <w:rPr>
          <w:rFonts w:ascii="Tahoma" w:eastAsiaTheme="minorHAnsi" w:hAnsi="Tahoma" w:cs="Tahoma"/>
          <w:b/>
          <w:bCs/>
          <w:sz w:val="19"/>
          <w:szCs w:val="19"/>
          <w:rtl/>
        </w:rPr>
        <w:t>ה והתשתיות,</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הרווחה והביטחון החברתי,</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שירותי דת, הבינוי והשיכון, הנגב, הגליל והחוסן הלאומי, התקשורת,</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התיירות והעלייה והקליטה</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ששותפים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לעבודת</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ועדת השרים לטיפול ביוקר המחיה</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לעקוב</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אחר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יישום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הרפורמות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ולפעול</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להשלמתן</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ולעדכונן</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אם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נדרש</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 xml:space="preserve">ולוודא כי </w:t>
      </w:r>
      <w:r w:rsidRPr="00236CC3">
        <w:rPr>
          <w:rFonts w:ascii="Tahoma" w:eastAsiaTheme="minorHAnsi" w:hAnsi="Tahoma" w:cs="Tahoma"/>
          <w:b/>
          <w:bCs/>
          <w:sz w:val="19"/>
          <w:szCs w:val="19"/>
          <w:rtl/>
        </w:rPr>
        <w:t>פעולות הממשלה להפח</w:t>
      </w:r>
      <w:r w:rsidRPr="00236CC3">
        <w:rPr>
          <w:rFonts w:ascii="Tahoma" w:eastAsiaTheme="minorHAnsi" w:hAnsi="Tahoma" w:cs="Tahoma" w:hint="eastAsia"/>
          <w:b/>
          <w:bCs/>
          <w:sz w:val="19"/>
          <w:szCs w:val="19"/>
          <w:rtl/>
        </w:rPr>
        <w:t>ת</w:t>
      </w:r>
      <w:r w:rsidRPr="00236CC3">
        <w:rPr>
          <w:rFonts w:ascii="Tahoma" w:eastAsiaTheme="minorHAnsi" w:hAnsi="Tahoma" w:cs="Tahoma" w:hint="cs"/>
          <w:b/>
          <w:bCs/>
          <w:sz w:val="19"/>
          <w:szCs w:val="19"/>
          <w:rtl/>
        </w:rPr>
        <w:t>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יוקר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המחיה</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מתואמות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ועדכניות</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כדי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להתמודד</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באופן</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מיטבי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עם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יוקר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המחיה</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ו</w:t>
      </w:r>
      <w:r w:rsidRPr="00236CC3">
        <w:rPr>
          <w:rFonts w:ascii="Tahoma" w:eastAsiaTheme="minorHAnsi" w:hAnsi="Tahoma" w:cs="Tahoma" w:hint="cs"/>
          <w:b/>
          <w:bCs/>
          <w:sz w:val="19"/>
          <w:szCs w:val="19"/>
          <w:rtl/>
        </w:rPr>
        <w:t xml:space="preserve">עם </w:t>
      </w:r>
      <w:r w:rsidRPr="00236CC3">
        <w:rPr>
          <w:rFonts w:ascii="Tahoma" w:eastAsiaTheme="minorHAnsi" w:hAnsi="Tahoma" w:cs="Tahoma" w:hint="eastAsia"/>
          <w:b/>
          <w:bCs/>
          <w:sz w:val="19"/>
          <w:szCs w:val="19"/>
          <w:rtl/>
        </w:rPr>
        <w:t>עליית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מחירי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המזון</w:t>
      </w:r>
      <w:r w:rsidRPr="00236CC3">
        <w:rPr>
          <w:rFonts w:ascii="Tahoma" w:eastAsiaTheme="minorHAnsi" w:hAnsi="Tahoma" w:cs="Tahoma"/>
          <w:b/>
          <w:bCs/>
          <w:sz w:val="19"/>
          <w:szCs w:val="19"/>
          <w:rtl/>
        </w:rPr>
        <w:t>.</w:t>
      </w:r>
      <w:r w:rsidRPr="00236CC3">
        <w:rPr>
          <w:rFonts w:eastAsiaTheme="minorHAnsi"/>
          <w:b/>
          <w:bCs/>
          <w:sz w:val="22"/>
          <w:szCs w:val="22"/>
        </w:rPr>
        <w:tab/>
      </w:r>
    </w:p>
    <w:p w14:paraId="0487AE80" w14:textId="77777777" w:rsidR="00236CC3" w:rsidRPr="00236CC3" w:rsidRDefault="00236CC3" w:rsidP="00236CC3">
      <w:pPr>
        <w:bidi w:val="0"/>
        <w:spacing w:line="288" w:lineRule="auto"/>
        <w:rPr>
          <w:rFonts w:ascii="Tahoma" w:eastAsia="Times New Roman" w:hAnsi="Tahoma" w:cs="Tahoma"/>
          <w:szCs w:val="28"/>
          <w:u w:val="single"/>
        </w:rPr>
      </w:pPr>
    </w:p>
    <w:p w14:paraId="643E16ED" w14:textId="77777777" w:rsidR="00236CC3" w:rsidRPr="00236CC3" w:rsidRDefault="00236CC3" w:rsidP="00236CC3">
      <w:pPr>
        <w:bidi w:val="0"/>
        <w:spacing w:line="288" w:lineRule="auto"/>
        <w:rPr>
          <w:rFonts w:ascii="Tahoma" w:eastAsia="Times New Roman" w:hAnsi="Tahoma" w:cs="Tahoma"/>
          <w:szCs w:val="28"/>
          <w:u w:val="single"/>
        </w:rPr>
      </w:pPr>
    </w:p>
    <w:p w14:paraId="3D02654E" w14:textId="77777777" w:rsidR="00236CC3" w:rsidRPr="00236CC3" w:rsidRDefault="00236CC3" w:rsidP="00236CC3">
      <w:pPr>
        <w:bidi w:val="0"/>
        <w:spacing w:line="288" w:lineRule="auto"/>
        <w:rPr>
          <w:rFonts w:ascii="Tahoma" w:eastAsia="Times New Roman" w:hAnsi="Tahoma" w:cs="Tahoma"/>
          <w:szCs w:val="28"/>
          <w:u w:val="single"/>
        </w:rPr>
      </w:pPr>
    </w:p>
    <w:p w14:paraId="1FF527B2" w14:textId="77777777" w:rsidR="00236CC3" w:rsidRPr="00236CC3" w:rsidRDefault="00236CC3" w:rsidP="00236CC3">
      <w:pPr>
        <w:bidi w:val="0"/>
        <w:spacing w:line="288" w:lineRule="auto"/>
        <w:rPr>
          <w:rFonts w:ascii="Tahoma" w:eastAsiaTheme="majorEastAsia" w:hAnsi="Tahoma" w:cs="Tahoma"/>
          <w:szCs w:val="28"/>
          <w:u w:val="single"/>
        </w:rPr>
      </w:pP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021FB0A3" w14:textId="77777777" w:rsidTr="00236CC3">
        <w:tc>
          <w:tcPr>
            <w:tcW w:w="9783" w:type="dxa"/>
          </w:tcPr>
          <w:p w14:paraId="1B00A0A6" w14:textId="77777777" w:rsidR="00236CC3" w:rsidRPr="00CA21DE" w:rsidRDefault="00000000" w:rsidP="00C950A0">
            <w:pPr>
              <w:pStyle w:val="1"/>
              <w:jc w:val="left"/>
              <w:rPr>
                <w:rFonts w:ascii="Tahoma" w:hAnsi="Tahoma" w:cs="Tahoma"/>
                <w:sz w:val="40"/>
                <w:szCs w:val="40"/>
                <w:rtl/>
              </w:rPr>
            </w:pPr>
            <w:bookmarkStart w:id="28" w:name="_Toc179710259"/>
            <w:r w:rsidRPr="00CA21DE">
              <w:rPr>
                <w:rFonts w:ascii="Tahoma" w:hAnsi="Tahoma" w:cs="Tahoma"/>
                <w:sz w:val="40"/>
                <w:szCs w:val="40"/>
                <w:rtl/>
              </w:rPr>
              <w:t>מיסוי מטבעות דיגיטליים</w:t>
            </w:r>
            <w:bookmarkEnd w:id="28"/>
          </w:p>
        </w:tc>
      </w:tr>
    </w:tbl>
    <w:p w14:paraId="14C816C3" w14:textId="77777777" w:rsidR="00236CC3" w:rsidRPr="00236CC3" w:rsidRDefault="00000000" w:rsidP="00DF069B">
      <w:pPr>
        <w:spacing w:line="288" w:lineRule="auto"/>
        <w:ind w:left="-851"/>
        <w:rPr>
          <w:rFonts w:ascii="Tahoma" w:eastAsiaTheme="minorHAnsi" w:hAnsi="Tahoma" w:cs="Tahoma"/>
          <w:rtl/>
        </w:rPr>
      </w:pPr>
      <w:r w:rsidRPr="00236CC3">
        <w:rPr>
          <w:rFonts w:ascii="Tahoma" w:eastAsiaTheme="minorHAnsi" w:hAnsi="Tahoma" w:cs="Tahoma"/>
          <w:noProof/>
          <w:rtl/>
        </w:rPr>
        <w:drawing>
          <wp:inline distT="0" distB="0" distL="0" distR="0" wp14:anchorId="371D3EF0" wp14:editId="78044CC2">
            <wp:extent cx="1673860" cy="526993"/>
            <wp:effectExtent l="0" t="0" r="2540" b="698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7816" cy="534535"/>
                    </a:xfrm>
                    <a:prstGeom prst="rect">
                      <a:avLst/>
                    </a:prstGeom>
                  </pic:spPr>
                </pic:pic>
              </a:graphicData>
            </a:graphic>
          </wp:inline>
        </w:drawing>
      </w: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83"/>
        <w:gridCol w:w="1847"/>
        <w:gridCol w:w="284"/>
        <w:gridCol w:w="2693"/>
        <w:gridCol w:w="283"/>
        <w:gridCol w:w="2124"/>
      </w:tblGrid>
      <w:tr w:rsidR="004F19B3" w14:paraId="26034569" w14:textId="77777777" w:rsidTr="00236CC3">
        <w:trPr>
          <w:trHeight w:val="283"/>
        </w:trPr>
        <w:tc>
          <w:tcPr>
            <w:tcW w:w="2128" w:type="dxa"/>
            <w:tcBorders>
              <w:bottom w:val="single" w:sz="12" w:space="0" w:color="auto"/>
            </w:tcBorders>
            <w:shd w:val="clear" w:color="auto" w:fill="auto"/>
            <w:vAlign w:val="bottom"/>
          </w:tcPr>
          <w:p w14:paraId="5B1DFD80"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hint="eastAsia"/>
                <w:spacing w:val="-10"/>
                <w:sz w:val="26"/>
                <w:szCs w:val="26"/>
                <w:rtl/>
              </w:rPr>
              <w:t>כ</w:t>
            </w:r>
            <w:r w:rsidRPr="00236CC3">
              <w:rPr>
                <w:rFonts w:ascii="Tahoma" w:hAnsi="Tahoma" w:cs="Tahoma"/>
                <w:spacing w:val="-10"/>
                <w:sz w:val="26"/>
                <w:szCs w:val="26"/>
                <w:rtl/>
              </w:rPr>
              <w:t>-</w:t>
            </w:r>
            <w:r w:rsidRPr="00236CC3">
              <w:rPr>
                <w:rFonts w:ascii="Tahoma" w:hAnsi="Tahoma" w:cs="Tahoma"/>
                <w:spacing w:val="-10"/>
                <w:sz w:val="36"/>
                <w:szCs w:val="36"/>
                <w:rtl/>
              </w:rPr>
              <w:t xml:space="preserve">0.2 - 1.67 </w:t>
            </w:r>
            <w:r w:rsidRPr="00236CC3">
              <w:rPr>
                <w:rFonts w:ascii="Tahoma" w:hAnsi="Tahoma" w:cs="Tahoma"/>
                <w:spacing w:val="-10"/>
                <w:sz w:val="26"/>
                <w:szCs w:val="26"/>
                <w:rtl/>
              </w:rPr>
              <w:t>מיליון מחזיקים</w:t>
            </w:r>
          </w:p>
        </w:tc>
        <w:tc>
          <w:tcPr>
            <w:tcW w:w="283" w:type="dxa"/>
          </w:tcPr>
          <w:p w14:paraId="2892ECFF"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1847" w:type="dxa"/>
            <w:tcBorders>
              <w:bottom w:val="single" w:sz="12" w:space="0" w:color="auto"/>
            </w:tcBorders>
            <w:vAlign w:val="bottom"/>
          </w:tcPr>
          <w:p w14:paraId="279AAFC8"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spacing w:val="-10"/>
                <w:sz w:val="26"/>
                <w:szCs w:val="26"/>
                <w:rtl/>
              </w:rPr>
              <w:t>כ-</w:t>
            </w:r>
            <w:r w:rsidRPr="00236CC3">
              <w:rPr>
                <w:rFonts w:ascii="Tahoma" w:hAnsi="Tahoma" w:cs="Tahoma"/>
                <w:spacing w:val="-10"/>
                <w:sz w:val="36"/>
                <w:szCs w:val="36"/>
                <w:rtl/>
              </w:rPr>
              <w:t xml:space="preserve">2 - 3 </w:t>
            </w:r>
            <w:r w:rsidRPr="00236CC3">
              <w:rPr>
                <w:rFonts w:ascii="Tahoma" w:hAnsi="Tahoma" w:cs="Tahoma"/>
                <w:spacing w:val="-10"/>
                <w:sz w:val="26"/>
                <w:szCs w:val="26"/>
                <w:rtl/>
              </w:rPr>
              <w:t xml:space="preserve">מיליארד ש"ח </w:t>
            </w:r>
          </w:p>
        </w:tc>
        <w:tc>
          <w:tcPr>
            <w:tcW w:w="284" w:type="dxa"/>
          </w:tcPr>
          <w:p w14:paraId="74564785"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2693" w:type="dxa"/>
            <w:tcBorders>
              <w:bottom w:val="single" w:sz="12" w:space="0" w:color="auto"/>
            </w:tcBorders>
            <w:vAlign w:val="bottom"/>
          </w:tcPr>
          <w:p w14:paraId="2D02BE8A"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26"/>
                <w:szCs w:val="26"/>
                <w:rtl/>
              </w:rPr>
              <w:t>כ-</w:t>
            </w:r>
            <w:r w:rsidRPr="00236CC3">
              <w:rPr>
                <w:rFonts w:ascii="Tahoma" w:hAnsi="Tahoma" w:cs="Tahoma"/>
                <w:spacing w:val="-10"/>
                <w:sz w:val="36"/>
                <w:szCs w:val="36"/>
                <w:rtl/>
              </w:rPr>
              <w:t xml:space="preserve">0.25% </w:t>
            </w:r>
            <w:r w:rsidRPr="00236CC3">
              <w:rPr>
                <w:rFonts w:ascii="Tahoma" w:hAnsi="Tahoma" w:cs="Tahoma"/>
                <w:spacing w:val="-10"/>
                <w:sz w:val="26"/>
                <w:szCs w:val="26"/>
                <w:rtl/>
              </w:rPr>
              <w:br/>
              <w:t>מדווחים</w:t>
            </w:r>
          </w:p>
        </w:tc>
        <w:tc>
          <w:tcPr>
            <w:tcW w:w="283" w:type="dxa"/>
          </w:tcPr>
          <w:p w14:paraId="5D548C79"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2124" w:type="dxa"/>
            <w:tcBorders>
              <w:bottom w:val="single" w:sz="12" w:space="0" w:color="auto"/>
            </w:tcBorders>
            <w:vAlign w:val="center"/>
          </w:tcPr>
          <w:p w14:paraId="0F9DDDB8"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spacing w:val="-10"/>
                <w:sz w:val="36"/>
                <w:szCs w:val="36"/>
                <w:rtl/>
              </w:rPr>
              <w:t xml:space="preserve">8 </w:t>
            </w:r>
          </w:p>
          <w:p w14:paraId="364F9491" w14:textId="77777777" w:rsidR="00236CC3" w:rsidRPr="00236CC3" w:rsidRDefault="00000000" w:rsidP="00236CC3">
            <w:pPr>
              <w:tabs>
                <w:tab w:val="center" w:pos="4153"/>
                <w:tab w:val="right" w:pos="8306"/>
              </w:tabs>
              <w:spacing w:after="60" w:line="240" w:lineRule="auto"/>
              <w:rPr>
                <w:rFonts w:ascii="Tahoma" w:hAnsi="Tahoma" w:cs="Tahoma"/>
                <w:spacing w:val="-10"/>
                <w:sz w:val="26"/>
                <w:szCs w:val="26"/>
                <w:rtl/>
              </w:rPr>
            </w:pPr>
            <w:r w:rsidRPr="00236CC3">
              <w:rPr>
                <w:rFonts w:ascii="Tahoma" w:hAnsi="Tahoma" w:cs="Tahoma"/>
                <w:spacing w:val="-10"/>
                <w:sz w:val="26"/>
                <w:szCs w:val="26"/>
                <w:rtl/>
              </w:rPr>
              <w:t>פרסומים</w:t>
            </w:r>
          </w:p>
        </w:tc>
      </w:tr>
      <w:tr w:rsidR="004F19B3" w14:paraId="6D270665" w14:textId="77777777" w:rsidTr="00236CC3">
        <w:trPr>
          <w:trHeight w:val="85"/>
        </w:trPr>
        <w:tc>
          <w:tcPr>
            <w:tcW w:w="9642" w:type="dxa"/>
            <w:gridSpan w:val="7"/>
            <w:shd w:val="clear" w:color="auto" w:fill="auto"/>
            <w:vAlign w:val="center"/>
          </w:tcPr>
          <w:p w14:paraId="668A929A"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7A56FC90" w14:textId="77777777" w:rsidTr="00236CC3">
        <w:trPr>
          <w:trHeight w:val="1155"/>
        </w:trPr>
        <w:tc>
          <w:tcPr>
            <w:tcW w:w="2128" w:type="dxa"/>
          </w:tcPr>
          <w:p w14:paraId="0D2D327A"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במטבעות דיגיטליים בישראל בשנת 2023, לפי הערכות שונות </w:t>
            </w:r>
          </w:p>
        </w:tc>
        <w:tc>
          <w:tcPr>
            <w:tcW w:w="283" w:type="dxa"/>
          </w:tcPr>
          <w:p w14:paraId="19F62772" w14:textId="77777777" w:rsidR="00236CC3" w:rsidRPr="00236CC3" w:rsidRDefault="00236CC3" w:rsidP="00236CC3">
            <w:pPr>
              <w:tabs>
                <w:tab w:val="center" w:pos="4153"/>
                <w:tab w:val="right" w:pos="8306"/>
              </w:tabs>
              <w:spacing w:line="240" w:lineRule="auto"/>
              <w:jc w:val="left"/>
              <w:rPr>
                <w:rFonts w:ascii="Tahoma" w:hAnsi="Tahoma" w:cs="Tahoma"/>
                <w:rtl/>
              </w:rPr>
            </w:pPr>
          </w:p>
        </w:tc>
        <w:tc>
          <w:tcPr>
            <w:tcW w:w="1847" w:type="dxa"/>
          </w:tcPr>
          <w:p w14:paraId="135411F0"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פוטנציאל גביית המס מקריפטו בישראל</w:t>
            </w:r>
          </w:p>
        </w:tc>
        <w:tc>
          <w:tcPr>
            <w:tcW w:w="284" w:type="dxa"/>
          </w:tcPr>
          <w:p w14:paraId="1B40EFA5"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693" w:type="dxa"/>
          </w:tcPr>
          <w:p w14:paraId="25363D0C"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לרשות המיסים על פעילותם במטבעות דיגיטליים. 500 דיווחים בממוצע בשנים </w:t>
            </w:r>
            <w:r w:rsidRPr="00236CC3">
              <w:rPr>
                <w:rFonts w:ascii="Tahoma" w:hAnsi="Tahoma" w:cs="Tahoma"/>
                <w:sz w:val="19"/>
                <w:szCs w:val="19"/>
                <w:rtl/>
              </w:rPr>
              <w:br/>
              <w:t xml:space="preserve">2018 - 2022, מתוך פוטנציאל דיווח מינימלי המוערך בכ-200,000 </w:t>
            </w:r>
          </w:p>
        </w:tc>
        <w:tc>
          <w:tcPr>
            <w:tcW w:w="283" w:type="dxa"/>
          </w:tcPr>
          <w:p w14:paraId="2CD0C05D"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24" w:type="dxa"/>
          </w:tcPr>
          <w:p w14:paraId="5F7082C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הכוללים כללי מיסוי בתחום הקריפטו הוציאה רשות </w:t>
            </w:r>
            <w:r w:rsidRPr="00236CC3">
              <w:rPr>
                <w:rFonts w:ascii="Tahoma" w:hAnsi="Tahoma" w:cs="Tahoma" w:hint="cs"/>
                <w:sz w:val="19"/>
                <w:szCs w:val="19"/>
                <w:rtl/>
              </w:rPr>
              <w:t>ה</w:t>
            </w:r>
            <w:r w:rsidRPr="00236CC3">
              <w:rPr>
                <w:rFonts w:ascii="Tahoma" w:hAnsi="Tahoma" w:cs="Tahoma"/>
                <w:sz w:val="19"/>
                <w:szCs w:val="19"/>
                <w:rtl/>
              </w:rPr>
              <w:t>מיסים בשנים</w:t>
            </w:r>
            <w:r w:rsidRPr="00236CC3">
              <w:rPr>
                <w:rFonts w:ascii="Tahoma" w:hAnsi="Tahoma" w:cs="Tahoma" w:hint="cs"/>
                <w:sz w:val="19"/>
                <w:szCs w:val="19"/>
                <w:rtl/>
              </w:rPr>
              <w:t xml:space="preserve"> </w:t>
            </w:r>
            <w:r w:rsidRPr="00236CC3">
              <w:rPr>
                <w:rFonts w:ascii="Tahoma" w:hAnsi="Tahoma" w:cs="Tahoma"/>
                <w:sz w:val="19"/>
                <w:szCs w:val="19"/>
                <w:rtl/>
              </w:rPr>
              <w:t>2017 - 2023. עם זאת, הכללים לא הוסדרו בחקיקה</w:t>
            </w:r>
          </w:p>
        </w:tc>
      </w:tr>
      <w:tr w:rsidR="004F19B3" w14:paraId="61A4696C" w14:textId="77777777" w:rsidTr="00236CC3">
        <w:trPr>
          <w:trHeight w:val="363"/>
        </w:trPr>
        <w:tc>
          <w:tcPr>
            <w:tcW w:w="9642" w:type="dxa"/>
            <w:gridSpan w:val="7"/>
          </w:tcPr>
          <w:p w14:paraId="76241772" w14:textId="77777777" w:rsidR="00236CC3" w:rsidRPr="00236CC3" w:rsidRDefault="00236CC3" w:rsidP="00236CC3">
            <w:pPr>
              <w:tabs>
                <w:tab w:val="center" w:pos="4153"/>
                <w:tab w:val="right" w:pos="8306"/>
              </w:tabs>
              <w:jc w:val="center"/>
              <w:rPr>
                <w:rFonts w:ascii="Tahoma" w:hAnsi="Tahoma" w:cs="Tahoma"/>
                <w:sz w:val="6"/>
                <w:szCs w:val="6"/>
                <w:rtl/>
              </w:rPr>
            </w:pPr>
          </w:p>
        </w:tc>
      </w:tr>
      <w:tr w:rsidR="004F19B3" w14:paraId="4C847B28" w14:textId="77777777" w:rsidTr="00236CC3">
        <w:trPr>
          <w:trHeight w:val="227"/>
        </w:trPr>
        <w:tc>
          <w:tcPr>
            <w:tcW w:w="2128" w:type="dxa"/>
            <w:tcBorders>
              <w:bottom w:val="single" w:sz="12" w:space="0" w:color="auto"/>
            </w:tcBorders>
            <w:vAlign w:val="center"/>
          </w:tcPr>
          <w:p w14:paraId="7B6D3B8F" w14:textId="77777777" w:rsidR="00236CC3" w:rsidRPr="00236CC3" w:rsidRDefault="00000000" w:rsidP="00236CC3">
            <w:pPr>
              <w:tabs>
                <w:tab w:val="center" w:pos="4153"/>
                <w:tab w:val="right" w:pos="8306"/>
              </w:tabs>
              <w:spacing w:line="240" w:lineRule="auto"/>
              <w:jc w:val="left"/>
              <w:rPr>
                <w:rFonts w:ascii="Tahoma" w:hAnsi="Tahoma" w:cs="Tahoma"/>
                <w:spacing w:val="-10"/>
                <w:sz w:val="26"/>
                <w:szCs w:val="26"/>
                <w:rtl/>
              </w:rPr>
            </w:pPr>
            <w:r w:rsidRPr="00236CC3">
              <w:rPr>
                <w:rFonts w:ascii="Tahoma" w:hAnsi="Tahoma" w:cs="Tahoma"/>
                <w:spacing w:val="-10"/>
                <w:sz w:val="26"/>
                <w:szCs w:val="26"/>
                <w:rtl/>
              </w:rPr>
              <w:t>כ-</w:t>
            </w:r>
            <w:r w:rsidRPr="00236CC3">
              <w:rPr>
                <w:rFonts w:ascii="Tahoma" w:hAnsi="Tahoma" w:cs="Tahoma"/>
                <w:spacing w:val="-10"/>
                <w:sz w:val="36"/>
                <w:szCs w:val="36"/>
                <w:rtl/>
              </w:rPr>
              <w:t>31.5%</w:t>
            </w:r>
          </w:p>
          <w:p w14:paraId="2892C94C"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26"/>
                <w:szCs w:val="26"/>
                <w:rtl/>
              </w:rPr>
              <w:t xml:space="preserve">ירידה </w:t>
            </w:r>
          </w:p>
        </w:tc>
        <w:tc>
          <w:tcPr>
            <w:tcW w:w="283" w:type="dxa"/>
          </w:tcPr>
          <w:p w14:paraId="22413543"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1847" w:type="dxa"/>
            <w:tcBorders>
              <w:bottom w:val="single" w:sz="12" w:space="0" w:color="auto"/>
            </w:tcBorders>
            <w:vAlign w:val="center"/>
          </w:tcPr>
          <w:p w14:paraId="3AA51E36" w14:textId="77777777" w:rsidR="00236CC3" w:rsidRPr="00236CC3" w:rsidRDefault="00000000" w:rsidP="00236CC3">
            <w:pPr>
              <w:tabs>
                <w:tab w:val="center" w:pos="4153"/>
                <w:tab w:val="right" w:pos="8306"/>
              </w:tabs>
              <w:spacing w:line="240" w:lineRule="auto"/>
              <w:jc w:val="left"/>
              <w:rPr>
                <w:rFonts w:ascii="Tahoma" w:hAnsi="Tahoma" w:cs="Tahoma"/>
                <w:spacing w:val="-10"/>
                <w:sz w:val="26"/>
                <w:szCs w:val="26"/>
                <w:rtl/>
              </w:rPr>
            </w:pPr>
            <w:r w:rsidRPr="00236CC3">
              <w:rPr>
                <w:rFonts w:ascii="Tahoma" w:hAnsi="Tahoma" w:cs="Tahoma"/>
                <w:spacing w:val="-10"/>
                <w:sz w:val="36"/>
                <w:szCs w:val="36"/>
                <w:rtl/>
              </w:rPr>
              <w:t xml:space="preserve">0 </w:t>
            </w:r>
            <w:r w:rsidRPr="00236CC3">
              <w:rPr>
                <w:rFonts w:ascii="Tahoma" w:hAnsi="Tahoma" w:cs="Tahoma"/>
                <w:spacing w:val="-10"/>
                <w:sz w:val="26"/>
                <w:szCs w:val="26"/>
                <w:rtl/>
              </w:rPr>
              <w:t xml:space="preserve">ביקורות </w:t>
            </w:r>
          </w:p>
          <w:p w14:paraId="6B84D368"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26"/>
                <w:szCs w:val="26"/>
                <w:rtl/>
              </w:rPr>
              <w:t>ניהול ספרים</w:t>
            </w:r>
          </w:p>
        </w:tc>
        <w:tc>
          <w:tcPr>
            <w:tcW w:w="284" w:type="dxa"/>
          </w:tcPr>
          <w:p w14:paraId="61AF3C28"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2693" w:type="dxa"/>
            <w:tcBorders>
              <w:bottom w:val="single" w:sz="12" w:space="0" w:color="auto"/>
            </w:tcBorders>
          </w:tcPr>
          <w:p w14:paraId="1AA3C2A5" w14:textId="77777777" w:rsidR="00236CC3" w:rsidRPr="00236CC3" w:rsidRDefault="00000000" w:rsidP="00236CC3">
            <w:pPr>
              <w:tabs>
                <w:tab w:val="center" w:pos="4153"/>
                <w:tab w:val="right" w:pos="8306"/>
              </w:tabs>
              <w:spacing w:line="240" w:lineRule="auto"/>
              <w:jc w:val="left"/>
              <w:rPr>
                <w:rFonts w:ascii="Tahoma" w:hAnsi="Tahoma" w:cs="Tahoma"/>
                <w:spacing w:val="-10"/>
                <w:sz w:val="26"/>
                <w:szCs w:val="26"/>
                <w:rtl/>
              </w:rPr>
            </w:pPr>
            <w:r w:rsidRPr="00236CC3">
              <w:rPr>
                <w:rFonts w:ascii="Tahoma" w:hAnsi="Tahoma" w:cs="Tahoma"/>
                <w:spacing w:val="-10"/>
                <w:sz w:val="36"/>
                <w:szCs w:val="36"/>
                <w:rtl/>
              </w:rPr>
              <w:t xml:space="preserve">0 </w:t>
            </w:r>
            <w:r w:rsidRPr="00236CC3">
              <w:rPr>
                <w:rFonts w:ascii="Tahoma" w:hAnsi="Tahoma" w:cs="Tahoma"/>
                <w:spacing w:val="-10"/>
                <w:sz w:val="26"/>
                <w:szCs w:val="26"/>
                <w:rtl/>
              </w:rPr>
              <w:t xml:space="preserve">פניות </w:t>
            </w:r>
          </w:p>
          <w:p w14:paraId="176EEDF0"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26"/>
                <w:szCs w:val="26"/>
                <w:rtl/>
              </w:rPr>
              <w:t>לרשות המיסים</w:t>
            </w:r>
          </w:p>
        </w:tc>
        <w:tc>
          <w:tcPr>
            <w:tcW w:w="283" w:type="dxa"/>
          </w:tcPr>
          <w:p w14:paraId="15AADA4B" w14:textId="77777777" w:rsidR="00236CC3" w:rsidRPr="00236CC3" w:rsidRDefault="00236CC3" w:rsidP="00236CC3">
            <w:pPr>
              <w:tabs>
                <w:tab w:val="center" w:pos="4153"/>
                <w:tab w:val="right" w:pos="8306"/>
              </w:tabs>
              <w:spacing w:line="240" w:lineRule="auto"/>
              <w:rPr>
                <w:rFonts w:ascii="Tahoma" w:hAnsi="Tahoma" w:cs="Tahoma"/>
                <w:spacing w:val="-10"/>
              </w:rPr>
            </w:pPr>
          </w:p>
        </w:tc>
        <w:tc>
          <w:tcPr>
            <w:tcW w:w="2124" w:type="dxa"/>
            <w:tcBorders>
              <w:bottom w:val="single" w:sz="12" w:space="0" w:color="auto"/>
            </w:tcBorders>
            <w:vAlign w:val="center"/>
          </w:tcPr>
          <w:p w14:paraId="56853B5F" w14:textId="77777777" w:rsidR="00236CC3" w:rsidRPr="00236CC3" w:rsidRDefault="00000000" w:rsidP="00236CC3">
            <w:pPr>
              <w:tabs>
                <w:tab w:val="center" w:pos="4153"/>
                <w:tab w:val="right" w:pos="8306"/>
              </w:tabs>
              <w:spacing w:line="240" w:lineRule="auto"/>
              <w:jc w:val="left"/>
              <w:rPr>
                <w:rFonts w:ascii="Tahoma" w:hAnsi="Tahoma" w:cs="Tahoma"/>
                <w:spacing w:val="-10"/>
                <w:sz w:val="26"/>
                <w:szCs w:val="26"/>
                <w:rtl/>
              </w:rPr>
            </w:pPr>
            <w:r w:rsidRPr="00236CC3">
              <w:rPr>
                <w:rFonts w:ascii="Tahoma" w:hAnsi="Tahoma" w:cs="Tahoma"/>
                <w:spacing w:val="-10"/>
                <w:sz w:val="36"/>
                <w:szCs w:val="36"/>
                <w:rtl/>
              </w:rPr>
              <w:t>130</w:t>
            </w:r>
            <w:r w:rsidRPr="00236CC3">
              <w:rPr>
                <w:rFonts w:ascii="Tahoma" w:hAnsi="Tahoma" w:cs="Tahoma"/>
                <w:spacing w:val="-10"/>
                <w:sz w:val="26"/>
                <w:szCs w:val="26"/>
                <w:rtl/>
              </w:rPr>
              <w:t xml:space="preserve"> </w:t>
            </w:r>
          </w:p>
          <w:p w14:paraId="50439A54"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26"/>
                <w:szCs w:val="26"/>
                <w:rtl/>
              </w:rPr>
              <w:t>דולר</w:t>
            </w:r>
          </w:p>
        </w:tc>
      </w:tr>
      <w:tr w:rsidR="004F19B3" w14:paraId="6452DF21" w14:textId="77777777" w:rsidTr="00236CC3">
        <w:trPr>
          <w:trHeight w:val="70"/>
        </w:trPr>
        <w:tc>
          <w:tcPr>
            <w:tcW w:w="9642" w:type="dxa"/>
            <w:gridSpan w:val="7"/>
            <w:vAlign w:val="center"/>
          </w:tcPr>
          <w:p w14:paraId="117583ED"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65E5A1B3" w14:textId="77777777" w:rsidTr="00236CC3">
        <w:trPr>
          <w:trHeight w:val="1153"/>
        </w:trPr>
        <w:tc>
          <w:tcPr>
            <w:tcW w:w="2128" w:type="dxa"/>
          </w:tcPr>
          <w:p w14:paraId="5A46F27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בכמות המפקחים והרכזים במס הכנסה בשנים 2019 - 2023 </w:t>
            </w:r>
          </w:p>
          <w:p w14:paraId="6ED1AF20"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מ-833 ל-570 בלבד</w:t>
            </w:r>
          </w:p>
        </w:tc>
        <w:tc>
          <w:tcPr>
            <w:tcW w:w="283" w:type="dxa"/>
          </w:tcPr>
          <w:p w14:paraId="7D385947"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847" w:type="dxa"/>
          </w:tcPr>
          <w:p w14:paraId="75C60654"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בוצעו עד היום על ידי רשות המיסים לבחינת רישום עסקה שתמורתה התקבלה בקריפטו</w:t>
            </w:r>
          </w:p>
          <w:p w14:paraId="48EDC95D" w14:textId="77777777" w:rsidR="00236CC3" w:rsidRPr="00236CC3" w:rsidRDefault="00236CC3" w:rsidP="00236CC3">
            <w:pPr>
              <w:tabs>
                <w:tab w:val="center" w:pos="4153"/>
                <w:tab w:val="right" w:pos="8306"/>
              </w:tabs>
              <w:spacing w:line="240" w:lineRule="auto"/>
              <w:rPr>
                <w:rFonts w:ascii="Tahoma" w:hAnsi="Tahoma" w:cs="Tahoma"/>
                <w:sz w:val="19"/>
                <w:szCs w:val="19"/>
                <w:rtl/>
              </w:rPr>
            </w:pPr>
          </w:p>
        </w:tc>
        <w:tc>
          <w:tcPr>
            <w:tcW w:w="284" w:type="dxa"/>
          </w:tcPr>
          <w:p w14:paraId="6552D092"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693" w:type="dxa"/>
          </w:tcPr>
          <w:p w14:paraId="35185E6F"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בבקשה לתשלום מס על פעילות בקריפטו במסגרת "נוהל לתשלום מס דרך בנק ישראל" ממועד </w:t>
            </w:r>
            <w:r w:rsidRPr="00236CC3">
              <w:rPr>
                <w:rFonts w:ascii="Tahoma" w:hAnsi="Tahoma" w:cs="Tahoma" w:hint="cs"/>
                <w:sz w:val="19"/>
                <w:szCs w:val="19"/>
                <w:rtl/>
              </w:rPr>
              <w:t>פ</w:t>
            </w:r>
            <w:r w:rsidRPr="00236CC3">
              <w:rPr>
                <w:rFonts w:ascii="Tahoma" w:hAnsi="Tahoma" w:cs="Tahoma"/>
                <w:sz w:val="19"/>
                <w:szCs w:val="19"/>
                <w:rtl/>
              </w:rPr>
              <w:t xml:space="preserve">רסומו ב-31.12.23 ועד למועד סיום הביקורת </w:t>
            </w:r>
          </w:p>
        </w:tc>
        <w:tc>
          <w:tcPr>
            <w:tcW w:w="283" w:type="dxa"/>
          </w:tcPr>
          <w:p w14:paraId="02EBA9A9"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24" w:type="dxa"/>
          </w:tcPr>
          <w:p w14:paraId="25D86A00"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הכנסה ממוצעת לשנה בארנק דיגיטלי בישראל</w:t>
            </w:r>
          </w:p>
          <w:p w14:paraId="7A673EEA" w14:textId="77777777" w:rsidR="00236CC3" w:rsidRPr="00236CC3" w:rsidRDefault="00236CC3" w:rsidP="00236CC3">
            <w:pPr>
              <w:tabs>
                <w:tab w:val="center" w:pos="4153"/>
                <w:tab w:val="right" w:pos="8306"/>
              </w:tabs>
              <w:spacing w:line="240" w:lineRule="auto"/>
              <w:ind w:firstLine="720"/>
              <w:rPr>
                <w:rFonts w:ascii="Tahoma" w:hAnsi="Tahoma" w:cs="Tahoma"/>
                <w:sz w:val="19"/>
                <w:szCs w:val="19"/>
                <w:rtl/>
              </w:rPr>
            </w:pPr>
          </w:p>
        </w:tc>
      </w:tr>
    </w:tbl>
    <w:p w14:paraId="35793242" w14:textId="77777777" w:rsidR="00236CC3" w:rsidRPr="00236CC3" w:rsidRDefault="00236CC3" w:rsidP="00236CC3">
      <w:pPr>
        <w:spacing w:line="288" w:lineRule="auto"/>
        <w:ind w:left="-710"/>
        <w:rPr>
          <w:rFonts w:ascii="Tahoma" w:eastAsiaTheme="minorHAnsi" w:hAnsi="Tahoma" w:cs="Tahoma"/>
          <w:rtl/>
        </w:rPr>
      </w:pPr>
    </w:p>
    <w:p w14:paraId="0589ECD7" w14:textId="77777777" w:rsidR="00236CC3" w:rsidRPr="00236CC3" w:rsidRDefault="00236CC3" w:rsidP="00236CC3">
      <w:pPr>
        <w:bidi w:val="0"/>
        <w:spacing w:after="200" w:line="288" w:lineRule="auto"/>
        <w:rPr>
          <w:rFonts w:ascii="Tahoma" w:eastAsiaTheme="minorHAnsi" w:hAnsi="Tahoma" w:cs="Tahoma"/>
        </w:rPr>
      </w:pPr>
    </w:p>
    <w:p w14:paraId="174FA5F0" w14:textId="77777777" w:rsidR="00236CC3" w:rsidRPr="00236CC3" w:rsidRDefault="00000000" w:rsidP="00236CC3">
      <w:pPr>
        <w:spacing w:line="288" w:lineRule="auto"/>
        <w:ind w:left="-710"/>
        <w:rPr>
          <w:rFonts w:ascii="Tahoma" w:eastAsiaTheme="minorHAnsi" w:hAnsi="Tahoma" w:cs="Tahoma"/>
          <w:noProof/>
          <w:rtl/>
        </w:rPr>
      </w:pPr>
      <w:r w:rsidRPr="00236CC3">
        <w:rPr>
          <w:rFonts w:ascii="Tahoma" w:eastAsiaTheme="minorHAnsi" w:hAnsi="Tahoma" w:cs="Tahoma"/>
          <w:noProof/>
        </w:rPr>
        <w:lastRenderedPageBreak/>
        <w:drawing>
          <wp:inline distT="0" distB="0" distL="0" distR="0" wp14:anchorId="5801AAEE" wp14:editId="5307616C">
            <wp:extent cx="6104255" cy="438829"/>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659D93A5" w14:textId="77777777" w:rsidR="00236CC3" w:rsidRPr="00236CC3" w:rsidRDefault="00000000" w:rsidP="00236CC3">
      <w:pPr>
        <w:spacing w:before="240" w:after="160" w:line="288" w:lineRule="auto"/>
        <w:ind w:left="-709" w:right="-567"/>
        <w:rPr>
          <w:rFonts w:ascii="Tahoma" w:eastAsiaTheme="minorHAnsi" w:hAnsi="Tahoma" w:cs="Tahoma"/>
          <w:rtl/>
        </w:rPr>
      </w:pPr>
      <w:r w:rsidRPr="00236CC3">
        <w:rPr>
          <w:rFonts w:ascii="Tahoma" w:eastAsiaTheme="minorHAnsi" w:hAnsi="Tahoma" w:cs="Tahoma"/>
          <w:noProof/>
          <w:rtl/>
        </w:rPr>
        <w:drawing>
          <wp:inline distT="0" distB="0" distL="0" distR="0" wp14:anchorId="5D315AD4" wp14:editId="497654C0">
            <wp:extent cx="2616789" cy="200650"/>
            <wp:effectExtent l="0" t="0" r="0" b="9525"/>
            <wp:docPr id="1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69360844" w14:textId="77777777" w:rsidR="00236CC3" w:rsidRPr="00236CC3" w:rsidRDefault="00000000" w:rsidP="00236CC3">
      <w:pPr>
        <w:numPr>
          <w:ilvl w:val="0"/>
          <w:numId w:val="21"/>
        </w:numPr>
        <w:spacing w:after="240" w:line="288" w:lineRule="auto"/>
        <w:ind w:left="-142"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גביית המס מקריפטו </w:t>
      </w:r>
      <w:r w:rsidRPr="00236CC3">
        <w:rPr>
          <w:rFonts w:ascii="Tahoma" w:eastAsiaTheme="minorHAnsi" w:hAnsi="Tahoma" w:cs="Tahoma"/>
          <w:sz w:val="19"/>
          <w:szCs w:val="19"/>
          <w:rtl/>
        </w:rPr>
        <w:t xml:space="preserve">- פוטנציאל גביית המיסים המוערך בישראל מהכנסות </w:t>
      </w:r>
      <w:r w:rsidRPr="00236CC3">
        <w:rPr>
          <w:rFonts w:ascii="Tahoma" w:eastAsiaTheme="minorHAnsi" w:hAnsi="Tahoma" w:cs="Tahoma" w:hint="cs"/>
          <w:sz w:val="19"/>
          <w:szCs w:val="19"/>
          <w:rtl/>
        </w:rPr>
        <w:t>מפעילות ב</w:t>
      </w:r>
      <w:r w:rsidRPr="00236CC3">
        <w:rPr>
          <w:rFonts w:ascii="Tahoma" w:eastAsiaTheme="minorHAnsi" w:hAnsi="Tahoma" w:cs="Tahoma"/>
          <w:sz w:val="19"/>
          <w:szCs w:val="19"/>
          <w:rtl/>
        </w:rPr>
        <w:t xml:space="preserve">קריפטו הוא גבוה </w:t>
      </w:r>
      <w:r w:rsidRPr="00236CC3">
        <w:rPr>
          <w:rFonts w:ascii="Tahoma" w:eastAsiaTheme="minorHAnsi" w:hAnsi="Tahoma" w:cs="Tahoma"/>
          <w:b/>
          <w:bCs/>
          <w:sz w:val="19"/>
          <w:szCs w:val="19"/>
          <w:rtl/>
        </w:rPr>
        <w:t>ועשוי להגיע ל</w:t>
      </w:r>
      <w:r w:rsidRPr="00236CC3">
        <w:rPr>
          <w:rFonts w:ascii="Tahoma" w:eastAsiaTheme="minorHAnsi" w:hAnsi="Tahoma" w:cs="Tahoma" w:hint="cs"/>
          <w:b/>
          <w:bCs/>
          <w:sz w:val="19"/>
          <w:szCs w:val="19"/>
          <w:rtl/>
        </w:rPr>
        <w:t>כ</w:t>
      </w:r>
      <w:r w:rsidRPr="00236CC3">
        <w:rPr>
          <w:rFonts w:ascii="Tahoma" w:eastAsiaTheme="minorHAnsi" w:hAnsi="Tahoma" w:cs="Tahoma"/>
          <w:b/>
          <w:bCs/>
          <w:sz w:val="19"/>
          <w:szCs w:val="19"/>
          <w:rtl/>
        </w:rPr>
        <w:t>-2 - 3 מיליארד ש"ח</w:t>
      </w:r>
      <w:r w:rsidRPr="00236CC3">
        <w:rPr>
          <w:rFonts w:ascii="Tahoma" w:eastAsiaTheme="minorHAnsi" w:hAnsi="Tahoma" w:cs="Tahoma"/>
          <w:sz w:val="19"/>
          <w:szCs w:val="19"/>
          <w:rtl/>
        </w:rPr>
        <w:t xml:space="preserve">. בביקורת עלה כי </w:t>
      </w:r>
      <w:bookmarkStart w:id="29" w:name="_Hlk179297371"/>
      <w:r w:rsidRPr="00236CC3">
        <w:rPr>
          <w:rFonts w:ascii="Tahoma" w:eastAsiaTheme="minorHAnsi" w:hAnsi="Tahoma" w:cs="Tahoma"/>
          <w:sz w:val="19"/>
          <w:szCs w:val="19"/>
          <w:rtl/>
        </w:rPr>
        <w:t>רשות המיסים לא בחנה את פוטנציאל המס הקיים בשוק הקריפטו בכלים שבידיה, וכי היא מסתמכת על הערכה שאינה מעודכנת</w:t>
      </w:r>
      <w:bookmarkEnd w:id="29"/>
      <w:r w:rsidRPr="00236CC3">
        <w:rPr>
          <w:rFonts w:ascii="Tahoma" w:eastAsiaTheme="minorHAnsi" w:hAnsi="Tahoma" w:cs="Tahoma"/>
          <w:sz w:val="19"/>
          <w:szCs w:val="19"/>
          <w:rtl/>
        </w:rPr>
        <w:t>. יש בכך כדי להעיד על תשומת הלב המועטה לקידום הנושא. עקב היעדר הערכות או הערכות בחסר נוצרת תמונת מצב שגויה שמקשה להתמודד עם חוסר הדיווח על פעילות בקריפטו, לרבות בנוגע לאיתור הבעיות, להכנת תוכנית עבודה, לקביעת יעדים להגברת הדיווח ולמקסום גביית המס בגין הכנסות מקריפטו.</w:t>
      </w:r>
    </w:p>
    <w:p w14:paraId="58E8050C" w14:textId="77777777" w:rsidR="00236CC3" w:rsidRPr="00236CC3" w:rsidRDefault="00236CC3" w:rsidP="00236CC3">
      <w:pPr>
        <w:spacing w:after="240" w:line="288" w:lineRule="auto"/>
        <w:ind w:left="-142" w:right="-567"/>
        <w:contextualSpacing/>
        <w:rPr>
          <w:rFonts w:ascii="Tahoma" w:eastAsiaTheme="minorHAnsi" w:hAnsi="Tahoma" w:cs="Tahoma"/>
          <w:sz w:val="12"/>
          <w:szCs w:val="12"/>
          <w:rtl/>
        </w:rPr>
      </w:pPr>
    </w:p>
    <w:p w14:paraId="58169039"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שיעור הדיווח בפועל על פעילות בקריפטו, לעומת פוטנציאל הדיווח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עלה שבשנים 2018 - 2022 המספר השנתי הממוצע של המדווחים לרשות המיסים על פעילות בקריפטו היה 500 בלבד. שיעור המדווחים לרשות המיסים על פעילות בקריפטו אפסי לעומת פוטנציאל הדיווח, שעל פי ההערכות הוא לכל הפחות 200,000 משתמשים.</w:t>
      </w:r>
    </w:p>
    <w:p w14:paraId="74A7C600" w14:textId="77777777" w:rsidR="00236CC3" w:rsidRPr="00236CC3" w:rsidRDefault="00236CC3" w:rsidP="00236CC3">
      <w:pPr>
        <w:spacing w:line="288" w:lineRule="auto"/>
        <w:ind w:left="720"/>
        <w:contextualSpacing/>
        <w:rPr>
          <w:rFonts w:ascii="Tahoma" w:eastAsiaTheme="minorHAnsi" w:hAnsi="Tahoma" w:cs="Tahoma"/>
          <w:sz w:val="14"/>
          <w:szCs w:val="14"/>
          <w:rtl/>
        </w:rPr>
      </w:pPr>
    </w:p>
    <w:p w14:paraId="6363F265" w14:textId="77777777" w:rsidR="00236CC3" w:rsidRPr="00236CC3" w:rsidRDefault="00000000" w:rsidP="00236CC3">
      <w:pPr>
        <w:numPr>
          <w:ilvl w:val="0"/>
          <w:numId w:val="21"/>
        </w:numPr>
        <w:spacing w:after="240" w:line="288" w:lineRule="auto"/>
        <w:ind w:left="-142"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אסדרת הקריפטו בישראל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עלה כי רשות המיסים החלה לפרסם כללי מיסוי בתחום הקריפטו בסוף שנת 2017, ובכך הייתה ישראל אחת המדינות הראשונות שעשתה כן. ואולם משנת 2018 הוציאה רשות המיסים שלושה פרסומים בלבד בתחום מיסוי הקריפטו ולא פעלה לבצע התאמות נדרשות. זאת למרות התפתחות של ממש בתחום הקריפטו, למשל במגוון המכשירים הפיננסיים המתבססים על טכנולוגיית הבלוקצ'יין, ולמרות התפתחות ניכרת </w:t>
      </w:r>
      <w:bookmarkStart w:id="30" w:name="_Hlk173740268"/>
      <w:r w:rsidRPr="00236CC3">
        <w:rPr>
          <w:rFonts w:ascii="Tahoma" w:eastAsiaTheme="minorHAnsi" w:hAnsi="Tahoma" w:cs="Tahoma"/>
          <w:sz w:val="19"/>
          <w:szCs w:val="19"/>
          <w:rtl/>
        </w:rPr>
        <w:t xml:space="preserve">שחלה באסדרת תחום הקריפטו במדינות מפותחות כמדינות האיחוד האירופי, ארצות הברית ובריטניה. </w:t>
      </w:r>
      <w:bookmarkEnd w:id="30"/>
      <w:r w:rsidRPr="00236CC3">
        <w:rPr>
          <w:rFonts w:ascii="Tahoma" w:eastAsiaTheme="minorHAnsi" w:hAnsi="Tahoma" w:cs="Tahoma"/>
          <w:sz w:val="19"/>
          <w:szCs w:val="19"/>
          <w:rtl/>
        </w:rPr>
        <w:t>בכך הוסיפה רשות המיסים על חוסר הוודאות המיסויית. חוסר ודאות בנוגע לאסדרה פוגע ביכולת חברות ויחידים לפעול בישראל, ועלול להביא להסטת הפעילות למדינות אחרות. עוד עלה כי במועד סיום הביקורת רשות המיסים ומינהל הכנסות המדינה טרם השלימו את ניסוח התזכירים לתיקון פקודת מס הכנסה וחוק מע"</w:t>
      </w:r>
      <w:r w:rsidRPr="00236CC3">
        <w:rPr>
          <w:rFonts w:ascii="Tahoma" w:eastAsiaTheme="minorHAnsi" w:hAnsi="Tahoma" w:cs="Tahoma" w:hint="cs"/>
          <w:sz w:val="19"/>
          <w:szCs w:val="19"/>
          <w:rtl/>
        </w:rPr>
        <w:t>ם</w:t>
      </w:r>
      <w:r w:rsidRPr="00236CC3">
        <w:rPr>
          <w:rFonts w:ascii="Tahoma" w:eastAsiaTheme="minorHAnsi" w:hAnsi="Tahoma" w:cs="Tahoma"/>
          <w:sz w:val="19"/>
          <w:szCs w:val="19"/>
          <w:rtl/>
        </w:rPr>
        <w:t xml:space="preserve"> וניסוח חקיקת משנה, ולפיכך אלו לא פורסמו על ידי שר האוצר, אף שהזמן שהוקצב לכך בהחלטת הממשלה 204 מפברואר 2023 עבר באוגוסט 2023.</w:t>
      </w:r>
    </w:p>
    <w:p w14:paraId="0C570B66" w14:textId="77777777" w:rsidR="00236CC3" w:rsidRPr="00236CC3" w:rsidRDefault="00236CC3" w:rsidP="00236CC3">
      <w:pPr>
        <w:spacing w:line="288" w:lineRule="auto"/>
        <w:ind w:left="720"/>
        <w:contextualSpacing/>
        <w:rPr>
          <w:rFonts w:ascii="Tahoma" w:eastAsiaTheme="minorHAnsi" w:hAnsi="Tahoma" w:cs="Tahoma"/>
          <w:sz w:val="14"/>
          <w:szCs w:val="14"/>
          <w:rtl/>
        </w:rPr>
      </w:pPr>
    </w:p>
    <w:p w14:paraId="025D0174" w14:textId="77777777" w:rsidR="00236CC3" w:rsidRPr="00236CC3" w:rsidRDefault="00000000" w:rsidP="00236CC3">
      <w:pPr>
        <w:numPr>
          <w:ilvl w:val="0"/>
          <w:numId w:val="21"/>
        </w:numPr>
        <w:spacing w:after="240" w:line="288" w:lineRule="auto"/>
        <w:ind w:left="-142"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הוראות ניהול ספרים בעסקאות בקריפטו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עלה כי רשות </w:t>
      </w:r>
      <w:bookmarkStart w:id="31" w:name="_Hlk173417911"/>
      <w:r w:rsidRPr="00236CC3">
        <w:rPr>
          <w:rFonts w:ascii="Tahoma" w:eastAsiaTheme="minorHAnsi" w:hAnsi="Tahoma" w:cs="Tahoma"/>
          <w:sz w:val="19"/>
          <w:szCs w:val="19"/>
          <w:rtl/>
        </w:rPr>
        <w:t xml:space="preserve">המיסים </w:t>
      </w:r>
      <w:bookmarkEnd w:id="31"/>
      <w:r w:rsidRPr="00236CC3">
        <w:rPr>
          <w:rFonts w:ascii="Tahoma" w:eastAsiaTheme="minorHAnsi" w:hAnsi="Tahoma" w:cs="Tahoma"/>
          <w:sz w:val="19"/>
          <w:szCs w:val="19"/>
          <w:rtl/>
        </w:rPr>
        <w:t>לא ביצעה התאמות של הוראות ניהול ספרים לתחום הקריפטו, לרבות בנוגע לקביעת השווי בעסקאות קריפטו ולחובה בהוצאת קבלה בעסקה שתמורתה התקבלה בקריפטו ובנוגע לפסילת ספרים, אף שהוסמכה לעשות כן על פי סעיף 130 לפקודת מס הכנסה.</w:t>
      </w:r>
      <w:r w:rsidRPr="00236CC3">
        <w:rPr>
          <w:rFonts w:ascii="Tahoma" w:eastAsiaTheme="minorHAnsi" w:hAnsi="Tahoma" w:cs="Tahoma"/>
          <w:rtl/>
        </w:rPr>
        <w:t xml:space="preserve"> </w:t>
      </w:r>
      <w:r w:rsidRPr="00236CC3">
        <w:rPr>
          <w:rFonts w:ascii="Tahoma" w:eastAsiaTheme="minorHAnsi" w:hAnsi="Tahoma" w:cs="Tahoma"/>
          <w:sz w:val="19"/>
          <w:szCs w:val="19"/>
          <w:rtl/>
        </w:rPr>
        <w:t>עוד עלה כי עד למועד סיום הביקורת רשות המיסים לא ביצעה ביקורות ניהול ספרים בנוגע לעסקאות שתמורתן התקבלה בקריפטו. בכך נפגעת יכולתה לאתר ליקויים בניהול ספרי חשבונות ולהטיל סנקציות, כפי שנעשה לגבי תמורה המתקבלת באמצעי תשלום אחרים, דבר המהווה כר נוח להעלמת מס ופוגע בהרתעה.</w:t>
      </w:r>
    </w:p>
    <w:p w14:paraId="450D77DD" w14:textId="77777777" w:rsidR="00236CC3" w:rsidRPr="00236CC3" w:rsidRDefault="00236CC3" w:rsidP="00236CC3">
      <w:pPr>
        <w:spacing w:line="288" w:lineRule="auto"/>
        <w:ind w:left="720"/>
        <w:contextualSpacing/>
        <w:rPr>
          <w:rFonts w:ascii="Tahoma" w:eastAsiaTheme="minorHAnsi" w:hAnsi="Tahoma" w:cs="Tahoma"/>
          <w:sz w:val="14"/>
          <w:szCs w:val="14"/>
          <w:rtl/>
        </w:rPr>
      </w:pPr>
    </w:p>
    <w:p w14:paraId="30BC2005"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התדירות והאופן של הדיווח על פעילות בקריפטו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עלה כי רשות המיסים לא התאימה, את תדירות חובת הדיווח ואת טופס הדיווח על רווח הון (טופס 1399) לאופי השימוש במטבעות דיגיטליים, המתאפיין בריבוי </w:t>
      </w:r>
      <w:r w:rsidRPr="00236CC3">
        <w:rPr>
          <w:rFonts w:ascii="Tahoma" w:eastAsiaTheme="minorHAnsi" w:hAnsi="Tahoma" w:cs="Tahoma"/>
          <w:sz w:val="19"/>
          <w:szCs w:val="19"/>
          <w:rtl/>
        </w:rPr>
        <w:lastRenderedPageBreak/>
        <w:t>עסקאות, בחישובים מורכבים ובקושי בתשלום המס. המצב הנוכחי מטיל על הנישומים עלויות ציות ונטל בירוקרטי, ובשל כך אף משפיע על היקפי הדיווח לרשות המיסים על עסקאות ורווחים שנוצרו.</w:t>
      </w:r>
    </w:p>
    <w:p w14:paraId="3C253C47" w14:textId="77777777" w:rsidR="00236CC3" w:rsidRPr="00236CC3" w:rsidRDefault="00236CC3" w:rsidP="00236CC3">
      <w:pPr>
        <w:spacing w:line="288" w:lineRule="auto"/>
        <w:ind w:left="720"/>
        <w:contextualSpacing/>
        <w:rPr>
          <w:rFonts w:ascii="Tahoma" w:eastAsiaTheme="minorHAnsi" w:hAnsi="Tahoma" w:cs="Tahoma"/>
          <w:sz w:val="14"/>
          <w:szCs w:val="14"/>
          <w:rtl/>
        </w:rPr>
      </w:pPr>
    </w:p>
    <w:p w14:paraId="7B864F2C"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דיווח בדיעבד על פעילות בקריפטו </w:t>
      </w:r>
      <w:r w:rsidRPr="00236CC3">
        <w:rPr>
          <w:rFonts w:ascii="Tahoma" w:eastAsiaTheme="minorHAnsi" w:hAnsi="Tahoma" w:cs="Tahoma"/>
          <w:sz w:val="19"/>
          <w:szCs w:val="19"/>
          <w:rtl/>
        </w:rPr>
        <w:t xml:space="preserve">- עלה כי רשות המיסים לא קבעה עקרונות טיפול לגבי דיווחים על הכנסות </w:t>
      </w:r>
      <w:r w:rsidRPr="00236CC3">
        <w:rPr>
          <w:rFonts w:ascii="Tahoma" w:eastAsiaTheme="minorHAnsi" w:hAnsi="Tahoma" w:cs="Tahoma" w:hint="cs"/>
          <w:sz w:val="19"/>
          <w:szCs w:val="19"/>
          <w:rtl/>
        </w:rPr>
        <w:t>מפעילות ב</w:t>
      </w:r>
      <w:r w:rsidRPr="00236CC3">
        <w:rPr>
          <w:rFonts w:ascii="Tahoma" w:eastAsiaTheme="minorHAnsi" w:hAnsi="Tahoma" w:cs="Tahoma"/>
          <w:sz w:val="19"/>
          <w:szCs w:val="19"/>
          <w:rtl/>
        </w:rPr>
        <w:t xml:space="preserve">קריפטו בדיעבד. חוסר האחידות בטיפול במקרים אלו בין פקידי השומה עשוי להביא לפגיעה בכללי המינהל התקין ובמילוי חובתה של רשות המיסים ליצור אחידות ומדיניות שוויונית כלפי כלל הנישומים. </w:t>
      </w:r>
    </w:p>
    <w:p w14:paraId="6A9853F3"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הדרכות לעורכי השומות בתחום הקריפטו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עלה שההדרכות המועטות שהועברו למפקחי מס הכנסה עד תום שנת 2023 לא סיפקו למפקחים כלים פרקטיים לבניית השומה ויכולת מקצועית ראויה לטיפול בשומות מול מייצגים המתמחים בתחום. זאת ועוד, גם כלים טכנולוגיים לביצוע החישובים אינם בידי רשות המיסים, ולפיכך גם אינם זמינים למפקחים.</w:t>
      </w:r>
      <w:r w:rsidRPr="00236CC3">
        <w:rPr>
          <w:rFonts w:ascii="Tahoma" w:eastAsiaTheme="minorHAnsi" w:hAnsi="Tahoma" w:cs="Tahoma"/>
          <w:rtl/>
        </w:rPr>
        <w:t xml:space="preserve"> </w:t>
      </w:r>
      <w:r w:rsidRPr="00236CC3">
        <w:rPr>
          <w:rFonts w:ascii="Tahoma" w:eastAsiaTheme="minorHAnsi" w:hAnsi="Tahoma" w:cs="Tahoma"/>
          <w:sz w:val="19"/>
          <w:szCs w:val="19"/>
          <w:rtl/>
        </w:rPr>
        <w:t>כן עלה כי עד מועד סיום הביקורת מבקרי מע"</w:t>
      </w:r>
      <w:r w:rsidRPr="00236CC3">
        <w:rPr>
          <w:rFonts w:ascii="Tahoma" w:eastAsiaTheme="minorHAnsi" w:hAnsi="Tahoma" w:cs="Tahoma" w:hint="cs"/>
          <w:sz w:val="19"/>
          <w:szCs w:val="19"/>
          <w:rtl/>
        </w:rPr>
        <w:t>ם</w:t>
      </w:r>
      <w:r w:rsidRPr="00236CC3">
        <w:rPr>
          <w:rFonts w:ascii="Tahoma" w:eastAsiaTheme="minorHAnsi" w:hAnsi="Tahoma" w:cs="Tahoma"/>
          <w:sz w:val="19"/>
          <w:szCs w:val="19"/>
          <w:rtl/>
        </w:rPr>
        <w:t xml:space="preserve"> לא עברו כלל הדרכות בתחום הקריפטו.</w:t>
      </w:r>
    </w:p>
    <w:p w14:paraId="70D992FA" w14:textId="77777777" w:rsidR="00236CC3" w:rsidRPr="00236CC3" w:rsidRDefault="00236CC3" w:rsidP="00236CC3">
      <w:pPr>
        <w:spacing w:after="240" w:line="288" w:lineRule="auto"/>
        <w:ind w:left="-142" w:right="-567"/>
        <w:contextualSpacing/>
        <w:rPr>
          <w:rFonts w:ascii="Tahoma" w:eastAsiaTheme="minorHAnsi" w:hAnsi="Tahoma" w:cs="Tahoma"/>
          <w:sz w:val="14"/>
          <w:szCs w:val="14"/>
        </w:rPr>
      </w:pPr>
    </w:p>
    <w:p w14:paraId="65E86AC4"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כלים טכנולוגיים לחישוב המס מפעילות בקריפטו </w:t>
      </w:r>
      <w:r w:rsidRPr="00236CC3">
        <w:rPr>
          <w:rFonts w:ascii="Tahoma" w:eastAsiaTheme="minorHAnsi" w:hAnsi="Tahoma" w:cs="Tahoma"/>
          <w:sz w:val="19"/>
          <w:szCs w:val="19"/>
          <w:rtl/>
        </w:rPr>
        <w:t>- עלה כי הליך רכש טכנולוגי ברשות המיסים שיאפשר את חישוב רווח ההון ואת חישוב המס מהכנסה ממטבעות דיגיטליים, באמצעות תוכנות ייעודיות המצויות בשוק זה שנים, ובפרט בידי המייצגים, נמשך יותר משלוש שנים ולא הושלם עד מועד סיום הביקורת.</w:t>
      </w:r>
      <w:r w:rsidRPr="00236CC3">
        <w:rPr>
          <w:rFonts w:ascii="Tahoma" w:eastAsiaTheme="minorHAnsi" w:hAnsi="Tahoma" w:cs="Tahoma"/>
          <w:rtl/>
        </w:rPr>
        <w:t xml:space="preserve"> </w:t>
      </w:r>
      <w:r w:rsidRPr="00236CC3">
        <w:rPr>
          <w:rFonts w:ascii="Tahoma" w:eastAsiaTheme="minorHAnsi" w:hAnsi="Tahoma" w:cs="Tahoma"/>
          <w:sz w:val="19"/>
          <w:szCs w:val="19"/>
          <w:rtl/>
        </w:rPr>
        <w:t>חוסר הצטיידות בכלים טכנולוגיים מתאימים במשך שנים מונע מרשות המיסים לעמוד ברמה המקצועית הקיימת בשוק ופוגע בהרתעה ובגביית המס.</w:t>
      </w:r>
    </w:p>
    <w:p w14:paraId="2054DB6A" w14:textId="77777777" w:rsidR="00236CC3" w:rsidRPr="00236CC3" w:rsidRDefault="00236CC3" w:rsidP="00236CC3">
      <w:pPr>
        <w:spacing w:after="240" w:line="288" w:lineRule="auto"/>
        <w:ind w:left="-142" w:right="-567"/>
        <w:contextualSpacing/>
        <w:rPr>
          <w:rFonts w:ascii="Tahoma" w:eastAsiaTheme="minorHAnsi" w:hAnsi="Tahoma" w:cs="Tahoma"/>
          <w:sz w:val="14"/>
          <w:szCs w:val="14"/>
          <w:rtl/>
        </w:rPr>
      </w:pPr>
    </w:p>
    <w:p w14:paraId="72722ECC"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משאבי כוח האדם ברשות המיסים לטיפול במיסוי בתחום הקריפטו </w:t>
      </w:r>
      <w:r w:rsidRPr="00236CC3">
        <w:rPr>
          <w:rFonts w:ascii="Tahoma" w:eastAsiaTheme="minorHAnsi" w:hAnsi="Tahoma" w:cs="Tahoma"/>
          <w:sz w:val="19"/>
          <w:szCs w:val="19"/>
          <w:rtl/>
        </w:rPr>
        <w:t>- עלה כי בשנים 2019 - 2023 פחת ב-263 מספר המפקחים והרכזים במס הכנסה, וכן פחת ב-55 מספר מבקרי חשבונות ורכזי מע"</w:t>
      </w:r>
      <w:r w:rsidRPr="00236CC3">
        <w:rPr>
          <w:rFonts w:ascii="Tahoma" w:eastAsiaTheme="minorHAnsi" w:hAnsi="Tahoma" w:cs="Tahoma" w:hint="cs"/>
          <w:sz w:val="19"/>
          <w:szCs w:val="19"/>
          <w:rtl/>
        </w:rPr>
        <w:t>ם</w:t>
      </w:r>
      <w:r w:rsidRPr="00236CC3">
        <w:rPr>
          <w:rFonts w:ascii="Tahoma" w:eastAsiaTheme="minorHAnsi" w:hAnsi="Tahoma" w:cs="Tahoma"/>
          <w:sz w:val="19"/>
          <w:szCs w:val="19"/>
          <w:rtl/>
        </w:rPr>
        <w:t>, ורשות המיסים לא גייסה די עובדים כדי לכסות על הירידה במספר העובדים. עד סוף שנת 2023 הרשות לא פעלה באופן משמעותי כדי להפחית את המגמה של עזיבת העובדים, למרות ההשפעה הישירה שיש לכך על עבודת השומה, בין היתר בנושא הקריפטו, ועל הגשמת יעדיה. יתר על כן, הפעולות שנעשו לשימור מפקחי המס בשנת 2023 כללו היבטים כספיים, והרשות לא הגבירה פעילות שימור בהיבטים אחרים שעשויים להיות רלוונטיים למוטיבציה של עובדי הרשות.</w:t>
      </w:r>
    </w:p>
    <w:p w14:paraId="217A3847" w14:textId="77777777" w:rsidR="00236CC3" w:rsidRPr="00236CC3" w:rsidRDefault="00236CC3" w:rsidP="00236CC3">
      <w:pPr>
        <w:spacing w:after="240" w:line="288" w:lineRule="auto"/>
        <w:ind w:left="-142" w:right="-567"/>
        <w:contextualSpacing/>
        <w:rPr>
          <w:rFonts w:ascii="Tahoma" w:eastAsiaTheme="minorHAnsi" w:hAnsi="Tahoma" w:cs="Tahoma"/>
          <w:sz w:val="14"/>
          <w:szCs w:val="14"/>
          <w:rtl/>
        </w:rPr>
      </w:pPr>
    </w:p>
    <w:p w14:paraId="68CDD27C" w14:textId="77777777" w:rsidR="00236CC3" w:rsidRPr="00236CC3" w:rsidRDefault="00000000" w:rsidP="00236CC3">
      <w:pPr>
        <w:numPr>
          <w:ilvl w:val="0"/>
          <w:numId w:val="21"/>
        </w:numPr>
        <w:spacing w:after="240" w:line="288" w:lineRule="auto"/>
        <w:ind w:left="-143"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חילופי מידע עם מדינות אחרות בתחום הקריפטו </w:t>
      </w:r>
      <w:r w:rsidRPr="00236CC3">
        <w:rPr>
          <w:rFonts w:ascii="Tahoma" w:eastAsiaTheme="minorHAnsi" w:hAnsi="Tahoma" w:cs="Tahoma"/>
          <w:sz w:val="19"/>
          <w:szCs w:val="19"/>
          <w:rtl/>
        </w:rPr>
        <w:t>- בשנת 2023 הושלמו הכלים המשפטיים ומרבית הכלים התפעוליים של מסגרת הדיווח על הכנסות מקריפטו (</w:t>
      </w:r>
      <w:r w:rsidRPr="00236CC3">
        <w:rPr>
          <w:rFonts w:ascii="Tahoma" w:eastAsiaTheme="minorHAnsi" w:hAnsi="Tahoma" w:cs="Tahoma"/>
          <w:sz w:val="19"/>
          <w:szCs w:val="19"/>
        </w:rPr>
        <w:t>CARF</w:t>
      </w:r>
      <w:r w:rsidRPr="00236CC3">
        <w:rPr>
          <w:rFonts w:ascii="Tahoma" w:eastAsiaTheme="minorHAnsi" w:hAnsi="Tahoma" w:cs="Tahoma"/>
          <w:sz w:val="19"/>
          <w:szCs w:val="19"/>
          <w:rtl/>
        </w:rPr>
        <w:t>) שנקבעה על ידי ארגון ה-</w:t>
      </w:r>
      <w:r w:rsidRPr="00236CC3">
        <w:rPr>
          <w:rFonts w:ascii="Tahoma" w:eastAsiaTheme="minorHAnsi" w:hAnsi="Tahoma" w:cs="Tahoma"/>
          <w:sz w:val="19"/>
          <w:szCs w:val="19"/>
        </w:rPr>
        <w:t>OECD</w:t>
      </w:r>
      <w:r w:rsidRPr="00236CC3">
        <w:rPr>
          <w:rFonts w:ascii="Tahoma" w:eastAsiaTheme="minorHAnsi" w:hAnsi="Tahoma" w:cs="Tahoma"/>
          <w:sz w:val="19"/>
          <w:szCs w:val="19"/>
          <w:rtl/>
        </w:rPr>
        <w:t xml:space="preserve"> ונועדה לאפשר חילופי מידע בתחום זה ברמה בין-לאומית. עלה שישראל טרם התחייבה למהלך, ושרשות המיסים לא קידמה באופן משמעותי את הנדרש לשם ה-</w:t>
      </w:r>
      <w:r w:rsidRPr="00236CC3">
        <w:rPr>
          <w:rFonts w:ascii="Tahoma" w:eastAsiaTheme="minorHAnsi" w:hAnsi="Tahoma" w:cs="Tahoma"/>
          <w:sz w:val="19"/>
          <w:szCs w:val="19"/>
        </w:rPr>
        <w:t>CARF</w:t>
      </w:r>
      <w:r w:rsidRPr="00236CC3">
        <w:rPr>
          <w:rFonts w:ascii="Tahoma" w:eastAsiaTheme="minorHAnsi" w:hAnsi="Tahoma" w:cs="Tahoma"/>
          <w:sz w:val="19"/>
          <w:szCs w:val="19"/>
          <w:rtl/>
        </w:rPr>
        <w:t xml:space="preserve"> לקראת תחילת חילופי המידע כבר בשנת 2027. בכך גדל הסיכון שישראל תיכנס לרשימה השחורה של המדינות מעלימות המס של ארגון ה-</w:t>
      </w:r>
      <w:r w:rsidRPr="00236CC3">
        <w:rPr>
          <w:rFonts w:ascii="Tahoma" w:eastAsiaTheme="minorHAnsi" w:hAnsi="Tahoma" w:cs="Tahoma"/>
          <w:sz w:val="19"/>
          <w:szCs w:val="19"/>
        </w:rPr>
        <w:t>OECD</w:t>
      </w:r>
      <w:r w:rsidRPr="00236CC3">
        <w:rPr>
          <w:rFonts w:ascii="Tahoma" w:eastAsiaTheme="minorHAnsi" w:hAnsi="Tahoma" w:cs="Tahoma"/>
          <w:sz w:val="19"/>
          <w:szCs w:val="19"/>
          <w:rtl/>
        </w:rPr>
        <w:t>.</w:t>
      </w:r>
    </w:p>
    <w:p w14:paraId="3B10BEF5" w14:textId="77777777" w:rsidR="00236CC3" w:rsidRPr="00236CC3" w:rsidRDefault="00236CC3" w:rsidP="00236CC3">
      <w:pPr>
        <w:spacing w:after="240" w:line="288" w:lineRule="auto"/>
        <w:ind w:left="-142" w:right="-567"/>
        <w:contextualSpacing/>
        <w:rPr>
          <w:rFonts w:ascii="Tahoma" w:eastAsiaTheme="minorHAnsi" w:hAnsi="Tahoma" w:cs="Tahoma"/>
          <w:sz w:val="14"/>
          <w:szCs w:val="14"/>
          <w:rtl/>
        </w:rPr>
      </w:pPr>
    </w:p>
    <w:p w14:paraId="0C7A83AA" w14:textId="77777777" w:rsidR="00236CC3" w:rsidRPr="00236CC3" w:rsidRDefault="00000000" w:rsidP="00236CC3">
      <w:pPr>
        <w:numPr>
          <w:ilvl w:val="0"/>
          <w:numId w:val="21"/>
        </w:numPr>
        <w:spacing w:line="288" w:lineRule="auto"/>
        <w:ind w:left="-142" w:right="-567" w:hanging="595"/>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תשלום המס על פעילות בקריפטו </w:t>
      </w:r>
      <w:r w:rsidRPr="00236CC3">
        <w:rPr>
          <w:rFonts w:ascii="Tahoma" w:eastAsiaTheme="minorHAnsi" w:hAnsi="Tahoma" w:cs="Tahoma"/>
          <w:sz w:val="19"/>
          <w:szCs w:val="19"/>
          <w:rtl/>
        </w:rPr>
        <w:t xml:space="preserve">- עלה כי </w:t>
      </w:r>
      <w:r w:rsidRPr="00236CC3">
        <w:rPr>
          <w:rFonts w:ascii="Tahoma" w:eastAsiaTheme="minorHAnsi" w:hAnsi="Tahoma" w:cs="Tahoma"/>
          <w:b/>
          <w:bCs/>
          <w:sz w:val="19"/>
          <w:szCs w:val="19"/>
          <w:rtl/>
        </w:rPr>
        <w:t xml:space="preserve">יש </w:t>
      </w:r>
      <w:bookmarkStart w:id="32" w:name="_Hlk173749942"/>
      <w:r w:rsidRPr="00236CC3">
        <w:rPr>
          <w:rFonts w:ascii="Tahoma" w:eastAsiaTheme="minorHAnsi" w:hAnsi="Tahoma" w:cs="Tahoma"/>
          <w:b/>
          <w:bCs/>
          <w:sz w:val="19"/>
          <w:szCs w:val="19"/>
          <w:rtl/>
        </w:rPr>
        <w:t>סתירה מובנית בפעילותן של רשויות המדינה לגבי מיסוי קריפטו</w:t>
      </w:r>
      <w:r w:rsidRPr="00236CC3">
        <w:rPr>
          <w:rFonts w:ascii="Tahoma" w:eastAsiaTheme="minorHAnsi" w:hAnsi="Tahoma" w:cs="Tahoma"/>
          <w:sz w:val="19"/>
          <w:szCs w:val="19"/>
          <w:rtl/>
        </w:rPr>
        <w:t xml:space="preserve">: רשות המיסים מחייבת תשלום מס בגין רווחים מפעילות בקריפטו, שאותו אפשר לשלם רק דרך המערכת הבנקאית; ומנגד, בהסתמך על פירוש האסדרה מצד בנק ישראל והרשות לאיסור הלבנת הון ומימון טרור (רשל"ה), הבנקים מסרבים בחלק מהמקרים לקבל כספים שמקורם בפעילות קריפטו, זאת גם לאחר שתוקן נב"ת 411 בעקבות החלטת בג"ץ. </w:t>
      </w:r>
      <w:bookmarkEnd w:id="32"/>
      <w:r w:rsidRPr="00236CC3">
        <w:rPr>
          <w:rFonts w:ascii="Tahoma" w:eastAsiaTheme="minorHAnsi" w:hAnsi="Tahoma" w:cs="Tahoma"/>
          <w:sz w:val="19"/>
          <w:szCs w:val="19"/>
          <w:rtl/>
        </w:rPr>
        <w:t xml:space="preserve">עלה כי רשות המיסים פרסמה נוהל לתשלום מס דרך בנק </w:t>
      </w:r>
      <w:r w:rsidRPr="00236CC3">
        <w:rPr>
          <w:rFonts w:ascii="Tahoma" w:eastAsiaTheme="minorHAnsi" w:hAnsi="Tahoma" w:cs="Tahoma"/>
          <w:sz w:val="19"/>
          <w:szCs w:val="19"/>
          <w:rtl/>
        </w:rPr>
        <w:lastRenderedPageBreak/>
        <w:t>ישראל ב-31.12.23, רק לאחר שנים שבהן קיימת הבעיה. הנוהל פורסם בתחילה כהוראת שעה לחצי שנה בלבד וב-1.7.24 הוארך בחצי שנה נוספת. רק ב-3.4.24 פרסמה רשות המיסים הוראת ביצוע להפעלת הנוהל, זאת יותר משלושה חודשים לאחר פרסומו ולאחר שעברה כמחצית הזמן שהוגדר להפעלתו בהוראת השעה. עד מועד פרסום הוראת הביצוע להפעלת הנוהל לא נקבעו אופן הפעלת הנוהל במשרדי השומה ודרך הפעולה של המייצגים והנישומים, ואף לא יצא הטופס שיש להגיש באמצעותו את הבקשה לתשלום המס בהתאם לנוהל. הנוהל שפורסם חל רק על יחידים, כרוך בנטל בירוקרטי כבד על הפונים, ומטיל על רשות המיסים אחריות למניעת הלבנת הון החורגת מתחום מומחיותה. עוד עלה שעד למועד סיום הביקורת לא הגיעו לטיפול פניות במסגרת הנוהל.</w:t>
      </w:r>
      <w:r w:rsidRPr="00236CC3">
        <w:rPr>
          <w:rFonts w:ascii="Tahoma" w:eastAsiaTheme="minorHAnsi" w:hAnsi="Tahoma" w:cs="Tahoma"/>
          <w:rtl/>
        </w:rPr>
        <w:t xml:space="preserve"> </w:t>
      </w:r>
      <w:r w:rsidRPr="00236CC3">
        <w:rPr>
          <w:rFonts w:ascii="Tahoma" w:eastAsiaTheme="minorHAnsi" w:hAnsi="Tahoma" w:cs="Tahoma"/>
          <w:sz w:val="19"/>
          <w:szCs w:val="19"/>
          <w:rtl/>
        </w:rPr>
        <w:t>נוסף על כך עלה כי רשות המיסים לא נערכה להפעלת הנוהל טרם פרסומו, בין היתר משום שטרם השלימה רכש טכנולוגי שיאפשר לה לבחון את דיווחי הנישומים, ולא קבעה "גורם בודק" שמינויו הכרחי להפעלת הנוהל.</w:t>
      </w:r>
    </w:p>
    <w:p w14:paraId="5319CF3F" w14:textId="77777777" w:rsidR="00236CC3" w:rsidRPr="00236CC3" w:rsidRDefault="00236CC3" w:rsidP="00236CC3">
      <w:pPr>
        <w:spacing w:line="288" w:lineRule="auto"/>
        <w:ind w:left="-142" w:right="-567"/>
        <w:contextualSpacing/>
        <w:rPr>
          <w:rFonts w:ascii="Tahoma" w:eastAsiaTheme="minorHAnsi" w:hAnsi="Tahoma" w:cs="Tahoma"/>
          <w:sz w:val="19"/>
          <w:szCs w:val="19"/>
        </w:rPr>
      </w:pPr>
    </w:p>
    <w:p w14:paraId="20309076" w14:textId="77777777" w:rsidR="00236CC3" w:rsidRDefault="00236CC3" w:rsidP="00236CC3">
      <w:pPr>
        <w:spacing w:after="160" w:line="288" w:lineRule="auto"/>
        <w:ind w:right="-567"/>
        <w:rPr>
          <w:rFonts w:ascii="Tahoma" w:eastAsiaTheme="minorHAnsi" w:hAnsi="Tahoma" w:cs="Tahoma"/>
          <w:sz w:val="4"/>
          <w:szCs w:val="4"/>
          <w:rtl/>
        </w:rPr>
      </w:pPr>
    </w:p>
    <w:p w14:paraId="0222B9EA" w14:textId="77777777" w:rsidR="00F7516F" w:rsidRDefault="00F7516F" w:rsidP="00236CC3">
      <w:pPr>
        <w:spacing w:after="160" w:line="288" w:lineRule="auto"/>
        <w:ind w:right="-567"/>
        <w:rPr>
          <w:rFonts w:ascii="Tahoma" w:eastAsiaTheme="minorHAnsi" w:hAnsi="Tahoma" w:cs="Tahoma"/>
          <w:sz w:val="4"/>
          <w:szCs w:val="4"/>
          <w:rtl/>
        </w:rPr>
      </w:pPr>
    </w:p>
    <w:p w14:paraId="0942FE95" w14:textId="77777777" w:rsidR="00F7516F" w:rsidRDefault="00F7516F" w:rsidP="00236CC3">
      <w:pPr>
        <w:spacing w:after="160" w:line="288" w:lineRule="auto"/>
        <w:ind w:right="-567"/>
        <w:rPr>
          <w:rFonts w:ascii="Tahoma" w:eastAsiaTheme="minorHAnsi" w:hAnsi="Tahoma" w:cs="Tahoma"/>
          <w:sz w:val="4"/>
          <w:szCs w:val="4"/>
          <w:rtl/>
        </w:rPr>
      </w:pPr>
    </w:p>
    <w:p w14:paraId="6A2D52ED" w14:textId="77777777" w:rsidR="00F7516F" w:rsidRPr="00F7516F" w:rsidRDefault="00F7516F" w:rsidP="00236CC3">
      <w:pPr>
        <w:spacing w:after="160" w:line="288" w:lineRule="auto"/>
        <w:ind w:right="-567"/>
        <w:rPr>
          <w:rFonts w:ascii="Tahoma" w:eastAsiaTheme="minorHAnsi" w:hAnsi="Tahoma" w:cs="Tahoma"/>
          <w:sz w:val="4"/>
          <w:szCs w:val="4"/>
          <w:rtl/>
        </w:rPr>
      </w:pPr>
    </w:p>
    <w:p w14:paraId="67D332CA" w14:textId="77777777" w:rsidR="00236CC3" w:rsidRPr="00236CC3" w:rsidRDefault="00000000" w:rsidP="00236CC3">
      <w:pPr>
        <w:spacing w:before="240" w:after="160" w:line="288" w:lineRule="auto"/>
        <w:ind w:left="-283" w:right="-567" w:hanging="454"/>
        <w:rPr>
          <w:rFonts w:ascii="Tahoma" w:eastAsiaTheme="minorHAnsi" w:hAnsi="Tahoma" w:cs="Tahoma"/>
          <w:sz w:val="19"/>
          <w:szCs w:val="19"/>
          <w:rtl/>
        </w:rPr>
      </w:pPr>
      <w:r w:rsidRPr="00236CC3">
        <w:rPr>
          <w:rFonts w:ascii="Tahoma" w:eastAsiaTheme="minorHAnsi" w:hAnsi="Tahoma" w:cs="Tahoma"/>
          <w:noProof/>
          <w:sz w:val="19"/>
          <w:szCs w:val="19"/>
          <w:rtl/>
        </w:rPr>
        <w:drawing>
          <wp:inline distT="0" distB="0" distL="0" distR="0" wp14:anchorId="5B9E2C81" wp14:editId="5E1E3A23">
            <wp:extent cx="2710450" cy="207831"/>
            <wp:effectExtent l="0" t="0" r="0" b="1905"/>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2C506519"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b/>
          <w:bCs/>
          <w:sz w:val="19"/>
          <w:szCs w:val="19"/>
          <w:rtl/>
        </w:rPr>
        <w:t xml:space="preserve">פרסום כללי מיסוי בתחום הקריפטו </w:t>
      </w:r>
      <w:r w:rsidRPr="00236CC3">
        <w:rPr>
          <w:rFonts w:ascii="Tahoma" w:eastAsiaTheme="minorHAnsi" w:hAnsi="Tahoma" w:cs="Tahoma"/>
          <w:sz w:val="19"/>
          <w:szCs w:val="19"/>
          <w:rtl/>
        </w:rPr>
        <w:t xml:space="preserve">- רשות המיסים החלה לפרסם כללי מיסוי בתחום הקריפטו בסוף שנת 2017, ועקב כך הייתה ישראל אחת המדינות הראשונות שעשו כן. </w:t>
      </w:r>
    </w:p>
    <w:p w14:paraId="23433146"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b/>
          <w:bCs/>
          <w:sz w:val="19"/>
          <w:szCs w:val="19"/>
          <w:rtl/>
        </w:rPr>
        <w:t xml:space="preserve">הדרכת קריפטו </w:t>
      </w:r>
      <w:r w:rsidRPr="00236CC3">
        <w:rPr>
          <w:rFonts w:ascii="Tahoma" w:eastAsiaTheme="minorHAnsi" w:hAnsi="Tahoma" w:cs="Tahoma"/>
          <w:sz w:val="19"/>
          <w:szCs w:val="19"/>
          <w:rtl/>
        </w:rPr>
        <w:t>- ביוזמת חטיבת החקירות במס הכנסה החל בפברואר 2024 קורס בתחום הקריפטו הכולל היבטים תיאורטיים ופרקטיים, ואותו צפוי לעבור נציג מכל משרד שומה.</w:t>
      </w:r>
    </w:p>
    <w:p w14:paraId="63C5FEF4" w14:textId="77777777" w:rsidR="00236CC3" w:rsidRPr="00236CC3" w:rsidRDefault="00000000" w:rsidP="00236CC3">
      <w:pPr>
        <w:spacing w:before="120" w:line="288" w:lineRule="auto"/>
        <w:ind w:left="-851" w:right="-567"/>
        <w:rPr>
          <w:rFonts w:ascii="Tahoma" w:eastAsiaTheme="minorHAnsi" w:hAnsi="Tahoma" w:cs="Tahoma"/>
          <w:b/>
          <w:bCs/>
          <w:sz w:val="19"/>
          <w:szCs w:val="19"/>
          <w:rtl/>
        </w:rPr>
      </w:pPr>
      <w:bookmarkStart w:id="33" w:name="_Hlk173852805"/>
      <w:r w:rsidRPr="00236CC3">
        <w:rPr>
          <w:rFonts w:ascii="Tahoma" w:eastAsiaTheme="minorHAnsi" w:hAnsi="Tahoma" w:cs="Tahoma" w:hint="cs"/>
          <w:b/>
          <w:bCs/>
          <w:sz w:val="19"/>
          <w:szCs w:val="19"/>
          <w:rtl/>
        </w:rPr>
        <w:t>מבקר המדינה מתניהו אנגלמן ממליץ</w:t>
      </w:r>
      <w:r w:rsidRPr="00236CC3">
        <w:rPr>
          <w:rFonts w:ascii="Tahoma" w:eastAsiaTheme="minorHAnsi" w:hAnsi="Tahoma" w:cs="Tahoma"/>
          <w:b/>
          <w:bCs/>
          <w:sz w:val="19"/>
          <w:szCs w:val="19"/>
          <w:rtl/>
        </w:rPr>
        <w:t xml:space="preserve"> שרשות המיסים תפעל בשיתוף פעולה עם הלשכות המקצועיות, עם גורמים בתעשייה ועם גורמים מקבילים בעולם לגיבוש ופרסום של כללי מיסוי ברורים, כפי שפורסמו לאחרונה בין היתר באיחוד האירופי ובבריטניה. כמו כן מומלץ ששר האוצר, בתיאום עם רשות המיסים, ישלימו הכנת תזכיר חוק המקדם את האסדרה בתחום המיסוי, כפי שנקבע בהחלטת הממשלה 204. בהירות בתחום המיסוי בכוחה לשפר את אמון הציבור ברשות המיסים, לאפשר להתוות את הדרך שתאפשר לכלכלה הישראלית בתחום הקריפטו לצמוח ולאפשר למדינת ישראל לשמור על מעמדה כמעצמה טכנולוגית וליהנות מפירות הצמיחה, מהעלאת שיעור הדיווח וממימוש פוטנציאל גביית המס על הכנסות מ</w:t>
      </w:r>
      <w:r w:rsidRPr="00236CC3">
        <w:rPr>
          <w:rFonts w:ascii="Tahoma" w:eastAsiaTheme="minorHAnsi" w:hAnsi="Tahoma" w:cs="Tahoma" w:hint="cs"/>
          <w:b/>
          <w:bCs/>
          <w:sz w:val="19"/>
          <w:szCs w:val="19"/>
          <w:rtl/>
        </w:rPr>
        <w:t>פעילות ב</w:t>
      </w:r>
      <w:r w:rsidRPr="00236CC3">
        <w:rPr>
          <w:rFonts w:ascii="Tahoma" w:eastAsiaTheme="minorHAnsi" w:hAnsi="Tahoma" w:cs="Tahoma"/>
          <w:b/>
          <w:bCs/>
          <w:sz w:val="19"/>
          <w:szCs w:val="19"/>
          <w:rtl/>
        </w:rPr>
        <w:t>קריפטו.</w:t>
      </w:r>
    </w:p>
    <w:bookmarkEnd w:id="33"/>
    <w:p w14:paraId="3DD2BD25" w14:textId="77777777" w:rsidR="00236CC3" w:rsidRPr="00236CC3" w:rsidRDefault="00236CC3" w:rsidP="00236CC3">
      <w:pPr>
        <w:keepNext/>
        <w:keepLines/>
        <w:spacing w:before="40" w:line="288" w:lineRule="auto"/>
        <w:outlineLvl w:val="2"/>
        <w:rPr>
          <w:rFonts w:ascii="Tahoma" w:eastAsiaTheme="majorEastAsia" w:hAnsi="Tahoma" w:cs="Tahoma"/>
          <w:color w:val="1F4D78" w:themeColor="accent1" w:themeShade="7F"/>
          <w:sz w:val="24"/>
          <w:rtl/>
        </w:rPr>
      </w:pPr>
    </w:p>
    <w:p w14:paraId="58AEFA80" w14:textId="77777777" w:rsidR="00236CC3" w:rsidRPr="00236CC3" w:rsidRDefault="00236CC3" w:rsidP="00236CC3">
      <w:pPr>
        <w:spacing w:line="288" w:lineRule="auto"/>
        <w:rPr>
          <w:rFonts w:ascii="Tahoma" w:eastAsiaTheme="minorHAnsi" w:hAnsi="Tahoma" w:cs="Tahoma"/>
          <w:rtl/>
        </w:rPr>
      </w:pPr>
    </w:p>
    <w:p w14:paraId="4BCCD3F8" w14:textId="77777777" w:rsidR="00236CC3" w:rsidRPr="00236CC3" w:rsidRDefault="00236CC3" w:rsidP="00236CC3">
      <w:pPr>
        <w:keepNext/>
        <w:keepLines/>
        <w:spacing w:before="40" w:line="288" w:lineRule="auto"/>
        <w:outlineLvl w:val="2"/>
        <w:rPr>
          <w:rFonts w:ascii="Tahoma" w:eastAsiaTheme="majorEastAsia" w:hAnsi="Tahoma" w:cs="Tahoma"/>
          <w:color w:val="1F4D78" w:themeColor="accent1" w:themeShade="7F"/>
          <w:sz w:val="24"/>
          <w:rtl/>
        </w:rPr>
      </w:pPr>
    </w:p>
    <w:p w14:paraId="0BECB846" w14:textId="77777777" w:rsidR="00236CC3" w:rsidRPr="00236CC3" w:rsidRDefault="00236CC3" w:rsidP="00236CC3">
      <w:pPr>
        <w:bidi w:val="0"/>
        <w:spacing w:line="288" w:lineRule="auto"/>
        <w:rPr>
          <w:rFonts w:ascii="Tahoma" w:eastAsia="Times New Roman" w:hAnsi="Tahoma" w:cs="Tahoma"/>
          <w:szCs w:val="28"/>
          <w:u w:val="single"/>
          <w:rtl/>
        </w:rPr>
      </w:pPr>
    </w:p>
    <w:tbl>
      <w:tblPr>
        <w:tblStyle w:val="210"/>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4D1FD610" w14:textId="77777777" w:rsidTr="00236CC3">
        <w:tc>
          <w:tcPr>
            <w:tcW w:w="9783" w:type="dxa"/>
          </w:tcPr>
          <w:p w14:paraId="13660D7B" w14:textId="77777777" w:rsidR="00236CC3" w:rsidRPr="00CA21DE" w:rsidRDefault="00000000" w:rsidP="00C950A0">
            <w:pPr>
              <w:pStyle w:val="1"/>
              <w:jc w:val="left"/>
              <w:rPr>
                <w:rFonts w:ascii="Tahoma" w:hAnsi="Tahoma" w:cs="Tahoma"/>
                <w:sz w:val="40"/>
                <w:szCs w:val="40"/>
                <w:rtl/>
              </w:rPr>
            </w:pPr>
            <w:bookmarkStart w:id="34" w:name="_Toc179710260"/>
            <w:bookmarkStart w:id="35" w:name="_Hlk173408614"/>
            <w:r w:rsidRPr="00CA21DE">
              <w:rPr>
                <w:rFonts w:ascii="Tahoma" w:hAnsi="Tahoma" w:cs="Tahoma"/>
                <w:sz w:val="40"/>
                <w:szCs w:val="40"/>
                <w:rtl/>
              </w:rPr>
              <w:t>היבטים בפעילות המשרד לשיתוף פעולה אזורי</w:t>
            </w:r>
            <w:bookmarkEnd w:id="34"/>
          </w:p>
        </w:tc>
      </w:tr>
    </w:tbl>
    <w:p w14:paraId="59640E5C" w14:textId="77777777" w:rsidR="00236CC3" w:rsidRPr="00C950A0" w:rsidRDefault="00236CC3" w:rsidP="00C950A0">
      <w:pPr>
        <w:pStyle w:val="1"/>
        <w:jc w:val="left"/>
        <w:rPr>
          <w:rFonts w:asciiTheme="minorBidi" w:hAnsiTheme="minorBidi" w:cstheme="minorBidi"/>
          <w:sz w:val="40"/>
          <w:szCs w:val="40"/>
          <w:rtl/>
        </w:rPr>
      </w:pPr>
      <w:bookmarkStart w:id="36" w:name="_Hlk175031767"/>
    </w:p>
    <w:p w14:paraId="6E87C47F" w14:textId="77777777" w:rsidR="00236CC3" w:rsidRPr="00C950A0" w:rsidRDefault="00236CC3" w:rsidP="00C950A0">
      <w:pPr>
        <w:pStyle w:val="1"/>
        <w:jc w:val="left"/>
        <w:rPr>
          <w:rFonts w:asciiTheme="minorBidi" w:hAnsiTheme="minorBidi" w:cstheme="minorBidi"/>
          <w:sz w:val="40"/>
          <w:szCs w:val="40"/>
          <w:rtl/>
        </w:rPr>
      </w:pPr>
    </w:p>
    <w:bookmarkEnd w:id="36"/>
    <w:p w14:paraId="698A3D9C" w14:textId="77777777" w:rsidR="00236CC3" w:rsidRPr="00236CC3" w:rsidRDefault="00000000" w:rsidP="00236CC3">
      <w:pPr>
        <w:spacing w:line="288" w:lineRule="auto"/>
        <w:ind w:left="-851"/>
        <w:rPr>
          <w:rFonts w:ascii="Tahoma" w:hAnsi="Tahoma" w:cs="Tahoma"/>
          <w:rtl/>
        </w:rPr>
      </w:pPr>
      <w:r w:rsidRPr="00236CC3">
        <w:rPr>
          <w:rFonts w:ascii="Tahoma" w:hAnsi="Tahoma" w:cs="Tahoma"/>
          <w:noProof/>
          <w:rtl/>
        </w:rPr>
        <w:drawing>
          <wp:inline distT="0" distB="0" distL="0" distR="0" wp14:anchorId="48A9326C" wp14:editId="1E002DAE">
            <wp:extent cx="1672025" cy="472440"/>
            <wp:effectExtent l="0" t="0" r="4445" b="381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8029" cy="479788"/>
                    </a:xfrm>
                    <a:prstGeom prst="rect">
                      <a:avLst/>
                    </a:prstGeom>
                  </pic:spPr>
                </pic:pic>
              </a:graphicData>
            </a:graphic>
          </wp:inline>
        </w:drawing>
      </w:r>
    </w:p>
    <w:p w14:paraId="776A8513" w14:textId="77777777" w:rsidR="00236CC3" w:rsidRPr="00236CC3" w:rsidRDefault="00236CC3" w:rsidP="00236CC3">
      <w:pPr>
        <w:spacing w:line="288" w:lineRule="auto"/>
        <w:ind w:left="-710"/>
        <w:rPr>
          <w:rFonts w:ascii="Tahoma" w:hAnsi="Tahoma" w:cs="Tahoma"/>
          <w:sz w:val="6"/>
          <w:szCs w:val="10"/>
          <w:rtl/>
        </w:rPr>
      </w:pPr>
    </w:p>
    <w:tbl>
      <w:tblPr>
        <w:tblStyle w:val="210"/>
        <w:tblpPr w:leftFromText="180" w:rightFromText="180" w:vertAnchor="text" w:tblpXSpec="center" w:tblpY="1"/>
        <w:tblOverlap w:val="never"/>
        <w:bidiVisual/>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9"/>
        <w:gridCol w:w="335"/>
        <w:gridCol w:w="2139"/>
        <w:gridCol w:w="335"/>
        <w:gridCol w:w="2257"/>
        <w:gridCol w:w="335"/>
        <w:gridCol w:w="2098"/>
      </w:tblGrid>
      <w:tr w:rsidR="004F19B3" w14:paraId="67723648" w14:textId="77777777" w:rsidTr="00236CC3">
        <w:trPr>
          <w:trHeight w:val="283"/>
        </w:trPr>
        <w:tc>
          <w:tcPr>
            <w:tcW w:w="2189" w:type="dxa"/>
            <w:tcBorders>
              <w:bottom w:val="single" w:sz="12" w:space="0" w:color="auto"/>
            </w:tcBorders>
            <w:shd w:val="clear" w:color="auto" w:fill="auto"/>
            <w:vAlign w:val="bottom"/>
          </w:tcPr>
          <w:p w14:paraId="4C803053" w14:textId="77777777" w:rsidR="00236CC3" w:rsidRPr="00236CC3" w:rsidRDefault="00000000" w:rsidP="00236CC3">
            <w:pPr>
              <w:spacing w:after="60" w:line="240" w:lineRule="auto"/>
              <w:jc w:val="left"/>
              <w:rPr>
                <w:rFonts w:ascii="Tahoma" w:hAnsi="Tahoma" w:cs="Tahoma"/>
                <w:spacing w:val="-10"/>
                <w:sz w:val="36"/>
                <w:szCs w:val="36"/>
                <w:rtl/>
              </w:rPr>
            </w:pPr>
            <w:r w:rsidRPr="00236CC3">
              <w:rPr>
                <w:rFonts w:ascii="Tahoma" w:hAnsi="Tahoma" w:cs="Tahoma" w:hint="cs"/>
                <w:spacing w:val="-10"/>
                <w:sz w:val="36"/>
                <w:szCs w:val="36"/>
                <w:rtl/>
              </w:rPr>
              <w:t>39 - 74</w:t>
            </w:r>
            <w:r w:rsidRPr="00236CC3">
              <w:rPr>
                <w:rFonts w:ascii="Tahoma" w:hAnsi="Tahoma" w:cs="Tahoma" w:hint="cs"/>
                <w:spacing w:val="-10"/>
                <w:sz w:val="26"/>
                <w:szCs w:val="26"/>
                <w:rtl/>
              </w:rPr>
              <w:t xml:space="preserve"> </w:t>
            </w:r>
            <w:r w:rsidRPr="00236CC3">
              <w:rPr>
                <w:rFonts w:ascii="Tahoma" w:hAnsi="Tahoma" w:cs="Tahoma"/>
                <w:spacing w:val="-10"/>
                <w:sz w:val="26"/>
                <w:szCs w:val="26"/>
                <w:rtl/>
              </w:rPr>
              <w:br/>
              <w:t xml:space="preserve">מיליון </w:t>
            </w:r>
            <w:r w:rsidRPr="00236CC3">
              <w:rPr>
                <w:rFonts w:ascii="Tahoma" w:hAnsi="Tahoma" w:cs="Tahoma" w:hint="cs"/>
                <w:spacing w:val="-10"/>
                <w:sz w:val="26"/>
                <w:szCs w:val="26"/>
                <w:rtl/>
              </w:rPr>
              <w:t>ש"ח</w:t>
            </w:r>
          </w:p>
        </w:tc>
        <w:tc>
          <w:tcPr>
            <w:tcW w:w="335" w:type="dxa"/>
          </w:tcPr>
          <w:p w14:paraId="6CCAB4E5" w14:textId="77777777" w:rsidR="00236CC3" w:rsidRPr="00236CC3" w:rsidRDefault="00236CC3" w:rsidP="00236CC3">
            <w:pPr>
              <w:spacing w:after="60" w:line="240" w:lineRule="auto"/>
              <w:jc w:val="left"/>
              <w:rPr>
                <w:rFonts w:ascii="Tahoma" w:hAnsi="Tahoma" w:cs="Tahoma"/>
                <w:spacing w:val="-10"/>
              </w:rPr>
            </w:pPr>
          </w:p>
        </w:tc>
        <w:tc>
          <w:tcPr>
            <w:tcW w:w="2139" w:type="dxa"/>
            <w:tcBorders>
              <w:bottom w:val="single" w:sz="12" w:space="0" w:color="auto"/>
            </w:tcBorders>
            <w:vAlign w:val="bottom"/>
          </w:tcPr>
          <w:p w14:paraId="378A9FBE" w14:textId="77777777" w:rsidR="00236CC3" w:rsidRPr="00236CC3" w:rsidRDefault="00000000" w:rsidP="00236CC3">
            <w:pPr>
              <w:spacing w:after="60" w:line="240" w:lineRule="auto"/>
              <w:jc w:val="left"/>
              <w:rPr>
                <w:rFonts w:ascii="Tahoma" w:hAnsi="Tahoma" w:cs="Tahoma"/>
                <w:spacing w:val="-10"/>
                <w:sz w:val="36"/>
                <w:szCs w:val="36"/>
                <w:rtl/>
              </w:rPr>
            </w:pPr>
            <w:r w:rsidRPr="00236CC3">
              <w:rPr>
                <w:rFonts w:ascii="Tahoma" w:hAnsi="Tahoma" w:cs="Tahoma" w:hint="cs"/>
                <w:spacing w:val="-10"/>
                <w:sz w:val="36"/>
                <w:szCs w:val="36"/>
                <w:rtl/>
              </w:rPr>
              <w:t>38% - 49%</w:t>
            </w:r>
            <w:r w:rsidRPr="00236CC3">
              <w:rPr>
                <w:rFonts w:ascii="Tahoma" w:hAnsi="Tahoma" w:cs="Tahoma"/>
                <w:spacing w:val="-10"/>
                <w:sz w:val="36"/>
                <w:szCs w:val="36"/>
                <w:rtl/>
              </w:rPr>
              <w:t xml:space="preserve"> </w:t>
            </w:r>
            <w:r w:rsidRPr="00236CC3">
              <w:rPr>
                <w:rFonts w:ascii="Tahoma" w:hAnsi="Tahoma" w:cs="Tahoma" w:hint="cs"/>
                <w:spacing w:val="-10"/>
                <w:sz w:val="26"/>
                <w:szCs w:val="26"/>
                <w:rtl/>
              </w:rPr>
              <w:t xml:space="preserve">שיעור ביצוע </w:t>
            </w:r>
          </w:p>
        </w:tc>
        <w:tc>
          <w:tcPr>
            <w:tcW w:w="335" w:type="dxa"/>
          </w:tcPr>
          <w:p w14:paraId="5C1EFAE3" w14:textId="77777777" w:rsidR="00236CC3" w:rsidRPr="00236CC3" w:rsidRDefault="00236CC3" w:rsidP="00236CC3">
            <w:pPr>
              <w:spacing w:after="60" w:line="240" w:lineRule="auto"/>
              <w:jc w:val="left"/>
              <w:rPr>
                <w:rFonts w:ascii="Tahoma" w:hAnsi="Tahoma" w:cs="Tahoma"/>
                <w:spacing w:val="-10"/>
              </w:rPr>
            </w:pPr>
          </w:p>
        </w:tc>
        <w:tc>
          <w:tcPr>
            <w:tcW w:w="2257" w:type="dxa"/>
            <w:tcBorders>
              <w:bottom w:val="single" w:sz="12" w:space="0" w:color="auto"/>
            </w:tcBorders>
            <w:vAlign w:val="bottom"/>
          </w:tcPr>
          <w:p w14:paraId="2B8BBF84" w14:textId="77777777" w:rsidR="00236CC3" w:rsidRPr="00236CC3" w:rsidRDefault="00000000" w:rsidP="00236CC3">
            <w:pPr>
              <w:spacing w:after="60" w:line="240" w:lineRule="auto"/>
              <w:jc w:val="left"/>
              <w:rPr>
                <w:rFonts w:ascii="Tahoma" w:hAnsi="Tahoma" w:cs="Tahoma"/>
                <w:spacing w:val="-10"/>
                <w:sz w:val="36"/>
                <w:szCs w:val="36"/>
              </w:rPr>
            </w:pPr>
            <w:r w:rsidRPr="00236CC3">
              <w:rPr>
                <w:rFonts w:ascii="Tahoma" w:hAnsi="Tahoma" w:cs="Tahoma" w:hint="cs"/>
                <w:spacing w:val="-10"/>
                <w:sz w:val="36"/>
                <w:szCs w:val="36"/>
                <w:rtl/>
              </w:rPr>
              <w:t>58%</w:t>
            </w:r>
            <w:r w:rsidRPr="00236CC3">
              <w:rPr>
                <w:rFonts w:ascii="Tahoma" w:hAnsi="Tahoma" w:cs="Tahoma"/>
                <w:spacing w:val="-10"/>
                <w:sz w:val="36"/>
                <w:szCs w:val="36"/>
                <w:rtl/>
              </w:rPr>
              <w:t xml:space="preserve"> </w:t>
            </w:r>
            <w:r w:rsidRPr="00236CC3">
              <w:rPr>
                <w:rFonts w:ascii="Tahoma" w:hAnsi="Tahoma" w:cs="Tahoma"/>
                <w:spacing w:val="-10"/>
                <w:sz w:val="26"/>
                <w:szCs w:val="26"/>
                <w:rtl/>
              </w:rPr>
              <w:br/>
            </w:r>
            <w:r w:rsidRPr="00236CC3">
              <w:rPr>
                <w:rFonts w:ascii="Tahoma" w:hAnsi="Tahoma" w:cs="Tahoma" w:hint="cs"/>
                <w:spacing w:val="-10"/>
                <w:sz w:val="26"/>
                <w:szCs w:val="26"/>
                <w:rtl/>
              </w:rPr>
              <w:t>ממשאבי המשרד</w:t>
            </w:r>
          </w:p>
        </w:tc>
        <w:tc>
          <w:tcPr>
            <w:tcW w:w="335" w:type="dxa"/>
          </w:tcPr>
          <w:p w14:paraId="2B3EF7C2" w14:textId="77777777" w:rsidR="00236CC3" w:rsidRPr="00236CC3" w:rsidRDefault="00236CC3" w:rsidP="00236CC3">
            <w:pPr>
              <w:spacing w:after="60" w:line="240" w:lineRule="auto"/>
              <w:jc w:val="left"/>
              <w:rPr>
                <w:rFonts w:ascii="Tahoma" w:hAnsi="Tahoma" w:cs="Tahoma"/>
                <w:spacing w:val="-10"/>
              </w:rPr>
            </w:pPr>
          </w:p>
        </w:tc>
        <w:tc>
          <w:tcPr>
            <w:tcW w:w="2098" w:type="dxa"/>
            <w:tcBorders>
              <w:bottom w:val="single" w:sz="12" w:space="0" w:color="auto"/>
            </w:tcBorders>
            <w:vAlign w:val="center"/>
          </w:tcPr>
          <w:p w14:paraId="29B387EC" w14:textId="77777777" w:rsidR="00236CC3" w:rsidRPr="00236CC3" w:rsidRDefault="00000000" w:rsidP="00236CC3">
            <w:pPr>
              <w:spacing w:after="60" w:line="240" w:lineRule="auto"/>
              <w:jc w:val="left"/>
              <w:rPr>
                <w:rFonts w:ascii="Tahoma" w:hAnsi="Tahoma" w:cs="Tahoma"/>
                <w:spacing w:val="-10"/>
                <w:sz w:val="26"/>
                <w:szCs w:val="26"/>
                <w:rtl/>
              </w:rPr>
            </w:pPr>
            <w:r w:rsidRPr="00236CC3">
              <w:rPr>
                <w:rFonts w:ascii="Tahoma" w:hAnsi="Tahoma" w:cs="Tahoma" w:hint="cs"/>
                <w:spacing w:val="-10"/>
                <w:sz w:val="36"/>
                <w:szCs w:val="36"/>
                <w:rtl/>
              </w:rPr>
              <w:t>40%</w:t>
            </w:r>
            <w:r w:rsidRPr="00236CC3">
              <w:rPr>
                <w:rFonts w:ascii="Tahoma" w:hAnsi="Tahoma" w:cs="Tahoma"/>
                <w:spacing w:val="-10"/>
                <w:sz w:val="36"/>
                <w:szCs w:val="36"/>
                <w:rtl/>
              </w:rPr>
              <w:t xml:space="preserve"> </w:t>
            </w:r>
            <w:r w:rsidRPr="00236CC3">
              <w:rPr>
                <w:rFonts w:ascii="Tahoma" w:hAnsi="Tahoma" w:cs="Tahoma"/>
                <w:spacing w:val="-10"/>
                <w:sz w:val="26"/>
                <w:szCs w:val="26"/>
                <w:rtl/>
              </w:rPr>
              <w:br/>
            </w:r>
            <w:r w:rsidRPr="00236CC3">
              <w:rPr>
                <w:rFonts w:ascii="Tahoma" w:hAnsi="Tahoma" w:cs="Tahoma" w:hint="cs"/>
                <w:spacing w:val="-10"/>
                <w:sz w:val="26"/>
                <w:szCs w:val="26"/>
                <w:rtl/>
              </w:rPr>
              <w:t>ממדדי ההצלחה</w:t>
            </w:r>
          </w:p>
        </w:tc>
      </w:tr>
      <w:tr w:rsidR="004F19B3" w14:paraId="4F428339" w14:textId="77777777" w:rsidTr="00236CC3">
        <w:trPr>
          <w:trHeight w:val="85"/>
        </w:trPr>
        <w:tc>
          <w:tcPr>
            <w:tcW w:w="9688" w:type="dxa"/>
            <w:gridSpan w:val="7"/>
            <w:shd w:val="clear" w:color="auto" w:fill="auto"/>
            <w:vAlign w:val="center"/>
          </w:tcPr>
          <w:p w14:paraId="23996849" w14:textId="77777777" w:rsidR="00236CC3" w:rsidRPr="00236CC3" w:rsidRDefault="00236CC3" w:rsidP="00236CC3">
            <w:pPr>
              <w:rPr>
                <w:rFonts w:ascii="Tahoma" w:hAnsi="Tahoma" w:cs="Tahoma"/>
                <w:spacing w:val="-10"/>
                <w:sz w:val="6"/>
                <w:szCs w:val="6"/>
                <w:rtl/>
              </w:rPr>
            </w:pPr>
          </w:p>
        </w:tc>
      </w:tr>
      <w:tr w:rsidR="004F19B3" w14:paraId="4BFA6B54" w14:textId="77777777" w:rsidTr="00236CC3">
        <w:trPr>
          <w:trHeight w:val="1155"/>
        </w:trPr>
        <w:tc>
          <w:tcPr>
            <w:tcW w:w="2189" w:type="dxa"/>
          </w:tcPr>
          <w:p w14:paraId="45B0FF38"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התקציב השנתי של המשרד</w:t>
            </w:r>
          </w:p>
          <w:p w14:paraId="323BD532"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בשנים 2018 - 2023</w:t>
            </w:r>
          </w:p>
        </w:tc>
        <w:tc>
          <w:tcPr>
            <w:tcW w:w="335" w:type="dxa"/>
          </w:tcPr>
          <w:p w14:paraId="3C6EAE70" w14:textId="77777777" w:rsidR="00236CC3" w:rsidRPr="00236CC3" w:rsidRDefault="00236CC3" w:rsidP="00236CC3">
            <w:pPr>
              <w:spacing w:line="240" w:lineRule="exact"/>
              <w:jc w:val="left"/>
              <w:rPr>
                <w:rFonts w:ascii="Tahoma" w:hAnsi="Tahoma" w:cs="Tahoma"/>
                <w:rtl/>
              </w:rPr>
            </w:pPr>
          </w:p>
        </w:tc>
        <w:tc>
          <w:tcPr>
            <w:tcW w:w="2139" w:type="dxa"/>
          </w:tcPr>
          <w:p w14:paraId="7D26DF44" w14:textId="77777777" w:rsidR="00236CC3" w:rsidRPr="00236CC3" w:rsidRDefault="00000000" w:rsidP="00236CC3">
            <w:pPr>
              <w:spacing w:line="240" w:lineRule="auto"/>
              <w:ind w:right="23"/>
              <w:rPr>
                <w:rFonts w:ascii="Tahoma" w:hAnsi="Tahoma" w:cs="Tahoma"/>
                <w:sz w:val="19"/>
                <w:szCs w:val="19"/>
                <w:rtl/>
              </w:rPr>
            </w:pPr>
            <w:r w:rsidRPr="00236CC3">
              <w:rPr>
                <w:rFonts w:ascii="Tahoma" w:hAnsi="Tahoma" w:cs="Tahoma" w:hint="cs"/>
                <w:sz w:val="19"/>
                <w:szCs w:val="19"/>
                <w:rtl/>
              </w:rPr>
              <w:t xml:space="preserve">תקציב </w:t>
            </w:r>
            <w:r w:rsidRPr="00236CC3">
              <w:rPr>
                <w:rFonts w:ascii="Tahoma" w:hAnsi="Tahoma" w:cs="Tahoma"/>
                <w:sz w:val="19"/>
                <w:szCs w:val="19"/>
                <w:rtl/>
              </w:rPr>
              <w:t xml:space="preserve">המשרד </w:t>
            </w:r>
          </w:p>
          <w:p w14:paraId="57503913"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בשנים 2018 - 2023</w:t>
            </w:r>
          </w:p>
        </w:tc>
        <w:tc>
          <w:tcPr>
            <w:tcW w:w="335" w:type="dxa"/>
          </w:tcPr>
          <w:p w14:paraId="3BAA7408" w14:textId="77777777" w:rsidR="00236CC3" w:rsidRPr="00236CC3" w:rsidRDefault="00236CC3" w:rsidP="00236CC3">
            <w:pPr>
              <w:spacing w:line="240" w:lineRule="exact"/>
              <w:jc w:val="left"/>
              <w:rPr>
                <w:rFonts w:ascii="Tahoma" w:hAnsi="Tahoma" w:cs="Tahoma"/>
                <w:sz w:val="19"/>
                <w:szCs w:val="19"/>
                <w:rtl/>
              </w:rPr>
            </w:pPr>
          </w:p>
        </w:tc>
        <w:tc>
          <w:tcPr>
            <w:tcW w:w="2257" w:type="dxa"/>
          </w:tcPr>
          <w:p w14:paraId="1532207D"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הוצאו בשנים 2018 - 2023 לצורך תשלום שכר והוצאות תפעול (כ-91 מיליון ש"ח מתוך כ-156 מיליון ש"ח)</w:t>
            </w:r>
          </w:p>
        </w:tc>
        <w:tc>
          <w:tcPr>
            <w:tcW w:w="335" w:type="dxa"/>
          </w:tcPr>
          <w:p w14:paraId="3F151D1F" w14:textId="77777777" w:rsidR="00236CC3" w:rsidRPr="00236CC3" w:rsidRDefault="00236CC3" w:rsidP="00236CC3">
            <w:pPr>
              <w:spacing w:line="240" w:lineRule="exact"/>
              <w:jc w:val="left"/>
              <w:rPr>
                <w:rFonts w:ascii="Tahoma" w:hAnsi="Tahoma" w:cs="Tahoma"/>
                <w:sz w:val="19"/>
                <w:szCs w:val="19"/>
                <w:rtl/>
              </w:rPr>
            </w:pPr>
          </w:p>
        </w:tc>
        <w:tc>
          <w:tcPr>
            <w:tcW w:w="2098" w:type="dxa"/>
          </w:tcPr>
          <w:p w14:paraId="280B1391"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של תוכניות העבודה בשנים 2019 ו-2022 לא הושגו באופן מלא</w:t>
            </w:r>
          </w:p>
        </w:tc>
      </w:tr>
      <w:tr w:rsidR="004F19B3" w14:paraId="1AC2A322" w14:textId="77777777" w:rsidTr="00236CC3">
        <w:trPr>
          <w:trHeight w:val="363"/>
        </w:trPr>
        <w:tc>
          <w:tcPr>
            <w:tcW w:w="9688" w:type="dxa"/>
            <w:gridSpan w:val="7"/>
          </w:tcPr>
          <w:p w14:paraId="60F4648F" w14:textId="77777777" w:rsidR="00236CC3" w:rsidRPr="00236CC3" w:rsidRDefault="00236CC3" w:rsidP="00236CC3">
            <w:pPr>
              <w:jc w:val="center"/>
              <w:rPr>
                <w:rFonts w:ascii="Tahoma" w:hAnsi="Tahoma" w:cs="Tahoma"/>
                <w:sz w:val="6"/>
                <w:szCs w:val="6"/>
                <w:rtl/>
              </w:rPr>
            </w:pPr>
          </w:p>
        </w:tc>
      </w:tr>
      <w:tr w:rsidR="004F19B3" w14:paraId="68AE0698" w14:textId="77777777" w:rsidTr="00236CC3">
        <w:trPr>
          <w:trHeight w:val="227"/>
        </w:trPr>
        <w:tc>
          <w:tcPr>
            <w:tcW w:w="2189" w:type="dxa"/>
            <w:tcBorders>
              <w:bottom w:val="single" w:sz="12" w:space="0" w:color="auto"/>
            </w:tcBorders>
            <w:vAlign w:val="bottom"/>
          </w:tcPr>
          <w:p w14:paraId="37F91962" w14:textId="77777777" w:rsidR="00236CC3" w:rsidRPr="00236CC3" w:rsidRDefault="00000000" w:rsidP="00236CC3">
            <w:pPr>
              <w:spacing w:after="60" w:line="240" w:lineRule="auto"/>
              <w:jc w:val="left"/>
              <w:rPr>
                <w:rFonts w:ascii="Tahoma" w:hAnsi="Tahoma" w:cs="Tahoma"/>
                <w:spacing w:val="-10"/>
                <w:sz w:val="36"/>
                <w:szCs w:val="36"/>
              </w:rPr>
            </w:pPr>
            <w:r w:rsidRPr="00236CC3">
              <w:rPr>
                <w:rFonts w:ascii="Tahoma" w:hAnsi="Tahoma" w:cs="Tahoma" w:hint="cs"/>
                <w:spacing w:val="-10"/>
                <w:sz w:val="36"/>
                <w:szCs w:val="36"/>
                <w:rtl/>
              </w:rPr>
              <w:t>8.3</w:t>
            </w:r>
            <w:r w:rsidRPr="00236CC3">
              <w:rPr>
                <w:rFonts w:ascii="Tahoma" w:hAnsi="Tahoma" w:cs="Tahoma" w:hint="cs"/>
                <w:spacing w:val="-10"/>
                <w:sz w:val="26"/>
                <w:szCs w:val="26"/>
                <w:rtl/>
              </w:rPr>
              <w:t xml:space="preserve"> מיליון ש"ח </w:t>
            </w:r>
          </w:p>
        </w:tc>
        <w:tc>
          <w:tcPr>
            <w:tcW w:w="335" w:type="dxa"/>
            <w:vAlign w:val="bottom"/>
          </w:tcPr>
          <w:p w14:paraId="6A4F89C2" w14:textId="77777777" w:rsidR="00236CC3" w:rsidRPr="00236CC3" w:rsidRDefault="00236CC3" w:rsidP="00236CC3">
            <w:pPr>
              <w:spacing w:after="60" w:line="240" w:lineRule="auto"/>
              <w:jc w:val="left"/>
              <w:rPr>
                <w:rFonts w:ascii="Tahoma" w:hAnsi="Tahoma" w:cs="Tahoma"/>
                <w:spacing w:val="-10"/>
              </w:rPr>
            </w:pPr>
          </w:p>
        </w:tc>
        <w:tc>
          <w:tcPr>
            <w:tcW w:w="2139" w:type="dxa"/>
            <w:tcBorders>
              <w:bottom w:val="single" w:sz="12" w:space="0" w:color="auto"/>
            </w:tcBorders>
            <w:vAlign w:val="bottom"/>
          </w:tcPr>
          <w:p w14:paraId="0864CA6C" w14:textId="77777777" w:rsidR="00236CC3" w:rsidRPr="00236CC3" w:rsidRDefault="00000000" w:rsidP="00236CC3">
            <w:pPr>
              <w:spacing w:after="60" w:line="240" w:lineRule="auto"/>
              <w:jc w:val="left"/>
              <w:rPr>
                <w:rFonts w:ascii="Tahoma" w:hAnsi="Tahoma" w:cs="Tahoma"/>
                <w:spacing w:val="-10"/>
                <w:sz w:val="26"/>
                <w:szCs w:val="26"/>
              </w:rPr>
            </w:pPr>
            <w:r w:rsidRPr="00236CC3">
              <w:rPr>
                <w:rFonts w:ascii="Tahoma" w:hAnsi="Tahoma" w:cs="Tahoma" w:hint="cs"/>
                <w:spacing w:val="-10"/>
                <w:sz w:val="36"/>
                <w:szCs w:val="36"/>
                <w:rtl/>
              </w:rPr>
              <w:t>60</w:t>
            </w:r>
            <w:r w:rsidRPr="00236CC3">
              <w:rPr>
                <w:rFonts w:ascii="Tahoma" w:hAnsi="Tahoma" w:cs="Tahoma"/>
                <w:spacing w:val="-10"/>
                <w:sz w:val="36"/>
                <w:szCs w:val="36"/>
                <w:rtl/>
              </w:rPr>
              <w:t xml:space="preserve"> </w:t>
            </w:r>
            <w:r w:rsidRPr="00236CC3">
              <w:rPr>
                <w:rFonts w:ascii="Tahoma" w:hAnsi="Tahoma" w:cs="Tahoma" w:hint="cs"/>
                <w:spacing w:val="-10"/>
                <w:sz w:val="26"/>
                <w:szCs w:val="26"/>
                <w:rtl/>
              </w:rPr>
              <w:t>מיליון ש"ח</w:t>
            </w:r>
          </w:p>
        </w:tc>
        <w:tc>
          <w:tcPr>
            <w:tcW w:w="335" w:type="dxa"/>
            <w:vAlign w:val="bottom"/>
          </w:tcPr>
          <w:p w14:paraId="1DB636C7" w14:textId="77777777" w:rsidR="00236CC3" w:rsidRPr="00236CC3" w:rsidRDefault="00236CC3" w:rsidP="00236CC3">
            <w:pPr>
              <w:spacing w:after="60" w:line="240" w:lineRule="auto"/>
              <w:jc w:val="left"/>
              <w:rPr>
                <w:rFonts w:ascii="Tahoma" w:hAnsi="Tahoma" w:cs="Tahoma"/>
                <w:spacing w:val="-10"/>
              </w:rPr>
            </w:pPr>
          </w:p>
        </w:tc>
        <w:tc>
          <w:tcPr>
            <w:tcW w:w="2257" w:type="dxa"/>
            <w:tcBorders>
              <w:bottom w:val="single" w:sz="12" w:space="0" w:color="auto"/>
            </w:tcBorders>
            <w:vAlign w:val="bottom"/>
          </w:tcPr>
          <w:p w14:paraId="726023D7" w14:textId="77777777" w:rsidR="00236CC3" w:rsidRPr="00236CC3" w:rsidRDefault="00000000" w:rsidP="00236CC3">
            <w:pPr>
              <w:spacing w:after="60" w:line="240" w:lineRule="auto"/>
              <w:jc w:val="left"/>
              <w:rPr>
                <w:rFonts w:ascii="Tahoma" w:hAnsi="Tahoma" w:cs="Tahoma"/>
                <w:spacing w:val="-10"/>
                <w:sz w:val="36"/>
                <w:szCs w:val="36"/>
              </w:rPr>
            </w:pPr>
            <w:r w:rsidRPr="00236CC3">
              <w:rPr>
                <w:rFonts w:ascii="Tahoma" w:hAnsi="Tahoma" w:cs="Tahoma" w:hint="cs"/>
                <w:spacing w:val="-10"/>
                <w:sz w:val="36"/>
                <w:szCs w:val="36"/>
                <w:rtl/>
              </w:rPr>
              <w:t>26</w:t>
            </w:r>
            <w:r w:rsidRPr="00236CC3">
              <w:rPr>
                <w:rFonts w:ascii="Tahoma" w:hAnsi="Tahoma" w:cs="Tahoma" w:hint="cs"/>
                <w:spacing w:val="-10"/>
                <w:sz w:val="26"/>
                <w:szCs w:val="26"/>
                <w:rtl/>
              </w:rPr>
              <w:t xml:space="preserve"> שנים</w:t>
            </w:r>
          </w:p>
        </w:tc>
        <w:tc>
          <w:tcPr>
            <w:tcW w:w="335" w:type="dxa"/>
            <w:vAlign w:val="bottom"/>
          </w:tcPr>
          <w:p w14:paraId="6D4BEE1B" w14:textId="77777777" w:rsidR="00236CC3" w:rsidRPr="00236CC3" w:rsidRDefault="00236CC3" w:rsidP="00236CC3">
            <w:pPr>
              <w:spacing w:after="60" w:line="240" w:lineRule="auto"/>
              <w:jc w:val="left"/>
              <w:rPr>
                <w:rFonts w:ascii="Tahoma" w:hAnsi="Tahoma" w:cs="Tahoma"/>
                <w:spacing w:val="-10"/>
              </w:rPr>
            </w:pPr>
          </w:p>
        </w:tc>
        <w:tc>
          <w:tcPr>
            <w:tcW w:w="2098" w:type="dxa"/>
            <w:tcBorders>
              <w:bottom w:val="single" w:sz="12" w:space="0" w:color="auto"/>
            </w:tcBorders>
            <w:vAlign w:val="bottom"/>
          </w:tcPr>
          <w:p w14:paraId="14FA7D85" w14:textId="77777777" w:rsidR="00236CC3" w:rsidRPr="00236CC3" w:rsidRDefault="00000000" w:rsidP="00236CC3">
            <w:pPr>
              <w:spacing w:after="60" w:line="240" w:lineRule="auto"/>
              <w:jc w:val="left"/>
              <w:rPr>
                <w:rFonts w:ascii="Tahoma" w:hAnsi="Tahoma" w:cs="Tahoma"/>
                <w:spacing w:val="-10"/>
                <w:sz w:val="36"/>
                <w:szCs w:val="36"/>
              </w:rPr>
            </w:pPr>
            <w:r w:rsidRPr="00236CC3">
              <w:rPr>
                <w:rFonts w:ascii="Tahoma" w:hAnsi="Tahoma" w:cs="Tahoma" w:hint="cs"/>
                <w:spacing w:val="-10"/>
                <w:sz w:val="36"/>
                <w:szCs w:val="36"/>
                <w:rtl/>
              </w:rPr>
              <w:t>15</w:t>
            </w:r>
            <w:r w:rsidRPr="00236CC3">
              <w:rPr>
                <w:rFonts w:ascii="Tahoma" w:hAnsi="Tahoma" w:cs="Tahoma" w:hint="cs"/>
                <w:spacing w:val="-10"/>
                <w:sz w:val="26"/>
                <w:szCs w:val="26"/>
                <w:rtl/>
              </w:rPr>
              <w:t xml:space="preserve"> שנים</w:t>
            </w:r>
          </w:p>
        </w:tc>
      </w:tr>
      <w:tr w:rsidR="004F19B3" w14:paraId="6980BB62" w14:textId="77777777" w:rsidTr="00236CC3">
        <w:trPr>
          <w:trHeight w:val="70"/>
        </w:trPr>
        <w:tc>
          <w:tcPr>
            <w:tcW w:w="9688" w:type="dxa"/>
            <w:gridSpan w:val="7"/>
            <w:vAlign w:val="center"/>
          </w:tcPr>
          <w:p w14:paraId="773FE6A8" w14:textId="77777777" w:rsidR="00236CC3" w:rsidRPr="00236CC3" w:rsidRDefault="00236CC3" w:rsidP="00236CC3">
            <w:pPr>
              <w:rPr>
                <w:rFonts w:ascii="Tahoma" w:hAnsi="Tahoma" w:cs="Tahoma"/>
                <w:spacing w:val="-10"/>
                <w:sz w:val="6"/>
                <w:szCs w:val="6"/>
                <w:rtl/>
              </w:rPr>
            </w:pPr>
          </w:p>
        </w:tc>
      </w:tr>
      <w:tr w:rsidR="004F19B3" w14:paraId="1E3422A1" w14:textId="77777777" w:rsidTr="00236CC3">
        <w:trPr>
          <w:trHeight w:val="1153"/>
        </w:trPr>
        <w:tc>
          <w:tcPr>
            <w:tcW w:w="2189" w:type="dxa"/>
          </w:tcPr>
          <w:p w14:paraId="0AA17E4A"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הושקעו בטרקליני העסקים בשער אפרים ובגלבוע: בפועל הפעילות בטרקלין בשער אפרים מועטה, וטרם הושלמה הקמת הטרקלין בגלבוע</w:t>
            </w:r>
          </w:p>
        </w:tc>
        <w:tc>
          <w:tcPr>
            <w:tcW w:w="335" w:type="dxa"/>
          </w:tcPr>
          <w:p w14:paraId="70768EA2" w14:textId="77777777" w:rsidR="00236CC3" w:rsidRPr="00236CC3" w:rsidRDefault="00236CC3" w:rsidP="00236CC3">
            <w:pPr>
              <w:spacing w:line="240" w:lineRule="exact"/>
              <w:jc w:val="left"/>
              <w:rPr>
                <w:rFonts w:ascii="Tahoma" w:hAnsi="Tahoma" w:cs="Tahoma"/>
                <w:sz w:val="19"/>
                <w:szCs w:val="19"/>
                <w:rtl/>
              </w:rPr>
            </w:pPr>
          </w:p>
        </w:tc>
        <w:tc>
          <w:tcPr>
            <w:tcW w:w="2139" w:type="dxa"/>
          </w:tcPr>
          <w:p w14:paraId="0F4ACE12" w14:textId="77777777" w:rsidR="00236CC3" w:rsidRPr="00236CC3" w:rsidRDefault="00000000" w:rsidP="00236CC3">
            <w:pPr>
              <w:spacing w:line="288" w:lineRule="auto"/>
              <w:ind w:right="23"/>
              <w:jc w:val="left"/>
              <w:rPr>
                <w:rFonts w:ascii="Tahoma" w:hAnsi="Tahoma" w:cs="Tahoma"/>
                <w:sz w:val="19"/>
                <w:szCs w:val="19"/>
                <w:rtl/>
              </w:rPr>
            </w:pPr>
            <w:r w:rsidRPr="00236CC3">
              <w:rPr>
                <w:rFonts w:ascii="Tahoma" w:hAnsi="Tahoma" w:cs="Tahoma"/>
                <w:sz w:val="19"/>
                <w:szCs w:val="19"/>
                <w:rtl/>
              </w:rPr>
              <w:t xml:space="preserve">הושקעו בבניית הגשר בפרויקט שער הירדן; </w:t>
            </w:r>
          </w:p>
          <w:p w14:paraId="43D04DB3" w14:textId="77777777" w:rsidR="00236CC3" w:rsidRPr="00236CC3" w:rsidRDefault="00236CC3" w:rsidP="00236CC3">
            <w:pPr>
              <w:spacing w:line="240" w:lineRule="auto"/>
              <w:rPr>
                <w:rFonts w:ascii="Tahoma" w:hAnsi="Tahoma" w:cs="Tahoma"/>
                <w:sz w:val="19"/>
                <w:szCs w:val="19"/>
                <w:rtl/>
              </w:rPr>
            </w:pPr>
          </w:p>
        </w:tc>
        <w:tc>
          <w:tcPr>
            <w:tcW w:w="335" w:type="dxa"/>
          </w:tcPr>
          <w:p w14:paraId="2941989B" w14:textId="77777777" w:rsidR="00236CC3" w:rsidRPr="00236CC3" w:rsidRDefault="00236CC3" w:rsidP="00236CC3">
            <w:pPr>
              <w:spacing w:line="240" w:lineRule="exact"/>
              <w:jc w:val="left"/>
              <w:rPr>
                <w:rFonts w:ascii="Tahoma" w:hAnsi="Tahoma" w:cs="Tahoma"/>
                <w:sz w:val="19"/>
                <w:szCs w:val="19"/>
                <w:rtl/>
              </w:rPr>
            </w:pPr>
          </w:p>
        </w:tc>
        <w:tc>
          <w:tcPr>
            <w:tcW w:w="2257" w:type="dxa"/>
          </w:tcPr>
          <w:p w14:paraId="54883E36"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חלפו מהמועד שבו נחתם מול ממלכת ירדן ההסכם להקמת פרויקט שער הירדן.</w:t>
            </w:r>
            <w:r w:rsidRPr="00236CC3">
              <w:rPr>
                <w:rFonts w:ascii="Tahoma" w:hAnsi="Tahoma" w:cs="Tahoma" w:hint="cs"/>
                <w:sz w:val="19"/>
                <w:szCs w:val="19"/>
                <w:rtl/>
              </w:rPr>
              <w:t xml:space="preserve"> </w:t>
            </w:r>
            <w:r w:rsidRPr="00236CC3">
              <w:rPr>
                <w:rFonts w:ascii="Tahoma" w:hAnsi="Tahoma" w:cs="Tahoma"/>
                <w:sz w:val="19"/>
                <w:szCs w:val="19"/>
                <w:rtl/>
              </w:rPr>
              <w:t>בפועל הקמתו נעצרה</w:t>
            </w:r>
          </w:p>
        </w:tc>
        <w:tc>
          <w:tcPr>
            <w:tcW w:w="335" w:type="dxa"/>
          </w:tcPr>
          <w:p w14:paraId="09C77789" w14:textId="77777777" w:rsidR="00236CC3" w:rsidRPr="00236CC3" w:rsidRDefault="00236CC3" w:rsidP="00236CC3">
            <w:pPr>
              <w:spacing w:line="240" w:lineRule="exact"/>
              <w:jc w:val="left"/>
              <w:rPr>
                <w:rFonts w:ascii="Tahoma" w:hAnsi="Tahoma" w:cs="Tahoma"/>
                <w:sz w:val="19"/>
                <w:szCs w:val="19"/>
                <w:rtl/>
              </w:rPr>
            </w:pPr>
          </w:p>
        </w:tc>
        <w:tc>
          <w:tcPr>
            <w:tcW w:w="2098" w:type="dxa"/>
          </w:tcPr>
          <w:p w14:paraId="4441750C" w14:textId="77777777" w:rsidR="00236CC3" w:rsidRPr="00236CC3" w:rsidRDefault="00000000" w:rsidP="00236CC3">
            <w:pPr>
              <w:spacing w:line="240" w:lineRule="auto"/>
              <w:ind w:right="23"/>
              <w:jc w:val="left"/>
              <w:rPr>
                <w:rFonts w:ascii="Tahoma" w:hAnsi="Tahoma" w:cs="Tahoma"/>
                <w:sz w:val="19"/>
                <w:szCs w:val="19"/>
                <w:rtl/>
              </w:rPr>
            </w:pPr>
            <w:r w:rsidRPr="00236CC3">
              <w:rPr>
                <w:rFonts w:ascii="Tahoma" w:hAnsi="Tahoma" w:cs="Tahoma"/>
                <w:sz w:val="19"/>
                <w:szCs w:val="19"/>
                <w:rtl/>
              </w:rPr>
              <w:t>חלפו ממועד החלטת הממשלה על הקמתה של ועדת שרים לשיתוף פעולה אזורי, אך ה</w:t>
            </w:r>
            <w:r w:rsidRPr="00236CC3">
              <w:rPr>
                <w:rFonts w:ascii="Tahoma" w:hAnsi="Tahoma" w:cs="Tahoma" w:hint="cs"/>
                <w:sz w:val="19"/>
                <w:szCs w:val="19"/>
                <w:rtl/>
              </w:rPr>
              <w:t>ו</w:t>
            </w:r>
            <w:r w:rsidRPr="00236CC3">
              <w:rPr>
                <w:rFonts w:ascii="Tahoma" w:hAnsi="Tahoma" w:cs="Tahoma"/>
                <w:sz w:val="19"/>
                <w:szCs w:val="19"/>
                <w:rtl/>
              </w:rPr>
              <w:t>ועדה לא הוקמה</w:t>
            </w:r>
          </w:p>
        </w:tc>
      </w:tr>
    </w:tbl>
    <w:p w14:paraId="51214916" w14:textId="77777777" w:rsidR="00236CC3" w:rsidRPr="00236CC3" w:rsidRDefault="00236CC3" w:rsidP="00236CC3">
      <w:pPr>
        <w:spacing w:line="288" w:lineRule="auto"/>
        <w:rPr>
          <w:rFonts w:ascii="Tahoma" w:hAnsi="Tahoma" w:cs="Tahoma"/>
          <w:rtl/>
        </w:rPr>
      </w:pPr>
    </w:p>
    <w:p w14:paraId="04FDBF97" w14:textId="77777777" w:rsidR="00236CC3" w:rsidRPr="00236CC3" w:rsidRDefault="00236CC3" w:rsidP="00236CC3">
      <w:pPr>
        <w:spacing w:line="288" w:lineRule="auto"/>
        <w:ind w:left="-710"/>
        <w:rPr>
          <w:rFonts w:ascii="Tahoma" w:hAnsi="Tahoma" w:cs="Tahoma"/>
          <w:rtl/>
        </w:rPr>
      </w:pPr>
    </w:p>
    <w:p w14:paraId="15ABBB3B" w14:textId="77777777" w:rsidR="00236CC3" w:rsidRPr="00236CC3" w:rsidRDefault="00000000" w:rsidP="00236CC3">
      <w:pPr>
        <w:spacing w:line="288" w:lineRule="auto"/>
        <w:ind w:left="-710"/>
        <w:rPr>
          <w:rFonts w:ascii="Tahoma" w:hAnsi="Tahoma" w:cs="Tahoma"/>
          <w:noProof/>
          <w:rtl/>
        </w:rPr>
      </w:pPr>
      <w:r w:rsidRPr="00236CC3">
        <w:rPr>
          <w:rFonts w:ascii="Tahoma" w:hAnsi="Tahoma" w:cs="Tahoma"/>
          <w:noProof/>
        </w:rPr>
        <w:drawing>
          <wp:inline distT="0" distB="0" distL="0" distR="0" wp14:anchorId="07E53AE4" wp14:editId="0010E5AB">
            <wp:extent cx="6104255" cy="438829"/>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783A82D3" w14:textId="77777777" w:rsidR="00236CC3" w:rsidRPr="00236CC3" w:rsidRDefault="00236CC3" w:rsidP="00236CC3">
      <w:pPr>
        <w:spacing w:line="288" w:lineRule="auto"/>
        <w:ind w:left="-710"/>
        <w:rPr>
          <w:rFonts w:ascii="Tahoma" w:hAnsi="Tahoma" w:cs="Tahoma"/>
          <w:noProof/>
          <w:rtl/>
        </w:rPr>
      </w:pPr>
    </w:p>
    <w:p w14:paraId="77B9C1EC" w14:textId="77777777" w:rsidR="00236CC3" w:rsidRPr="00236CC3" w:rsidRDefault="00000000" w:rsidP="00236CC3">
      <w:pPr>
        <w:spacing w:line="288" w:lineRule="auto"/>
        <w:ind w:left="-710" w:right="-567"/>
        <w:rPr>
          <w:rFonts w:ascii="Tahoma" w:hAnsi="Tahoma" w:cs="Tahoma"/>
          <w:rtl/>
        </w:rPr>
      </w:pPr>
      <w:r w:rsidRPr="00236CC3">
        <w:rPr>
          <w:rFonts w:ascii="Tahoma" w:hAnsi="Tahoma" w:cs="Tahoma"/>
          <w:noProof/>
          <w:rtl/>
        </w:rPr>
        <w:drawing>
          <wp:inline distT="0" distB="0" distL="0" distR="0" wp14:anchorId="23478460" wp14:editId="09AE13A6">
            <wp:extent cx="2616789" cy="200650"/>
            <wp:effectExtent l="0" t="0" r="0" b="9525"/>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2C5182E1"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bookmarkStart w:id="37" w:name="_Hlk173842116"/>
      <w:r w:rsidRPr="00236CC3">
        <w:rPr>
          <w:rFonts w:ascii="Tahoma" w:hAnsi="Tahoma" w:cs="Tahoma"/>
          <w:b/>
          <w:bCs/>
          <w:sz w:val="19"/>
          <w:szCs w:val="19"/>
          <w:rtl/>
        </w:rPr>
        <w:t xml:space="preserve">החלטת הממשלה על הקמת המשרד לשיתוף פעולה אזורי </w:t>
      </w:r>
      <w:r w:rsidRPr="00236CC3">
        <w:rPr>
          <w:rFonts w:ascii="Tahoma" w:hAnsi="Tahoma" w:cs="Tahoma"/>
          <w:sz w:val="19"/>
          <w:szCs w:val="19"/>
          <w:rtl/>
        </w:rPr>
        <w:t>-</w:t>
      </w:r>
      <w:r w:rsidRPr="00236CC3">
        <w:rPr>
          <w:rFonts w:ascii="Tahoma" w:hAnsi="Tahoma" w:cs="Tahoma" w:hint="cs"/>
          <w:sz w:val="19"/>
          <w:szCs w:val="19"/>
          <w:rtl/>
        </w:rPr>
        <w:t xml:space="preserve"> </w:t>
      </w:r>
      <w:r w:rsidRPr="00236CC3">
        <w:rPr>
          <w:rFonts w:ascii="Tahoma" w:hAnsi="Tahoma" w:cs="Tahoma"/>
          <w:sz w:val="19"/>
          <w:szCs w:val="19"/>
          <w:rtl/>
        </w:rPr>
        <w:t xml:space="preserve">בהחלטת הממשלה מיוני 2009 על הקמת המשרד לשתפ"א הוגדר תפקידו של המשרד אך לא הוגדרו סמכויותיו, שלא כמו במשרד לפיתוח הנגב והגליל שלגביו הוגדרו סמכויות בהחלטת הממשלה שעסקה בהקמתו, ושלא כמו בהחלטת הממשלה שעסקה ברשות לפיתוח חברתי כלכלי של המגזר הדרוזי והצ'רקסי. עלה כי אין בהחלטת הממשלה או במקור מחייב אחר הגדרה ברורה של אחריות המשרד לשתפ"א, וכי כדי לקדם ולהוציא לפועל את הפרויקטים המרכזיים שעליהם הוא אמון, הוא תלוי ברצונם הטוב של המשרדים והגופים הממשלתיים האחרים. כתוצאה מכך מרבית הפרויקטים של המשרד התעכבו במשך שנים רבות וטרם הבשילו. כך לדוגמה התעכבה השלמתו של פרויקט </w:t>
      </w:r>
      <w:r w:rsidRPr="00236CC3">
        <w:rPr>
          <w:rFonts w:ascii="Tahoma" w:hAnsi="Tahoma" w:cs="Tahoma"/>
          <w:sz w:val="19"/>
          <w:szCs w:val="19"/>
          <w:rtl/>
        </w:rPr>
        <w:lastRenderedPageBreak/>
        <w:t>"שער הירדן", אף שחלפו כ-26 שנים מיום חתימת ההסכם להקמתו וכ-12 שנים ממועד החלטת הממשלה הראשונה אשר עסקה בפרויקט זה.</w:t>
      </w:r>
    </w:p>
    <w:p w14:paraId="4E16CD3A"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ועדת השרים לשיתוף פעולה אזורי</w:t>
      </w:r>
      <w:r w:rsidRPr="00236CC3">
        <w:rPr>
          <w:rFonts w:ascii="Tahoma" w:hAnsi="Tahoma" w:cs="Tahoma"/>
          <w:sz w:val="19"/>
          <w:szCs w:val="19"/>
          <w:rtl/>
        </w:rPr>
        <w:t xml:space="preserve"> - בהחלטת הממשלה מיוני 2009 אשר עסקה בהקמת המשרד לשתפ"א נקבע כי תוקם ועדת שרים לשיתוף פעולה אזורי בראשות השר לשיתוף פעולה אזורי, וכי הרכבה וסמכויותיה ייקבעו בהחלטת ממשלה נפרדת. למרות האמור בהחלטת הממשלה משנת 2009, ועדת השרים לשיתוף פעולה אזורי לא הוקמה ולא התכנסה.</w:t>
      </w:r>
    </w:p>
    <w:p w14:paraId="5BCBFB97"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המבנה הארגוני של המשרד לשיתוף פעולה אזורי</w:t>
      </w:r>
      <w:r w:rsidRPr="00236CC3">
        <w:rPr>
          <w:rFonts w:ascii="Tahoma" w:hAnsi="Tahoma" w:cs="Tahoma"/>
          <w:sz w:val="19"/>
          <w:szCs w:val="19"/>
          <w:rtl/>
        </w:rPr>
        <w:t xml:space="preserve"> - בשנים שנבדקו מצבת כוח האדם של המשרד עמדה בממוצע על 84% מהתקן (29 משרות מאוישות מתוך תקן של 34.5 משרות בממוצע). יתרה מכך, בביקורת נמצא כי כ-20 תקנים (מתוך 34.5 תקנים בממוצע) יועדו לעובדים במשרות אמון בלשכות השר והמנכ"ל, ואילו איוש התפקידים המקצועיים במשרד היה חסר. עקב כך נוצרה תלות רבה של המשרד בבעל תפקיד אחד: מנהל אגף הכלכלה, אשר מכהן בתפקידו מיולי 2017, שכן הוא, בין העובדים בדרג המקצועי, היחידים שנשארו במשרד לאורך זמן.</w:t>
      </w:r>
    </w:p>
    <w:p w14:paraId="3B7FC1AC"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ביקורת פנימית במשרד לשיתוף פעולה אזורי</w:t>
      </w:r>
      <w:r w:rsidRPr="00236CC3">
        <w:rPr>
          <w:rFonts w:ascii="Tahoma" w:hAnsi="Tahoma" w:cs="Tahoma"/>
          <w:sz w:val="19"/>
          <w:szCs w:val="19"/>
          <w:rtl/>
        </w:rPr>
        <w:t xml:space="preserve"> - למרות החשיבות הרבה של הפרויקטים "שער הירדן" ו"תעלת הימים", של הפעילויות המבוצעות במסגרת הקולות הקוראים שמפרסם המשרד לשתפ"א ושל התמיכות שהוא מעניק לפי סעיף 3א לחוק התקציב, לא נערכה ביקורת פנימית לבדיקת הפרויקטים והפעולות האמורים לעיל. היעדרה של ביקורת פנימית לבדיקת הפרויקטים שבאחריות המשרד לשתפ"א, הפעילות על פי הקולות הקוראים, התמיכות והפעילויות הכספיות השונות של המשרד אינו מאפשר להצביע לפני הנהלת המשרד והגורמים הרלוונטיים על העיכובים המשמעותיים במימושם של הפרויקטים השונים ואף אינו מאפשר הפקת לקחים לפרויקטים אחרים.</w:t>
      </w:r>
    </w:p>
    <w:p w14:paraId="2F35B9F4"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פרויקט שער הירדן</w:t>
      </w:r>
      <w:r w:rsidRPr="00236CC3">
        <w:rPr>
          <w:rFonts w:ascii="Tahoma" w:hAnsi="Tahoma" w:cs="Tahoma"/>
          <w:sz w:val="19"/>
          <w:szCs w:val="19"/>
          <w:rtl/>
        </w:rPr>
        <w:t xml:space="preserve"> - פרויקט שער הירדן הוא פרויקט להקמת פארק תעשייתי משותף לישראל ולממלכת ירדן. בצידו הירדני של הפרויקט היו אמורים לקום מפעלים ישראליים וירדניים, וצידו הישראלי אמור לשמש עורף לוגיסטי ובסיס להעברת הסחורות לנמלי ישראל. אף על פי שהושקע בפרויקט עד כה סכום של למעלה מ-60 מיליון ש"ח, ואף שחלפו כ-26 שנים מיום חתימת ההסכם להקמתו וכ-12 שנים ממועד החלטת הממשלה הראשונה אשר עסקה בפרויקט זה באופן מעשי, נכון למועד סיום הביקורת נעצרה הקמתו של פרויקט שער הירדן, ולמעשה, מאז הקמתו של הגשר בשנת 2019 לא בוצעה שום פעולה לבנייה או להקמה של תשתיות נוספות לקידום הפרויקט בצידו הישראלי. המשך העיכוב של פרויקט שער הירדן עלול לגרום לאובדן התועלות הכלכליות אשר היו טמונות בו לכתחילה ולאובדן השקעה של למעלה מ-60 מיליוני ש"ח, ויש בו כדי לפגוע ביחסי האמון שבין ממלכת ירדן למדינת ישראל.</w:t>
      </w:r>
    </w:p>
    <w:p w14:paraId="3B2B90A5"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מימוש הפרויקטים בתוכניות העבודה של המשרד</w:t>
      </w:r>
      <w:r w:rsidRPr="00236CC3">
        <w:rPr>
          <w:rFonts w:ascii="Tahoma" w:hAnsi="Tahoma" w:cs="Tahoma"/>
          <w:sz w:val="19"/>
          <w:szCs w:val="19"/>
          <w:rtl/>
        </w:rPr>
        <w:t xml:space="preserve"> - 45% ממדדי ההצלחה וכ-40% מהמדדים המרכזיים של המשרד בשנים 2019 ו-2022 במצטבר לא הושגו באופן מלא. כך לדוגמה, נמצא כי המשרד לשתפ"א לא השיג באופן מלא 80% מהמדדים המרכזיים שנקבעו בשנת 2022 למטרות "קידום שיתופי פעולה כלכליים ואזרחיים בין ישראלים ופלסטינים לתועלת ההדדית של שתי החברות והכלכלות" ו"ביסוס המשרד כמוקד ידע בתחום שיתוף הפעולה האזורי". אי-השגת מרבית מדדי ההצלחה והמדדים המרכזיים של המשרד עשויה להעיד על תכנון לקוי של תוכנית העבודה השנתית ושל קביעת מטרות המשרד ויעדיו, על שימוש לא יעיל ולא מועיל של המשרד במשאביו ועל קשייו להתמודד עם שינויים ועם אירועים לא צפויים המתרחשים בסביבתו.</w:t>
      </w:r>
    </w:p>
    <w:p w14:paraId="1158DCF7"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tl/>
        </w:rPr>
      </w:pPr>
      <w:r w:rsidRPr="00236CC3">
        <w:rPr>
          <w:rFonts w:ascii="Tahoma" w:hAnsi="Tahoma" w:cs="Tahoma"/>
          <w:b/>
          <w:bCs/>
          <w:sz w:val="19"/>
          <w:szCs w:val="19"/>
          <w:rtl/>
        </w:rPr>
        <w:lastRenderedPageBreak/>
        <w:t xml:space="preserve">שיעורי הביצוע התקציבי של המשרד </w:t>
      </w:r>
      <w:r w:rsidRPr="00236CC3">
        <w:rPr>
          <w:rFonts w:ascii="Tahoma" w:hAnsi="Tahoma" w:cs="Tahoma" w:hint="cs"/>
          <w:sz w:val="19"/>
          <w:szCs w:val="19"/>
          <w:rtl/>
        </w:rPr>
        <w:t xml:space="preserve">- </w:t>
      </w:r>
      <w:r w:rsidRPr="00236CC3">
        <w:rPr>
          <w:rFonts w:ascii="Tahoma" w:hAnsi="Tahoma" w:cs="Tahoma"/>
          <w:sz w:val="19"/>
          <w:szCs w:val="19"/>
          <w:rtl/>
        </w:rPr>
        <w:t>במהלך השנים 2018 - 2023 אושר למשרד תקציב בסך של כ-39.3 - 73.7 מיליון ש"ח; מתוכו ביצע המשרד עד כ-49% מתקציבו המאושר הכולל ו-12% - 41% בלבד מהתקציב המיועד לייזום פרויקטים ולמימוש תוכניותיו. נוסף על כך, באופן מצטבר בשנים 2018 - 2023 המשרד הוציא לצורך תפעולו סכומים הגבוהים בכ-40% מהסכומים שהוציא בגין פעולותיו לצורך מימוש ייעודו, ובשנים 2018 - 2019 הוציא המשרד כ-85% ממשאביו הכספיים לצורך תשלום שכר והוצאות תפעול.</w:t>
      </w:r>
    </w:p>
    <w:p w14:paraId="1921AD19"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 xml:space="preserve">פרויקטים של טרקליני עסקים במעברים היבשתיים מהרשות הפלסטינית </w:t>
      </w:r>
      <w:r w:rsidRPr="00236CC3">
        <w:rPr>
          <w:rFonts w:ascii="Tahoma" w:hAnsi="Tahoma" w:cs="Tahoma"/>
          <w:sz w:val="19"/>
          <w:szCs w:val="19"/>
          <w:rtl/>
        </w:rPr>
        <w:t xml:space="preserve">- לאורך השנים קיימת מגמה של ירידה בפעילות העסקית בטרקלין שער אפרים, אשר עלות הקמתו עמדה על כ-4 מיליון ש"ח, מתוך כלל הפעילויות. הירידה מתבטאת הן בכמות המשתתפים בפעילויות העסקיות - מ-609 משתתפים בשנת 2018 </w:t>
      </w:r>
      <w:r w:rsidRPr="00236CC3">
        <w:rPr>
          <w:rFonts w:ascii="Tahoma" w:hAnsi="Tahoma" w:cs="Tahoma"/>
          <w:sz w:val="19"/>
          <w:szCs w:val="19"/>
          <w:rtl/>
        </w:rPr>
        <w:br/>
        <w:t>ל-405 משתתפים בשנת 2023, והן בשיעור הפעילויות העסקיות - מ-88% בשנת 2018 ל-60% בשנת 2023 - אשר להן יועד טרקלין העסקים במקור. אף על פי שהמקום יועד מלכתחילה לקיום מפגשים בין אנשי עסקים, אין בו עזרים מקובלים התומכים בהם, כגון חיבור אינטרנט אלחוטי, מדפסות ועמדות מחשב. נוסף על כך, בנייתו של טרקלין העסקים שבמעבר גלבוע, אשר עלות תכנונו והקמתו תוקצבה על ידי המשרד לשתפ"א ב-3 מיליון ש"ח, טרם הושלמה, והוא איננו ממלא את ייעודו המקורי.</w:t>
      </w:r>
    </w:p>
    <w:p w14:paraId="3BFA68DB" w14:textId="77777777" w:rsidR="00236CC3" w:rsidRPr="00236CC3" w:rsidRDefault="00000000" w:rsidP="00236CC3">
      <w:pPr>
        <w:numPr>
          <w:ilvl w:val="0"/>
          <w:numId w:val="21"/>
        </w:numPr>
        <w:spacing w:after="120" w:line="288" w:lineRule="auto"/>
        <w:ind w:left="-142" w:right="-567" w:hanging="595"/>
        <w:rPr>
          <w:rFonts w:ascii="Tahoma" w:hAnsi="Tahoma" w:cs="Tahoma"/>
          <w:sz w:val="19"/>
          <w:szCs w:val="19"/>
        </w:rPr>
      </w:pPr>
      <w:r w:rsidRPr="00236CC3">
        <w:rPr>
          <w:rFonts w:ascii="Tahoma" w:hAnsi="Tahoma" w:cs="Tahoma"/>
          <w:b/>
          <w:bCs/>
          <w:sz w:val="19"/>
          <w:szCs w:val="19"/>
          <w:rtl/>
        </w:rPr>
        <w:t>הוועדה הכלכלית המשותפת לישראל ולפלסטינים (</w:t>
      </w:r>
      <w:r w:rsidRPr="00236CC3">
        <w:rPr>
          <w:rFonts w:ascii="Tahoma" w:hAnsi="Tahoma" w:cs="Tahoma"/>
          <w:b/>
          <w:bCs/>
          <w:sz w:val="19"/>
          <w:szCs w:val="19"/>
        </w:rPr>
        <w:t>JEC</w:t>
      </w:r>
      <w:r w:rsidRPr="00236CC3">
        <w:rPr>
          <w:rFonts w:ascii="Tahoma" w:hAnsi="Tahoma" w:cs="Tahoma"/>
          <w:b/>
          <w:bCs/>
          <w:sz w:val="19"/>
          <w:szCs w:val="19"/>
          <w:rtl/>
        </w:rPr>
        <w:t>)</w:t>
      </w:r>
      <w:r w:rsidRPr="00236CC3">
        <w:rPr>
          <w:rFonts w:ascii="Tahoma" w:hAnsi="Tahoma" w:cs="Tahoma"/>
          <w:sz w:val="19"/>
          <w:szCs w:val="19"/>
          <w:rtl/>
        </w:rPr>
        <w:t xml:space="preserve"> - למרות החשיבות המיוחסת לכינוסה של הוועדה הכלכלית המשותפת לישראל ולפלסטינים (</w:t>
      </w:r>
      <w:r w:rsidRPr="00236CC3">
        <w:rPr>
          <w:rFonts w:ascii="Tahoma" w:hAnsi="Tahoma" w:cs="Tahoma"/>
          <w:sz w:val="19"/>
          <w:szCs w:val="19"/>
        </w:rPr>
        <w:t>JEC</w:t>
      </w:r>
      <w:r w:rsidRPr="00236CC3">
        <w:rPr>
          <w:rFonts w:ascii="Tahoma" w:hAnsi="Tahoma" w:cs="Tahoma"/>
          <w:sz w:val="19"/>
          <w:szCs w:val="19"/>
          <w:rtl/>
        </w:rPr>
        <w:t>) ולמרות העובדה כי כינוסה נמנה עם אחת המשימות העיקריות ואף נכלל בתוכנית העבודה של המשרד, עד סיום מועד הביקורת בינואר 2024 (תחת המשרד לשתפ"א) התכנסה ועדת ה-</w:t>
      </w:r>
      <w:r w:rsidRPr="00236CC3">
        <w:rPr>
          <w:rFonts w:ascii="Tahoma" w:hAnsi="Tahoma" w:cs="Tahoma"/>
          <w:sz w:val="19"/>
          <w:szCs w:val="19"/>
        </w:rPr>
        <w:t>JEC</w:t>
      </w:r>
      <w:r w:rsidRPr="00236CC3">
        <w:rPr>
          <w:rFonts w:ascii="Tahoma" w:hAnsi="Tahoma" w:cs="Tahoma"/>
          <w:sz w:val="19"/>
          <w:szCs w:val="19"/>
          <w:rtl/>
        </w:rPr>
        <w:t xml:space="preserve"> רק פעם אחת ב-2.9.09. יצוין כי ביוני 2023 היה אמור להתקיים כינוס של ועדה זו, אולם כינוסה נדחה על ידי הפלסטינים. גם ב-13.9.23 תוכנן כינוס של ועדה זו, אולם הפלסטינים ביקשו שוב לדחות את הכינוס ל-26.10.23. עקב פרוץ מלחמת חרבות ברזל ב-7.10.23 הוועדה לא התכנסה במועד שנקבע, ובשלב זה אין צפי למועד כינוס הוועדה.</w:t>
      </w:r>
    </w:p>
    <w:p w14:paraId="10956C0F" w14:textId="77777777" w:rsidR="00236CC3" w:rsidRPr="00236CC3" w:rsidRDefault="00000000" w:rsidP="00236CC3">
      <w:pPr>
        <w:numPr>
          <w:ilvl w:val="0"/>
          <w:numId w:val="21"/>
        </w:numPr>
        <w:spacing w:after="240" w:line="288" w:lineRule="auto"/>
        <w:ind w:left="-143" w:right="-567" w:hanging="595"/>
        <w:contextualSpacing/>
        <w:rPr>
          <w:rFonts w:ascii="Tahoma" w:hAnsi="Tahoma" w:cs="Tahoma"/>
          <w:sz w:val="19"/>
          <w:szCs w:val="19"/>
          <w:rtl/>
        </w:rPr>
      </w:pPr>
      <w:r w:rsidRPr="00236CC3">
        <w:rPr>
          <w:rFonts w:ascii="Tahoma" w:hAnsi="Tahoma" w:cs="Tahoma"/>
          <w:b/>
          <w:bCs/>
          <w:sz w:val="19"/>
          <w:szCs w:val="19"/>
          <w:rtl/>
        </w:rPr>
        <w:t>יישום המלצות העבודה האסטרטגית</w:t>
      </w:r>
      <w:r w:rsidRPr="00236CC3">
        <w:rPr>
          <w:rFonts w:ascii="Tahoma" w:hAnsi="Tahoma" w:cs="Tahoma"/>
          <w:sz w:val="19"/>
          <w:szCs w:val="19"/>
          <w:rtl/>
        </w:rPr>
        <w:t xml:space="preserve"> - נמצא כי המשרד לשתפ"א, על אף הכרתו בצרכים האסטרטגיים ברמת הפיתוח האזורי, לא קידם את המלצות העבודה האסטרטגית משנת 2021 לבחינת חלופות בתחומים של שיפור הביטחון התזונתי, שימור הימים וחיבור בין גופים מתמחים שונים, אשר יוכלו להתוות את דרך פעולתו לאורך זמן לצורך הגשמת יעדיו.</w:t>
      </w:r>
    </w:p>
    <w:p w14:paraId="4F5F2E66" w14:textId="77777777" w:rsidR="00236CC3" w:rsidRPr="00236CC3" w:rsidRDefault="00000000" w:rsidP="00236CC3">
      <w:pPr>
        <w:spacing w:after="240" w:line="288" w:lineRule="auto"/>
        <w:ind w:left="-283" w:right="-567" w:hanging="454"/>
        <w:rPr>
          <w:rFonts w:ascii="Tahoma" w:hAnsi="Tahoma" w:cs="Tahoma"/>
          <w:sz w:val="19"/>
          <w:szCs w:val="19"/>
          <w:rtl/>
        </w:rPr>
      </w:pPr>
      <w:r w:rsidRPr="00236CC3">
        <w:rPr>
          <w:rFonts w:ascii="Tahoma" w:hAnsi="Tahoma" w:cs="Tahoma"/>
          <w:noProof/>
          <w:sz w:val="19"/>
          <w:szCs w:val="19"/>
          <w:rtl/>
        </w:rPr>
        <w:drawing>
          <wp:inline distT="0" distB="0" distL="0" distR="0" wp14:anchorId="76346DF7" wp14:editId="546B9271">
            <wp:extent cx="2710450" cy="207831"/>
            <wp:effectExtent l="0" t="0" r="0" b="190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1183ECAE" w14:textId="77777777" w:rsidR="00236CC3" w:rsidRPr="00236CC3" w:rsidRDefault="00000000" w:rsidP="00236CC3">
      <w:pPr>
        <w:spacing w:after="240" w:line="288" w:lineRule="auto"/>
        <w:ind w:left="-150" w:right="-567"/>
        <w:rPr>
          <w:rFonts w:ascii="Tahoma" w:hAnsi="Tahoma" w:cs="Tahoma"/>
          <w:sz w:val="19"/>
          <w:szCs w:val="19"/>
          <w:rtl/>
        </w:rPr>
      </w:pPr>
      <w:r w:rsidRPr="00236CC3">
        <w:rPr>
          <w:rFonts w:ascii="Tahoma" w:hAnsi="Tahoma" w:cs="Tahoma"/>
          <w:b/>
          <w:bCs/>
          <w:sz w:val="19"/>
          <w:szCs w:val="19"/>
          <w:rtl/>
        </w:rPr>
        <w:t xml:space="preserve">הגברת שיתופי פעולה עם מרוקו </w:t>
      </w:r>
      <w:r w:rsidRPr="00236CC3">
        <w:rPr>
          <w:rFonts w:ascii="Tahoma" w:hAnsi="Tahoma" w:cs="Tahoma"/>
          <w:sz w:val="19"/>
          <w:szCs w:val="19"/>
          <w:rtl/>
        </w:rPr>
        <w:t>- משרד מבקר המדינה מציין לחיוב את הפרויקטים ואת שיתופי הפעולה השונים אשר יזם המשרד עם הגופים במרוקו בתחומי הוצאת משלחות למרוקו, ארגון כנסים בתחומי התרבות, הספורט והאקדמיה, אירוח משלחת משפיענים ממרוקו בנובמבר 2022, קידום החתימה על הסכם ההבנות לשיתוף פעולה בין לשכות עורכי הדין של המדינות במאי 2022 וכן אירוח של משלחת ראשי המגזר העסקי של מרוקו בישראל במרץ 2022 ביוזמה משותפת, בעלות של כ-4 מיליוני ש"ח, ואשר יש בהם כדי להגביר את שיתוף הפעולה וקירוב הלבבות בין העמים.</w:t>
      </w:r>
    </w:p>
    <w:p w14:paraId="0D1B78BA" w14:textId="77777777" w:rsidR="00236CC3" w:rsidRPr="00236CC3" w:rsidRDefault="00000000" w:rsidP="00236CC3">
      <w:pPr>
        <w:spacing w:after="240" w:line="288" w:lineRule="auto"/>
        <w:ind w:left="-150" w:right="-567"/>
        <w:rPr>
          <w:rFonts w:ascii="Tahoma" w:hAnsi="Tahoma" w:cs="Tahoma"/>
          <w:sz w:val="19"/>
          <w:szCs w:val="19"/>
          <w:rtl/>
        </w:rPr>
      </w:pPr>
      <w:r w:rsidRPr="00236CC3">
        <w:rPr>
          <w:rFonts w:ascii="Tahoma" w:hAnsi="Tahoma" w:cs="Tahoma"/>
          <w:b/>
          <w:bCs/>
          <w:sz w:val="19"/>
          <w:szCs w:val="19"/>
          <w:rtl/>
        </w:rPr>
        <w:t>השקעה במרכזי חדשנות ופרויקט מהמ"ם</w:t>
      </w:r>
      <w:r w:rsidRPr="00236CC3">
        <w:rPr>
          <w:rFonts w:ascii="Tahoma" w:hAnsi="Tahoma" w:cs="Tahoma"/>
          <w:sz w:val="19"/>
          <w:szCs w:val="19"/>
          <w:rtl/>
        </w:rPr>
        <w:t xml:space="preserve"> - משרד מבקר המדינה מציין לחיוב את התחייבותו של המשרד, בשלהי שנת 2023, להשקיע במרכזי חדשנות ולהחל בהתנעתו של פרויקט מהמ"ם (מרכז הדרכה, מידע ומחקר).</w:t>
      </w:r>
    </w:p>
    <w:p w14:paraId="71F31CCF" w14:textId="77777777" w:rsidR="00236CC3" w:rsidRPr="00236CC3" w:rsidRDefault="00236CC3" w:rsidP="00236CC3">
      <w:pPr>
        <w:ind w:right="-567"/>
        <w:rPr>
          <w:rFonts w:ascii="Tahoma" w:hAnsi="Tahoma" w:cs="Tahoma"/>
          <w:b/>
          <w:bCs/>
          <w:sz w:val="19"/>
          <w:szCs w:val="19"/>
          <w:rtl/>
        </w:rPr>
      </w:pPr>
    </w:p>
    <w:p w14:paraId="16A5159B" w14:textId="77777777" w:rsidR="00236CC3" w:rsidRPr="00236CC3" w:rsidRDefault="00000000" w:rsidP="00236CC3">
      <w:pPr>
        <w:ind w:right="-567"/>
        <w:rPr>
          <w:rFonts w:ascii="Tahoma" w:hAnsi="Tahoma" w:cs="Tahoma"/>
          <w:b/>
          <w:bCs/>
          <w:sz w:val="19"/>
          <w:szCs w:val="19"/>
          <w:rtl/>
        </w:rPr>
      </w:pPr>
      <w:r w:rsidRPr="00236CC3">
        <w:rPr>
          <w:rFonts w:ascii="Tahoma" w:hAnsi="Tahoma" w:cs="Tahoma" w:hint="cs"/>
          <w:b/>
          <w:bCs/>
          <w:sz w:val="19"/>
          <w:szCs w:val="19"/>
          <w:rtl/>
        </w:rPr>
        <w:t xml:space="preserve">מבקר המדינה מתניהו אנגלמן ממליץ </w:t>
      </w:r>
      <w:r w:rsidRPr="00236CC3">
        <w:rPr>
          <w:rFonts w:ascii="Tahoma" w:hAnsi="Tahoma" w:cs="Tahoma"/>
          <w:b/>
          <w:bCs/>
          <w:sz w:val="19"/>
          <w:szCs w:val="19"/>
          <w:rtl/>
        </w:rPr>
        <w:t>כי</w:t>
      </w:r>
      <w:r w:rsidRPr="00236CC3">
        <w:rPr>
          <w:rFonts w:ascii="Tahoma" w:hAnsi="Tahoma" w:cs="Tahoma" w:hint="cs"/>
          <w:b/>
          <w:bCs/>
          <w:sz w:val="19"/>
          <w:szCs w:val="19"/>
          <w:rtl/>
        </w:rPr>
        <w:t xml:space="preserve"> </w:t>
      </w:r>
      <w:r w:rsidRPr="00236CC3">
        <w:rPr>
          <w:rFonts w:ascii="Tahoma" w:hAnsi="Tahoma" w:cs="Tahoma"/>
          <w:b/>
          <w:bCs/>
          <w:sz w:val="19"/>
          <w:szCs w:val="19"/>
          <w:rtl/>
        </w:rPr>
        <w:t>ראש הממשלה והשר לשתפ"א יבחנו את נחיצותו של המשרד לשתפ"א כמשרד עצמאי, נוכח האמור בדוח ביקורת זה. אם יימצא כי פעילות המשרד לשתפ"א כמשרד עצמאי אכן נחוצה, נדרש להסדיר את תחומי אחריותו וסמכויותיו ולגבש בהקדם תוכנית אסטרטגית הכוללת משימות ויעדים לפעילותו, ולפעול ליישומה של תוכנית זו.</w:t>
      </w:r>
    </w:p>
    <w:p w14:paraId="563A9E12" w14:textId="77777777" w:rsidR="00236CC3" w:rsidRPr="00236CC3" w:rsidRDefault="00236CC3" w:rsidP="00236CC3">
      <w:pPr>
        <w:ind w:right="-567"/>
        <w:rPr>
          <w:rFonts w:ascii="Tahoma" w:hAnsi="Tahoma" w:cs="Tahoma"/>
          <w:sz w:val="19"/>
          <w:szCs w:val="19"/>
        </w:rPr>
      </w:pPr>
    </w:p>
    <w:p w14:paraId="21CEEC50" w14:textId="77777777" w:rsidR="00236CC3" w:rsidRPr="00236CC3" w:rsidRDefault="00236CC3" w:rsidP="00236CC3">
      <w:pPr>
        <w:spacing w:after="240" w:line="288" w:lineRule="auto"/>
        <w:ind w:left="-150" w:right="-567"/>
        <w:rPr>
          <w:rFonts w:ascii="Tahoma" w:hAnsi="Tahoma" w:cs="Tahoma"/>
          <w:sz w:val="19"/>
          <w:szCs w:val="19"/>
          <w:rtl/>
        </w:rPr>
      </w:pPr>
    </w:p>
    <w:p w14:paraId="1A4C6F63" w14:textId="77777777" w:rsidR="00236CC3" w:rsidRPr="00236CC3" w:rsidRDefault="00236CC3" w:rsidP="00236CC3">
      <w:pPr>
        <w:spacing w:before="200" w:line="288" w:lineRule="auto"/>
        <w:ind w:left="-851"/>
        <w:rPr>
          <w:rFonts w:ascii="Tahoma" w:hAnsi="Tahoma" w:cs="Tahoma"/>
          <w:rtl/>
        </w:rPr>
      </w:pPr>
    </w:p>
    <w:bookmarkEnd w:id="37"/>
    <w:p w14:paraId="0159F6E5" w14:textId="77777777" w:rsidR="00236CC3" w:rsidRPr="00236CC3" w:rsidRDefault="00000000" w:rsidP="00236CC3">
      <w:pPr>
        <w:spacing w:before="200" w:line="288" w:lineRule="auto"/>
        <w:ind w:left="-851"/>
        <w:rPr>
          <w:rFonts w:ascii="Tahoma" w:hAnsi="Tahoma" w:cs="Tahoma"/>
          <w:b/>
          <w:bCs/>
          <w:noProof/>
          <w:color w:val="FFFFFF"/>
          <w:sz w:val="16"/>
          <w:szCs w:val="16"/>
          <w:rtl/>
        </w:rPr>
      </w:pPr>
      <w:r w:rsidRPr="00236CC3">
        <w:rPr>
          <w:rFonts w:ascii="Tahoma" w:hAnsi="Tahoma" w:cs="Tahoma"/>
          <w:b/>
          <w:bCs/>
          <w:noProof/>
          <w:color w:val="FFFFFF"/>
          <w:sz w:val="16"/>
          <w:szCs w:val="16"/>
          <w:rtl/>
        </w:rPr>
        <w:t>סר הדוחות השנתי</w:t>
      </w:r>
    </w:p>
    <w:p w14:paraId="73615F11" w14:textId="77777777" w:rsidR="00236CC3" w:rsidRPr="00236CC3" w:rsidRDefault="00000000" w:rsidP="00236CC3">
      <w:pPr>
        <w:bidi w:val="0"/>
        <w:spacing w:after="160" w:line="259" w:lineRule="auto"/>
        <w:jc w:val="left"/>
        <w:rPr>
          <w:rFonts w:ascii="Tahoma" w:hAnsi="Tahoma" w:cs="Tahoma"/>
          <w:b/>
          <w:bCs/>
          <w:noProof/>
          <w:color w:val="FFFFFF"/>
          <w:sz w:val="16"/>
          <w:szCs w:val="16"/>
        </w:rPr>
      </w:pPr>
      <w:r w:rsidRPr="00236CC3">
        <w:rPr>
          <w:rFonts w:ascii="Tahoma" w:hAnsi="Tahoma" w:cs="Tahoma"/>
          <w:b/>
          <w:bCs/>
          <w:noProof/>
          <w:color w:val="FFFFFF"/>
          <w:sz w:val="16"/>
          <w:szCs w:val="16"/>
          <w:rtl/>
        </w:rPr>
        <w:br w:type="page"/>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35"/>
    <w:p w14:paraId="79891200" w14:textId="77777777" w:rsidR="00236CC3" w:rsidRPr="00236CC3" w:rsidRDefault="00236CC3" w:rsidP="00C950A0">
      <w:pPr>
        <w:pStyle w:val="2"/>
        <w:rPr>
          <w:rFonts w:eastAsiaTheme="minorHAnsi"/>
          <w:rtl/>
        </w:rPr>
      </w:pPr>
    </w:p>
    <w:tbl>
      <w:tblPr>
        <w:tblStyle w:val="110"/>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0535FEED" w14:textId="77777777" w:rsidTr="00236CC3">
        <w:tc>
          <w:tcPr>
            <w:tcW w:w="9783" w:type="dxa"/>
          </w:tcPr>
          <w:p w14:paraId="1A8474ED" w14:textId="77777777" w:rsidR="00B147F9" w:rsidRPr="00AD2D9C" w:rsidRDefault="00000000" w:rsidP="00C950A0">
            <w:pPr>
              <w:pStyle w:val="1"/>
              <w:jc w:val="left"/>
              <w:rPr>
                <w:rFonts w:ascii="Tahoma" w:hAnsi="Tahoma" w:cs="Tahoma"/>
                <w:sz w:val="40"/>
                <w:szCs w:val="40"/>
                <w:rtl/>
              </w:rPr>
            </w:pPr>
            <w:bookmarkStart w:id="38" w:name="_Toc179710261"/>
            <w:r w:rsidRPr="00AD2D9C">
              <w:rPr>
                <w:rFonts w:ascii="Tahoma" w:hAnsi="Tahoma" w:cs="Tahoma"/>
                <w:sz w:val="40"/>
                <w:szCs w:val="40"/>
                <w:rtl/>
              </w:rPr>
              <w:t>אסדרה של מתקני התפלת מי ים ופיקוח עליהם</w:t>
            </w:r>
            <w:bookmarkEnd w:id="38"/>
          </w:p>
          <w:p w14:paraId="6686635D" w14:textId="77777777" w:rsidR="00B147F9" w:rsidRPr="00B147F9" w:rsidRDefault="00000000" w:rsidP="00B147F9">
            <w:pPr>
              <w:spacing w:before="100" w:beforeAutospacing="1" w:after="120" w:afterAutospacing="1" w:line="240" w:lineRule="auto"/>
              <w:jc w:val="left"/>
              <w:rPr>
                <w:rFonts w:ascii="Tahoma" w:eastAsia="Times New Roman" w:hAnsi="Tahoma" w:cs="Tahoma"/>
                <w:bCs/>
                <w:sz w:val="30"/>
                <w:szCs w:val="30"/>
                <w:rtl/>
              </w:rPr>
            </w:pPr>
            <w:r>
              <w:rPr>
                <w:rFonts w:ascii="Tahoma" w:eastAsia="Times New Roman" w:hAnsi="Tahoma" w:cs="Tahoma" w:hint="cs"/>
                <w:bCs/>
                <w:sz w:val="30"/>
                <w:szCs w:val="30"/>
                <w:rtl/>
              </w:rPr>
              <w:t>מתקן התפלה היה חשוף ללשלשת ציפורים והדבר לא דווח</w:t>
            </w:r>
          </w:p>
          <w:p w14:paraId="4C9EDAA0" w14:textId="77777777" w:rsidR="00236CC3" w:rsidRPr="00236CC3" w:rsidRDefault="00236CC3" w:rsidP="00236CC3">
            <w:pPr>
              <w:spacing w:before="120" w:beforeAutospacing="1" w:afterAutospacing="1" w:line="240" w:lineRule="auto"/>
              <w:jc w:val="left"/>
              <w:rPr>
                <w:rFonts w:eastAsia="Times New Roman"/>
                <w:rtl/>
              </w:rPr>
            </w:pPr>
          </w:p>
        </w:tc>
      </w:tr>
    </w:tbl>
    <w:p w14:paraId="03817290" w14:textId="77777777" w:rsidR="00236CC3" w:rsidRPr="00236CC3" w:rsidRDefault="00000000" w:rsidP="00236CC3">
      <w:pPr>
        <w:spacing w:line="240" w:lineRule="auto"/>
        <w:ind w:left="-851"/>
        <w:rPr>
          <w:rFonts w:eastAsiaTheme="minorHAnsi"/>
          <w:rtl/>
        </w:rPr>
      </w:pPr>
      <w:r w:rsidRPr="00236CC3">
        <w:rPr>
          <w:rFonts w:ascii="Tahoma" w:eastAsiaTheme="minorHAnsi" w:hAnsi="Tahoma" w:cs="Tahoma"/>
          <w:noProof/>
          <w:rtl/>
        </w:rPr>
        <w:drawing>
          <wp:inline distT="0" distB="0" distL="0" distR="0" wp14:anchorId="3DDDE0AD" wp14:editId="04012EB5">
            <wp:extent cx="1674111" cy="381000"/>
            <wp:effectExtent l="0" t="0" r="2540" b="0"/>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1"/>
        <w:tblpPr w:leftFromText="180" w:rightFromText="180" w:vertAnchor="text" w:horzAnchor="margin" w:tblpXSpec="center" w:tblpY="123"/>
        <w:tblOverlap w:val="never"/>
        <w:bidiVisual/>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3"/>
        <w:gridCol w:w="2835"/>
        <w:gridCol w:w="284"/>
        <w:gridCol w:w="2840"/>
      </w:tblGrid>
      <w:tr w:rsidR="004F19B3" w14:paraId="5C3ACEC9" w14:textId="77777777" w:rsidTr="00236CC3">
        <w:trPr>
          <w:trHeight w:val="283"/>
        </w:trPr>
        <w:tc>
          <w:tcPr>
            <w:tcW w:w="2829" w:type="dxa"/>
            <w:tcBorders>
              <w:bottom w:val="single" w:sz="12" w:space="0" w:color="auto"/>
            </w:tcBorders>
            <w:shd w:val="clear" w:color="auto" w:fill="auto"/>
            <w:vAlign w:val="bottom"/>
          </w:tcPr>
          <w:p w14:paraId="1814B516"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hint="cs"/>
                <w:spacing w:val="-10"/>
                <w:sz w:val="36"/>
                <w:szCs w:val="36"/>
                <w:rtl/>
              </w:rPr>
              <w:t xml:space="preserve">5 </w:t>
            </w:r>
            <w:r w:rsidRPr="00236CC3">
              <w:rPr>
                <w:rFonts w:ascii="Tahoma" w:hAnsi="Tahoma" w:cs="Tahoma" w:hint="cs"/>
                <w:spacing w:val="-10"/>
                <w:sz w:val="26"/>
                <w:szCs w:val="26"/>
                <w:rtl/>
              </w:rPr>
              <w:t>מתקנים</w:t>
            </w:r>
          </w:p>
        </w:tc>
        <w:tc>
          <w:tcPr>
            <w:tcW w:w="283" w:type="dxa"/>
            <w:vAlign w:val="bottom"/>
          </w:tcPr>
          <w:p w14:paraId="6D73DE5D"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35" w:type="dxa"/>
            <w:tcBorders>
              <w:bottom w:val="single" w:sz="12" w:space="0" w:color="auto"/>
            </w:tcBorders>
            <w:vAlign w:val="bottom"/>
          </w:tcPr>
          <w:p w14:paraId="112679AB"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hint="cs"/>
                <w:spacing w:val="-10"/>
                <w:sz w:val="26"/>
                <w:szCs w:val="26"/>
                <w:rtl/>
              </w:rPr>
              <w:t>יותר מ-</w:t>
            </w:r>
            <w:r w:rsidRPr="00236CC3">
              <w:rPr>
                <w:rFonts w:ascii="Tahoma" w:hAnsi="Tahoma" w:cs="Tahoma" w:hint="cs"/>
                <w:spacing w:val="-10"/>
                <w:sz w:val="36"/>
                <w:szCs w:val="36"/>
                <w:rtl/>
              </w:rPr>
              <w:t xml:space="preserve">13 </w:t>
            </w:r>
            <w:r w:rsidRPr="00236CC3">
              <w:rPr>
                <w:rFonts w:ascii="Tahoma" w:hAnsi="Tahoma" w:cs="Tahoma" w:hint="cs"/>
                <w:spacing w:val="-10"/>
                <w:sz w:val="26"/>
                <w:szCs w:val="26"/>
                <w:rtl/>
              </w:rPr>
              <w:t>שנים</w:t>
            </w:r>
          </w:p>
        </w:tc>
        <w:tc>
          <w:tcPr>
            <w:tcW w:w="284" w:type="dxa"/>
            <w:vAlign w:val="bottom"/>
          </w:tcPr>
          <w:p w14:paraId="0C164D8C"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40" w:type="dxa"/>
            <w:tcBorders>
              <w:bottom w:val="single" w:sz="12" w:space="0" w:color="auto"/>
            </w:tcBorders>
            <w:vAlign w:val="bottom"/>
          </w:tcPr>
          <w:p w14:paraId="4EA99EB8"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36"/>
                <w:szCs w:val="36"/>
                <w:rtl/>
              </w:rPr>
              <w:t xml:space="preserve">18 </w:t>
            </w:r>
            <w:r w:rsidRPr="00236CC3">
              <w:rPr>
                <w:rFonts w:ascii="Tahoma" w:hAnsi="Tahoma" w:cs="Tahoma" w:hint="eastAsia"/>
                <w:spacing w:val="-10"/>
                <w:sz w:val="26"/>
                <w:szCs w:val="26"/>
                <w:rtl/>
              </w:rPr>
              <w:t>א</w:t>
            </w:r>
            <w:r w:rsidRPr="00236CC3">
              <w:rPr>
                <w:rFonts w:ascii="Tahoma" w:hAnsi="Tahoma" w:cs="Tahoma" w:hint="cs"/>
                <w:spacing w:val="-10"/>
                <w:sz w:val="26"/>
                <w:szCs w:val="26"/>
                <w:rtl/>
              </w:rPr>
              <w:t>י</w:t>
            </w:r>
            <w:r w:rsidRPr="00236CC3">
              <w:rPr>
                <w:rFonts w:ascii="Tahoma" w:hAnsi="Tahoma" w:cs="Tahoma" w:hint="eastAsia"/>
                <w:spacing w:val="-10"/>
                <w:sz w:val="26"/>
                <w:szCs w:val="26"/>
                <w:rtl/>
              </w:rPr>
              <w:t>רועי</w:t>
            </w:r>
            <w:r w:rsidRPr="00236CC3">
              <w:rPr>
                <w:rFonts w:ascii="Tahoma" w:hAnsi="Tahoma" w:cs="Tahoma"/>
                <w:spacing w:val="-10"/>
                <w:sz w:val="26"/>
                <w:szCs w:val="26"/>
                <w:rtl/>
              </w:rPr>
              <w:t xml:space="preserve"> עכירות </w:t>
            </w:r>
            <w:r w:rsidRPr="00236CC3">
              <w:rPr>
                <w:rFonts w:ascii="Tahoma" w:hAnsi="Tahoma" w:cs="Tahoma" w:hint="eastAsia"/>
                <w:spacing w:val="-10"/>
                <w:sz w:val="26"/>
                <w:szCs w:val="26"/>
                <w:rtl/>
              </w:rPr>
              <w:t>גבוהה</w:t>
            </w:r>
          </w:p>
        </w:tc>
      </w:tr>
      <w:tr w:rsidR="004F19B3" w14:paraId="311856C3" w14:textId="77777777" w:rsidTr="00236CC3">
        <w:trPr>
          <w:trHeight w:val="1155"/>
        </w:trPr>
        <w:tc>
          <w:tcPr>
            <w:tcW w:w="2829" w:type="dxa"/>
          </w:tcPr>
          <w:p w14:paraId="571BDBF8"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גדולים להתפלת מי ים בישראל נכון למועד סיום הביקורת: פלמחים, חדרה, אשדוד, אשקלון, שורק א'</w:t>
            </w:r>
          </w:p>
        </w:tc>
        <w:tc>
          <w:tcPr>
            <w:tcW w:w="283" w:type="dxa"/>
          </w:tcPr>
          <w:p w14:paraId="62D2A8F6" w14:textId="77777777" w:rsidR="00236CC3" w:rsidRPr="00236CC3" w:rsidRDefault="00236CC3" w:rsidP="00236CC3">
            <w:pPr>
              <w:tabs>
                <w:tab w:val="center" w:pos="4153"/>
                <w:tab w:val="right" w:pos="8306"/>
              </w:tabs>
              <w:spacing w:line="240" w:lineRule="exact"/>
              <w:jc w:val="left"/>
              <w:rPr>
                <w:rFonts w:ascii="Tahoma" w:hAnsi="Tahoma" w:cs="Tahoma"/>
                <w:rtl/>
              </w:rPr>
            </w:pPr>
          </w:p>
        </w:tc>
        <w:tc>
          <w:tcPr>
            <w:tcW w:w="2835" w:type="dxa"/>
          </w:tcPr>
          <w:p w14:paraId="46A8C679" w14:textId="77777777" w:rsidR="00236CC3" w:rsidRPr="00236CC3" w:rsidRDefault="00000000" w:rsidP="00236CC3">
            <w:pPr>
              <w:tabs>
                <w:tab w:val="center" w:pos="4153"/>
                <w:tab w:val="right" w:pos="8306"/>
              </w:tabs>
              <w:spacing w:line="240" w:lineRule="auto"/>
              <w:jc w:val="left"/>
              <w:rPr>
                <w:rtl/>
              </w:rPr>
            </w:pPr>
            <w:r w:rsidRPr="00236CC3">
              <w:rPr>
                <w:rFonts w:ascii="Tahoma" w:hAnsi="Tahoma" w:cs="Tahoma" w:hint="cs"/>
                <w:sz w:val="19"/>
                <w:szCs w:val="19"/>
                <w:rtl/>
              </w:rPr>
              <w:t xml:space="preserve">רשות המים </w:t>
            </w:r>
            <w:r w:rsidRPr="00236CC3">
              <w:rPr>
                <w:rFonts w:ascii="Tahoma" w:hAnsi="Tahoma" w:cs="Tahoma"/>
                <w:sz w:val="19"/>
                <w:szCs w:val="19"/>
                <w:rtl/>
              </w:rPr>
              <w:t>לא השלימה הכנת</w:t>
            </w:r>
            <w:r w:rsidRPr="00236CC3">
              <w:rPr>
                <w:rFonts w:ascii="Tahoma" w:hAnsi="Tahoma" w:cs="Tahoma" w:hint="cs"/>
                <w:sz w:val="19"/>
                <w:szCs w:val="19"/>
                <w:rtl/>
              </w:rPr>
              <w:t xml:space="preserve"> </w:t>
            </w:r>
            <w:r w:rsidRPr="00236CC3">
              <w:rPr>
                <w:rFonts w:ascii="Tahoma" w:hAnsi="Tahoma" w:cs="Tahoma"/>
                <w:sz w:val="19"/>
                <w:szCs w:val="19"/>
                <w:rtl/>
              </w:rPr>
              <w:t xml:space="preserve">תוכנית אב </w:t>
            </w:r>
            <w:r w:rsidRPr="00236CC3">
              <w:rPr>
                <w:rFonts w:ascii="Tahoma" w:hAnsi="Tahoma" w:cs="Tahoma" w:hint="cs"/>
                <w:sz w:val="19"/>
                <w:szCs w:val="19"/>
                <w:rtl/>
              </w:rPr>
              <w:t>למשק המים</w:t>
            </w:r>
            <w:r w:rsidRPr="00236CC3">
              <w:rPr>
                <w:rFonts w:ascii="Tahoma" w:hAnsi="Tahoma" w:cs="Tahoma"/>
                <w:sz w:val="19"/>
                <w:szCs w:val="19"/>
                <w:rtl/>
              </w:rPr>
              <w:t>, ולא הביאה אותה לאישור</w:t>
            </w:r>
            <w:r w:rsidRPr="00236CC3">
              <w:rPr>
                <w:rFonts w:ascii="Tahoma" w:hAnsi="Tahoma" w:cs="Tahoma" w:hint="cs"/>
                <w:sz w:val="19"/>
                <w:szCs w:val="19"/>
                <w:rtl/>
              </w:rPr>
              <w:t xml:space="preserve"> מועצת רשות המים</w:t>
            </w:r>
            <w:r w:rsidRPr="00236CC3">
              <w:rPr>
                <w:rFonts w:ascii="Tahoma" w:hAnsi="Tahoma" w:cs="Tahoma"/>
                <w:sz w:val="19"/>
                <w:szCs w:val="19"/>
                <w:rtl/>
              </w:rPr>
              <w:t xml:space="preserve"> </w:t>
            </w:r>
            <w:r w:rsidRPr="00236CC3">
              <w:rPr>
                <w:rFonts w:ascii="Tahoma" w:hAnsi="Tahoma" w:cs="Tahoma" w:hint="cs"/>
                <w:sz w:val="19"/>
                <w:szCs w:val="19"/>
                <w:rtl/>
              </w:rPr>
              <w:t>(</w:t>
            </w:r>
            <w:r w:rsidRPr="00236CC3">
              <w:rPr>
                <w:rFonts w:ascii="Tahoma" w:hAnsi="Tahoma" w:cs="Tahoma"/>
                <w:sz w:val="19"/>
                <w:szCs w:val="19"/>
                <w:rtl/>
              </w:rPr>
              <w:t>המועצה</w:t>
            </w:r>
            <w:r w:rsidRPr="00236CC3">
              <w:rPr>
                <w:rFonts w:ascii="Tahoma" w:hAnsi="Tahoma" w:cs="Tahoma" w:hint="cs"/>
                <w:sz w:val="19"/>
                <w:szCs w:val="19"/>
                <w:rtl/>
              </w:rPr>
              <w:t>)</w:t>
            </w:r>
            <w:r w:rsidRPr="00236CC3">
              <w:rPr>
                <w:rFonts w:ascii="Tahoma" w:hAnsi="Tahoma" w:cs="Tahoma"/>
                <w:sz w:val="19"/>
                <w:szCs w:val="19"/>
                <w:rtl/>
              </w:rPr>
              <w:t xml:space="preserve"> ולאישור הממשלה, כנדרש בהחלטת הממשלה משנת</w:t>
            </w:r>
            <w:r w:rsidRPr="00236CC3">
              <w:rPr>
                <w:rFonts w:ascii="Tahoma" w:hAnsi="Tahoma" w:cs="Tahoma"/>
                <w:rtl/>
              </w:rPr>
              <w:t xml:space="preserve"> </w:t>
            </w:r>
            <w:r w:rsidRPr="00236CC3">
              <w:rPr>
                <w:rFonts w:ascii="Tahoma" w:hAnsi="Tahoma" w:cs="Tahoma"/>
                <w:sz w:val="19"/>
                <w:szCs w:val="19"/>
                <w:rtl/>
              </w:rPr>
              <w:t>2010</w:t>
            </w:r>
          </w:p>
          <w:p w14:paraId="53D2F961" w14:textId="77777777" w:rsidR="00236CC3" w:rsidRPr="00236CC3" w:rsidRDefault="00236CC3" w:rsidP="00236CC3">
            <w:pPr>
              <w:tabs>
                <w:tab w:val="center" w:pos="4153"/>
                <w:tab w:val="right" w:pos="8306"/>
              </w:tabs>
              <w:spacing w:line="240" w:lineRule="auto"/>
              <w:jc w:val="left"/>
              <w:rPr>
                <w:rtl/>
              </w:rPr>
            </w:pPr>
          </w:p>
        </w:tc>
        <w:tc>
          <w:tcPr>
            <w:tcW w:w="284" w:type="dxa"/>
          </w:tcPr>
          <w:p w14:paraId="5FB5EDE1"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840" w:type="dxa"/>
          </w:tcPr>
          <w:p w14:paraId="6173C34D"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חייבו עצירת אספקת מים ממתקן התפלה בשנת 2023, אולם בשל אי-דיווח של המתפיל לא הופסקה האספקה כאמור</w:t>
            </w:r>
          </w:p>
        </w:tc>
      </w:tr>
      <w:tr w:rsidR="004F19B3" w14:paraId="4A45C02C" w14:textId="77777777" w:rsidTr="00236CC3">
        <w:trPr>
          <w:trHeight w:val="227"/>
        </w:trPr>
        <w:tc>
          <w:tcPr>
            <w:tcW w:w="2829" w:type="dxa"/>
            <w:tcBorders>
              <w:bottom w:val="single" w:sz="12" w:space="0" w:color="auto"/>
            </w:tcBorders>
            <w:vAlign w:val="bottom"/>
          </w:tcPr>
          <w:p w14:paraId="0DC53F00"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tl/>
              </w:rPr>
            </w:pPr>
            <w:r w:rsidRPr="00236CC3">
              <w:rPr>
                <w:rFonts w:ascii="Tahoma" w:hAnsi="Tahoma" w:cs="Tahoma" w:hint="cs"/>
                <w:spacing w:val="-10"/>
                <w:sz w:val="26"/>
                <w:szCs w:val="26"/>
                <w:rtl/>
              </w:rPr>
              <w:t>כ</w:t>
            </w:r>
            <w:r w:rsidRPr="00236CC3">
              <w:rPr>
                <w:rFonts w:ascii="Tahoma" w:hAnsi="Tahoma" w:cs="Tahoma" w:hint="cs"/>
                <w:spacing w:val="-10"/>
                <w:sz w:val="36"/>
                <w:szCs w:val="36"/>
                <w:rtl/>
              </w:rPr>
              <w:t xml:space="preserve">-1,700 </w:t>
            </w:r>
            <w:r w:rsidRPr="00236CC3">
              <w:rPr>
                <w:rFonts w:ascii="Tahoma" w:hAnsi="Tahoma" w:cs="Tahoma" w:hint="cs"/>
                <w:spacing w:val="-10"/>
                <w:sz w:val="26"/>
                <w:szCs w:val="26"/>
                <w:rtl/>
              </w:rPr>
              <w:t>מלמ"ק</w:t>
            </w:r>
          </w:p>
        </w:tc>
        <w:tc>
          <w:tcPr>
            <w:tcW w:w="283" w:type="dxa"/>
            <w:vAlign w:val="bottom"/>
          </w:tcPr>
          <w:p w14:paraId="630E9367"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35" w:type="dxa"/>
            <w:tcBorders>
              <w:bottom w:val="single" w:sz="12" w:space="0" w:color="auto"/>
            </w:tcBorders>
            <w:vAlign w:val="bottom"/>
          </w:tcPr>
          <w:p w14:paraId="4139BD4B"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cs"/>
                <w:spacing w:val="-10"/>
                <w:sz w:val="26"/>
                <w:szCs w:val="26"/>
                <w:rtl/>
              </w:rPr>
              <w:t>כ-</w:t>
            </w:r>
            <w:r w:rsidRPr="00236CC3">
              <w:rPr>
                <w:rFonts w:ascii="Tahoma" w:hAnsi="Tahoma" w:cs="Tahoma" w:hint="cs"/>
                <w:spacing w:val="-10"/>
                <w:sz w:val="36"/>
                <w:szCs w:val="36"/>
                <w:rtl/>
              </w:rPr>
              <w:t>33%</w:t>
            </w:r>
          </w:p>
        </w:tc>
        <w:tc>
          <w:tcPr>
            <w:tcW w:w="284" w:type="dxa"/>
            <w:vAlign w:val="bottom"/>
          </w:tcPr>
          <w:p w14:paraId="5F1FCF25"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40" w:type="dxa"/>
            <w:tcBorders>
              <w:bottom w:val="single" w:sz="12" w:space="0" w:color="auto"/>
            </w:tcBorders>
            <w:vAlign w:val="bottom"/>
          </w:tcPr>
          <w:p w14:paraId="625AA3AB"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cs"/>
                <w:spacing w:val="-10"/>
                <w:sz w:val="36"/>
                <w:szCs w:val="36"/>
                <w:rtl/>
              </w:rPr>
              <w:t xml:space="preserve">14 </w:t>
            </w:r>
            <w:r w:rsidRPr="00236CC3">
              <w:rPr>
                <w:rFonts w:ascii="Tahoma" w:hAnsi="Tahoma" w:cs="Tahoma" w:hint="cs"/>
                <w:spacing w:val="-10"/>
                <w:sz w:val="26"/>
                <w:szCs w:val="26"/>
                <w:rtl/>
              </w:rPr>
              <w:t>מקרים</w:t>
            </w:r>
          </w:p>
        </w:tc>
      </w:tr>
      <w:tr w:rsidR="004F19B3" w14:paraId="125ED819" w14:textId="77777777" w:rsidTr="00236CC3">
        <w:trPr>
          <w:trHeight w:val="1153"/>
        </w:trPr>
        <w:tc>
          <w:tcPr>
            <w:tcW w:w="2829" w:type="dxa"/>
          </w:tcPr>
          <w:p w14:paraId="70EA24C9"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יכולת ההפקה מתוכננת בידי רשות המים של מים מותפלים עד שנת 2050. במועד סיום הביקורת </w:t>
            </w:r>
          </w:p>
          <w:p w14:paraId="619213D3"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hyperlink r:id="rId12" w:history="1">
              <w:r w:rsidRPr="00236CC3">
                <w:rPr>
                  <w:rFonts w:hint="cs"/>
                  <w:rtl/>
                </w:rPr>
                <w:t>כושר הייצור הקבוע</w:t>
              </w:r>
            </w:hyperlink>
            <w:r w:rsidR="00000000" w:rsidRPr="00236CC3">
              <w:rPr>
                <w:rFonts w:ascii="Tahoma" w:hAnsi="Tahoma" w:cs="Tahoma" w:hint="cs"/>
                <w:sz w:val="19"/>
                <w:szCs w:val="19"/>
                <w:rtl/>
              </w:rPr>
              <w:t xml:space="preserve"> בהסכמי הזיכיון של חמשת המתקנים הגדולים בישראל להתפלת מי ים היה כ-596.4 מלמ"ק</w:t>
            </w:r>
          </w:p>
        </w:tc>
        <w:tc>
          <w:tcPr>
            <w:tcW w:w="283" w:type="dxa"/>
          </w:tcPr>
          <w:p w14:paraId="3C0F7991"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835" w:type="dxa"/>
          </w:tcPr>
          <w:p w14:paraId="38B78971"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מסך המים השפירים שסופקו בשנת 2022 סופקו על ידי מתקני ההתפלה</w:t>
            </w:r>
          </w:p>
        </w:tc>
        <w:tc>
          <w:tcPr>
            <w:tcW w:w="284" w:type="dxa"/>
          </w:tcPr>
          <w:p w14:paraId="74207EC0"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840" w:type="dxa"/>
          </w:tcPr>
          <w:p w14:paraId="1DAB8FA0"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של זיהום מי ים שבגינם הופסק הייצור במתקני ההתפלה דווחו משנת 2007 ועד מועד סיום הביקורת. 8 מהאירועים נבעו מזיהום מיקרוביאלי, </w:t>
            </w:r>
            <w:r w:rsidRPr="00236CC3">
              <w:rPr>
                <w:rFonts w:ascii="Tahoma" w:hAnsi="Tahoma" w:cs="Tahoma"/>
                <w:sz w:val="19"/>
                <w:szCs w:val="19"/>
                <w:rtl/>
              </w:rPr>
              <w:t xml:space="preserve">4 </w:t>
            </w:r>
            <w:r w:rsidRPr="00236CC3">
              <w:rPr>
                <w:rFonts w:ascii="Tahoma" w:hAnsi="Tahoma" w:cs="Tahoma" w:hint="cs"/>
                <w:sz w:val="19"/>
                <w:szCs w:val="19"/>
                <w:rtl/>
              </w:rPr>
              <w:t>מהם</w:t>
            </w:r>
            <w:r w:rsidRPr="00236CC3">
              <w:rPr>
                <w:rFonts w:ascii="Tahoma" w:hAnsi="Tahoma" w:cs="Tahoma"/>
                <w:sz w:val="19"/>
                <w:szCs w:val="19"/>
                <w:rtl/>
              </w:rPr>
              <w:t xml:space="preserve"> </w:t>
            </w:r>
            <w:r w:rsidRPr="00236CC3">
              <w:rPr>
                <w:rFonts w:ascii="Tahoma" w:hAnsi="Tahoma" w:cs="Tahoma" w:hint="eastAsia"/>
                <w:sz w:val="19"/>
                <w:szCs w:val="19"/>
                <w:rtl/>
              </w:rPr>
              <w:t>נבעו</w:t>
            </w:r>
            <w:r w:rsidRPr="00236CC3">
              <w:rPr>
                <w:rFonts w:ascii="Tahoma" w:hAnsi="Tahoma" w:cs="Tahoma"/>
                <w:sz w:val="19"/>
                <w:szCs w:val="19"/>
                <w:rtl/>
              </w:rPr>
              <w:t xml:space="preserve"> </w:t>
            </w:r>
            <w:r w:rsidRPr="00236CC3">
              <w:rPr>
                <w:rFonts w:ascii="Tahoma" w:hAnsi="Tahoma" w:cs="Tahoma" w:hint="eastAsia"/>
                <w:sz w:val="19"/>
                <w:szCs w:val="19"/>
                <w:rtl/>
              </w:rPr>
              <w:t>מ</w:t>
            </w:r>
            <w:r w:rsidRPr="00236CC3">
              <w:rPr>
                <w:rFonts w:ascii="Tahoma" w:hAnsi="Tahoma" w:cs="Tahoma"/>
                <w:sz w:val="19"/>
                <w:szCs w:val="19"/>
                <w:rtl/>
              </w:rPr>
              <w:t xml:space="preserve">זיהום </w:t>
            </w:r>
            <w:r w:rsidRPr="00236CC3">
              <w:rPr>
                <w:rFonts w:ascii="Tahoma" w:hAnsi="Tahoma" w:cs="Tahoma" w:hint="cs"/>
                <w:sz w:val="19"/>
                <w:szCs w:val="19"/>
                <w:rtl/>
              </w:rPr>
              <w:t>שמקורו ב</w:t>
            </w:r>
            <w:r w:rsidRPr="00236CC3">
              <w:rPr>
                <w:rFonts w:ascii="Tahoma" w:hAnsi="Tahoma" w:cs="Tahoma"/>
                <w:sz w:val="19"/>
                <w:szCs w:val="19"/>
                <w:rtl/>
              </w:rPr>
              <w:t>דלק ושמנים</w:t>
            </w:r>
            <w:r w:rsidRPr="00236CC3">
              <w:rPr>
                <w:rFonts w:ascii="Tahoma" w:hAnsi="Tahoma" w:cs="Tahoma" w:hint="cs"/>
                <w:sz w:val="19"/>
                <w:szCs w:val="19"/>
                <w:rtl/>
              </w:rPr>
              <w:t>,</w:t>
            </w:r>
            <w:r w:rsidRPr="00236CC3">
              <w:rPr>
                <w:rFonts w:ascii="Tahoma" w:hAnsi="Tahoma" w:cs="Tahoma"/>
                <w:sz w:val="19"/>
                <w:szCs w:val="19"/>
                <w:rtl/>
              </w:rPr>
              <w:t xml:space="preserve"> ו-2 </w:t>
            </w:r>
            <w:r w:rsidRPr="00236CC3">
              <w:rPr>
                <w:rFonts w:ascii="Tahoma" w:hAnsi="Tahoma" w:cs="Tahoma" w:hint="cs"/>
                <w:sz w:val="19"/>
                <w:szCs w:val="19"/>
                <w:rtl/>
              </w:rPr>
              <w:t>מהם</w:t>
            </w:r>
            <w:r w:rsidRPr="00236CC3">
              <w:rPr>
                <w:rFonts w:ascii="Tahoma" w:hAnsi="Tahoma" w:cs="Tahoma"/>
                <w:sz w:val="19"/>
                <w:szCs w:val="19"/>
                <w:rtl/>
              </w:rPr>
              <w:t xml:space="preserve"> </w:t>
            </w:r>
            <w:r w:rsidRPr="00236CC3">
              <w:rPr>
                <w:rFonts w:ascii="Tahoma" w:hAnsi="Tahoma" w:cs="Tahoma" w:hint="eastAsia"/>
                <w:sz w:val="19"/>
                <w:szCs w:val="19"/>
                <w:rtl/>
              </w:rPr>
              <w:t>נבעו</w:t>
            </w:r>
            <w:r w:rsidRPr="00236CC3">
              <w:rPr>
                <w:rFonts w:ascii="Tahoma" w:hAnsi="Tahoma" w:cs="Tahoma"/>
                <w:sz w:val="19"/>
                <w:szCs w:val="19"/>
                <w:rtl/>
              </w:rPr>
              <w:t xml:space="preserve"> </w:t>
            </w:r>
            <w:r w:rsidRPr="00236CC3">
              <w:rPr>
                <w:rFonts w:ascii="Tahoma" w:hAnsi="Tahoma" w:cs="Tahoma" w:hint="eastAsia"/>
                <w:sz w:val="19"/>
                <w:szCs w:val="19"/>
                <w:rtl/>
              </w:rPr>
              <w:t>מ</w:t>
            </w:r>
            <w:r w:rsidRPr="00236CC3">
              <w:rPr>
                <w:rFonts w:ascii="Tahoma" w:hAnsi="Tahoma" w:cs="Tahoma"/>
                <w:sz w:val="19"/>
                <w:szCs w:val="19"/>
                <w:rtl/>
              </w:rPr>
              <w:t>עכירות במים בעת סערה ורעידת אדמה</w:t>
            </w:r>
          </w:p>
          <w:p w14:paraId="59B1BAF9" w14:textId="77777777" w:rsidR="00236CC3" w:rsidRPr="00236CC3" w:rsidRDefault="00236CC3" w:rsidP="00236CC3">
            <w:pPr>
              <w:tabs>
                <w:tab w:val="center" w:pos="4153"/>
                <w:tab w:val="right" w:pos="8306"/>
              </w:tabs>
              <w:spacing w:line="240" w:lineRule="auto"/>
              <w:rPr>
                <w:rFonts w:ascii="Tahoma" w:hAnsi="Tahoma" w:cs="Tahoma"/>
                <w:sz w:val="19"/>
                <w:szCs w:val="19"/>
                <w:rtl/>
              </w:rPr>
            </w:pPr>
          </w:p>
        </w:tc>
      </w:tr>
      <w:tr w:rsidR="004F19B3" w14:paraId="20E60EDD" w14:textId="77777777" w:rsidTr="00236CC3">
        <w:trPr>
          <w:trHeight w:val="455"/>
        </w:trPr>
        <w:tc>
          <w:tcPr>
            <w:tcW w:w="2829" w:type="dxa"/>
            <w:tcBorders>
              <w:bottom w:val="single" w:sz="12" w:space="0" w:color="auto"/>
            </w:tcBorders>
            <w:vAlign w:val="bottom"/>
          </w:tcPr>
          <w:p w14:paraId="5B94F14D"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eastAsia"/>
                <w:spacing w:val="-10"/>
                <w:sz w:val="26"/>
                <w:szCs w:val="26"/>
                <w:rtl/>
              </w:rPr>
              <w:t>אחת</w:t>
            </w:r>
            <w:r w:rsidRPr="00236CC3">
              <w:rPr>
                <w:rFonts w:ascii="Tahoma" w:hAnsi="Tahoma" w:cs="Tahoma"/>
                <w:spacing w:val="-10"/>
                <w:sz w:val="26"/>
                <w:szCs w:val="26"/>
                <w:rtl/>
              </w:rPr>
              <w:t xml:space="preserve"> </w:t>
            </w:r>
            <w:r w:rsidRPr="00236CC3">
              <w:rPr>
                <w:rFonts w:ascii="Tahoma" w:hAnsi="Tahoma" w:cs="Tahoma" w:hint="eastAsia"/>
                <w:spacing w:val="-10"/>
                <w:sz w:val="26"/>
                <w:szCs w:val="26"/>
                <w:rtl/>
              </w:rPr>
              <w:t>לשנה</w:t>
            </w:r>
            <w:r w:rsidRPr="00236CC3">
              <w:rPr>
                <w:rFonts w:ascii="Tahoma" w:hAnsi="Tahoma" w:cs="Tahoma" w:hint="cs"/>
                <w:spacing w:val="-10"/>
                <w:sz w:val="26"/>
                <w:szCs w:val="26"/>
                <w:rtl/>
              </w:rPr>
              <w:t xml:space="preserve"> </w:t>
            </w:r>
            <w:r w:rsidRPr="00236CC3">
              <w:rPr>
                <w:rFonts w:ascii="Tahoma" w:hAnsi="Tahoma" w:cs="Tahoma" w:hint="eastAsia"/>
                <w:spacing w:val="-10"/>
                <w:sz w:val="26"/>
                <w:szCs w:val="26"/>
                <w:rtl/>
              </w:rPr>
              <w:t>לפחות</w:t>
            </w:r>
          </w:p>
        </w:tc>
        <w:tc>
          <w:tcPr>
            <w:tcW w:w="283" w:type="dxa"/>
            <w:vAlign w:val="bottom"/>
          </w:tcPr>
          <w:p w14:paraId="7BF9F5FA"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35" w:type="dxa"/>
            <w:tcBorders>
              <w:bottom w:val="single" w:sz="12" w:space="0" w:color="auto"/>
            </w:tcBorders>
            <w:vAlign w:val="bottom"/>
          </w:tcPr>
          <w:p w14:paraId="3F5E8450"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hint="eastAsia"/>
                <w:spacing w:val="-10"/>
                <w:sz w:val="26"/>
                <w:szCs w:val="26"/>
                <w:rtl/>
              </w:rPr>
              <w:t>כ</w:t>
            </w:r>
            <w:r w:rsidRPr="00236CC3">
              <w:rPr>
                <w:rFonts w:ascii="Tahoma" w:hAnsi="Tahoma" w:cs="Tahoma"/>
                <w:spacing w:val="-10"/>
                <w:sz w:val="26"/>
                <w:szCs w:val="26"/>
                <w:rtl/>
              </w:rPr>
              <w:t>-</w:t>
            </w:r>
            <w:r w:rsidRPr="00236CC3">
              <w:rPr>
                <w:rFonts w:ascii="Tahoma" w:hAnsi="Tahoma" w:cs="Tahoma"/>
                <w:spacing w:val="-10"/>
                <w:sz w:val="36"/>
                <w:szCs w:val="36"/>
                <w:rtl/>
              </w:rPr>
              <w:t xml:space="preserve">1.5 </w:t>
            </w:r>
            <w:r w:rsidRPr="00236CC3">
              <w:rPr>
                <w:rFonts w:ascii="Tahoma" w:hAnsi="Tahoma" w:cs="Tahoma" w:hint="eastAsia"/>
                <w:spacing w:val="-10"/>
                <w:sz w:val="26"/>
                <w:szCs w:val="26"/>
                <w:rtl/>
              </w:rPr>
              <w:t>מיליארד</w:t>
            </w:r>
            <w:r w:rsidRPr="00236CC3">
              <w:rPr>
                <w:rFonts w:ascii="Tahoma" w:hAnsi="Tahoma" w:cs="Tahoma"/>
                <w:spacing w:val="-10"/>
                <w:sz w:val="26"/>
                <w:szCs w:val="26"/>
                <w:rtl/>
              </w:rPr>
              <w:t xml:space="preserve"> ש"ח</w:t>
            </w:r>
          </w:p>
        </w:tc>
        <w:tc>
          <w:tcPr>
            <w:tcW w:w="284" w:type="dxa"/>
            <w:vAlign w:val="bottom"/>
          </w:tcPr>
          <w:p w14:paraId="2806BAB8"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840" w:type="dxa"/>
            <w:tcBorders>
              <w:bottom w:val="single" w:sz="12" w:space="0" w:color="auto"/>
            </w:tcBorders>
            <w:vAlign w:val="bottom"/>
          </w:tcPr>
          <w:p w14:paraId="2535ED87" w14:textId="77777777" w:rsidR="00236CC3" w:rsidRPr="00236CC3" w:rsidRDefault="00000000" w:rsidP="00236CC3">
            <w:pPr>
              <w:tabs>
                <w:tab w:val="center" w:pos="4153"/>
                <w:tab w:val="right" w:pos="8306"/>
              </w:tabs>
              <w:spacing w:after="60" w:line="240" w:lineRule="auto"/>
              <w:jc w:val="left"/>
              <w:rPr>
                <w:rFonts w:ascii="Tahoma" w:hAnsi="Tahoma" w:cs="Tahoma"/>
                <w:sz w:val="19"/>
                <w:szCs w:val="19"/>
                <w:rtl/>
              </w:rPr>
            </w:pPr>
            <w:r w:rsidRPr="00236CC3">
              <w:rPr>
                <w:rFonts w:ascii="Tahoma" w:hAnsi="Tahoma" w:cs="Tahoma" w:hint="cs"/>
                <w:spacing w:val="-10"/>
                <w:sz w:val="26"/>
                <w:szCs w:val="26"/>
                <w:rtl/>
              </w:rPr>
              <w:t>יותר מעשור</w:t>
            </w:r>
          </w:p>
        </w:tc>
      </w:tr>
      <w:tr w:rsidR="004F19B3" w14:paraId="4A70635F" w14:textId="77777777" w:rsidTr="00236CC3">
        <w:trPr>
          <w:trHeight w:val="1153"/>
        </w:trPr>
        <w:tc>
          <w:tcPr>
            <w:tcW w:w="2829" w:type="dxa"/>
            <w:tcBorders>
              <w:top w:val="single" w:sz="12" w:space="0" w:color="auto"/>
            </w:tcBorders>
          </w:tcPr>
          <w:p w14:paraId="34D4FE51"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eastAsia"/>
                <w:sz w:val="19"/>
                <w:szCs w:val="19"/>
                <w:rtl/>
              </w:rPr>
              <w:t>נדרשת</w:t>
            </w:r>
            <w:r w:rsidRPr="00236CC3">
              <w:rPr>
                <w:rFonts w:ascii="Tahoma" w:hAnsi="Tahoma" w:cs="Tahoma"/>
                <w:sz w:val="19"/>
                <w:szCs w:val="19"/>
                <w:rtl/>
              </w:rPr>
              <w:t xml:space="preserve"> </w:t>
            </w:r>
            <w:r w:rsidRPr="00236CC3">
              <w:rPr>
                <w:rFonts w:ascii="Tahoma" w:hAnsi="Tahoma" w:cs="Tahoma" w:hint="eastAsia"/>
                <w:sz w:val="19"/>
                <w:szCs w:val="19"/>
                <w:rtl/>
              </w:rPr>
              <w:t>ביקורת</w:t>
            </w:r>
            <w:r w:rsidRPr="00236CC3">
              <w:rPr>
                <w:rFonts w:ascii="Tahoma" w:hAnsi="Tahoma" w:cs="Tahoma"/>
                <w:sz w:val="19"/>
                <w:szCs w:val="19"/>
                <w:rtl/>
              </w:rPr>
              <w:t xml:space="preserve"> </w:t>
            </w:r>
            <w:r w:rsidRPr="00236CC3">
              <w:rPr>
                <w:rFonts w:ascii="Tahoma" w:hAnsi="Tahoma" w:cs="Tahoma" w:hint="eastAsia"/>
                <w:sz w:val="19"/>
                <w:szCs w:val="19"/>
                <w:rtl/>
              </w:rPr>
              <w:t>במתקני</w:t>
            </w:r>
            <w:r w:rsidRPr="00236CC3">
              <w:rPr>
                <w:rFonts w:ascii="Tahoma" w:hAnsi="Tahoma" w:cs="Tahoma"/>
                <w:sz w:val="19"/>
                <w:szCs w:val="19"/>
                <w:rtl/>
              </w:rPr>
              <w:t xml:space="preserve"> התפלה </w:t>
            </w:r>
            <w:r w:rsidRPr="00236CC3">
              <w:rPr>
                <w:rFonts w:ascii="Tahoma" w:hAnsi="Tahoma" w:cs="Tahoma" w:hint="eastAsia"/>
                <w:sz w:val="19"/>
                <w:szCs w:val="19"/>
                <w:rtl/>
              </w:rPr>
              <w:t>על</w:t>
            </w:r>
            <w:r w:rsidRPr="00236CC3">
              <w:rPr>
                <w:rFonts w:ascii="Tahoma" w:hAnsi="Tahoma" w:cs="Tahoma"/>
                <w:sz w:val="19"/>
                <w:szCs w:val="19"/>
                <w:rtl/>
              </w:rPr>
              <w:t xml:space="preserve"> </w:t>
            </w:r>
            <w:r w:rsidRPr="00236CC3">
              <w:rPr>
                <w:rFonts w:ascii="Tahoma" w:hAnsi="Tahoma" w:cs="Tahoma" w:hint="eastAsia"/>
                <w:sz w:val="19"/>
                <w:szCs w:val="19"/>
                <w:rtl/>
              </w:rPr>
              <w:t>פי</w:t>
            </w:r>
            <w:r w:rsidRPr="00236CC3">
              <w:rPr>
                <w:rFonts w:ascii="Tahoma" w:hAnsi="Tahoma" w:cs="Tahoma"/>
                <w:sz w:val="19"/>
                <w:szCs w:val="19"/>
                <w:rtl/>
              </w:rPr>
              <w:t xml:space="preserve"> </w:t>
            </w:r>
            <w:r w:rsidRPr="00236CC3">
              <w:rPr>
                <w:rFonts w:ascii="Tahoma" w:hAnsi="Tahoma" w:cs="Tahoma" w:hint="eastAsia"/>
                <w:sz w:val="19"/>
                <w:szCs w:val="19"/>
                <w:rtl/>
              </w:rPr>
              <w:t>נ</w:t>
            </w:r>
            <w:r w:rsidRPr="00236CC3">
              <w:rPr>
                <w:rFonts w:ascii="Tahoma" w:hAnsi="Tahoma" w:cs="Tahoma" w:hint="cs"/>
                <w:sz w:val="19"/>
                <w:szCs w:val="19"/>
                <w:rtl/>
              </w:rPr>
              <w:t>ו</w:t>
            </w:r>
            <w:r w:rsidRPr="00236CC3">
              <w:rPr>
                <w:rFonts w:ascii="Tahoma" w:hAnsi="Tahoma" w:cs="Tahoma" w:hint="eastAsia"/>
                <w:sz w:val="19"/>
                <w:szCs w:val="19"/>
                <w:rtl/>
              </w:rPr>
              <w:t>הל</w:t>
            </w:r>
            <w:r w:rsidRPr="00236CC3">
              <w:rPr>
                <w:rFonts w:ascii="Tahoma" w:hAnsi="Tahoma" w:cs="Tahoma"/>
                <w:sz w:val="19"/>
                <w:szCs w:val="19"/>
                <w:rtl/>
              </w:rPr>
              <w:t xml:space="preserve"> </w:t>
            </w:r>
            <w:r w:rsidRPr="00236CC3">
              <w:rPr>
                <w:rFonts w:ascii="Tahoma" w:hAnsi="Tahoma" w:cs="Tahoma" w:hint="eastAsia"/>
                <w:sz w:val="19"/>
                <w:szCs w:val="19"/>
                <w:rtl/>
              </w:rPr>
              <w:t>משרד</w:t>
            </w:r>
            <w:r w:rsidRPr="00236CC3">
              <w:rPr>
                <w:rFonts w:ascii="Tahoma" w:hAnsi="Tahoma" w:cs="Tahoma"/>
                <w:sz w:val="19"/>
                <w:szCs w:val="19"/>
                <w:rtl/>
              </w:rPr>
              <w:t xml:space="preserve"> </w:t>
            </w:r>
            <w:r w:rsidRPr="00236CC3">
              <w:rPr>
                <w:rFonts w:ascii="Tahoma" w:hAnsi="Tahoma" w:cs="Tahoma" w:hint="eastAsia"/>
                <w:sz w:val="19"/>
                <w:szCs w:val="19"/>
                <w:rtl/>
              </w:rPr>
              <w:t>הבריאות</w:t>
            </w:r>
            <w:r w:rsidRPr="00236CC3">
              <w:rPr>
                <w:rFonts w:ascii="Tahoma" w:hAnsi="Tahoma" w:cs="Tahoma"/>
                <w:sz w:val="19"/>
                <w:szCs w:val="19"/>
                <w:rtl/>
              </w:rPr>
              <w:t>.</w:t>
            </w:r>
            <w:r w:rsidRPr="00236CC3">
              <w:rPr>
                <w:rtl/>
              </w:rPr>
              <w:t xml:space="preserve"> </w:t>
            </w:r>
            <w:r w:rsidRPr="00236CC3">
              <w:rPr>
                <w:rFonts w:ascii="Tahoma" w:hAnsi="Tahoma" w:cs="Tahoma"/>
                <w:sz w:val="19"/>
                <w:szCs w:val="19"/>
                <w:rtl/>
              </w:rPr>
              <w:t xml:space="preserve">בפועל, </w:t>
            </w:r>
            <w:r w:rsidRPr="00236CC3">
              <w:rPr>
                <w:rFonts w:ascii="Tahoma" w:hAnsi="Tahoma" w:cs="Tahoma" w:hint="cs"/>
                <w:sz w:val="19"/>
                <w:szCs w:val="19"/>
                <w:rtl/>
              </w:rPr>
              <w:t xml:space="preserve">בשנים 2018 - 2023 </w:t>
            </w:r>
            <w:r w:rsidRPr="00236CC3">
              <w:rPr>
                <w:rFonts w:ascii="Tahoma" w:hAnsi="Tahoma" w:cs="Tahoma"/>
                <w:sz w:val="19"/>
                <w:szCs w:val="19"/>
                <w:rtl/>
              </w:rPr>
              <w:t xml:space="preserve">באף אחד ממתקני ההתפלה לא נערכה ביקורת </w:t>
            </w:r>
            <w:r w:rsidRPr="00236CC3">
              <w:rPr>
                <w:rFonts w:ascii="Tahoma" w:hAnsi="Tahoma" w:cs="Tahoma" w:hint="cs"/>
                <w:sz w:val="19"/>
                <w:szCs w:val="19"/>
                <w:rtl/>
              </w:rPr>
              <w:t>על ידי</w:t>
            </w:r>
            <w:r w:rsidRPr="00236CC3">
              <w:rPr>
                <w:rFonts w:ascii="Tahoma" w:hAnsi="Tahoma" w:cs="Tahoma"/>
                <w:sz w:val="19"/>
                <w:szCs w:val="19"/>
                <w:rtl/>
              </w:rPr>
              <w:t xml:space="preserve"> משרד הבריאות</w:t>
            </w:r>
            <w:r w:rsidRPr="00236CC3">
              <w:rPr>
                <w:rFonts w:ascii="Tahoma" w:hAnsi="Tahoma" w:cs="Tahoma" w:hint="cs"/>
                <w:sz w:val="19"/>
                <w:szCs w:val="19"/>
                <w:rtl/>
              </w:rPr>
              <w:t xml:space="preserve"> </w:t>
            </w:r>
            <w:r w:rsidRPr="00236CC3">
              <w:rPr>
                <w:rFonts w:ascii="Tahoma" w:hAnsi="Tahoma" w:cs="Tahoma"/>
                <w:sz w:val="19"/>
                <w:szCs w:val="19"/>
                <w:rtl/>
              </w:rPr>
              <w:t>כנדרש</w:t>
            </w:r>
            <w:r w:rsidRPr="00236CC3">
              <w:rPr>
                <w:rFonts w:ascii="Tahoma" w:hAnsi="Tahoma" w:cs="Tahoma" w:hint="cs"/>
                <w:sz w:val="19"/>
                <w:szCs w:val="19"/>
                <w:rtl/>
              </w:rPr>
              <w:t xml:space="preserve"> </w:t>
            </w:r>
            <w:r w:rsidRPr="00236CC3">
              <w:rPr>
                <w:rFonts w:ascii="Tahoma" w:hAnsi="Tahoma" w:cs="Tahoma"/>
                <w:sz w:val="19"/>
                <w:szCs w:val="19"/>
                <w:rtl/>
              </w:rPr>
              <w:t xml:space="preserve"> </w:t>
            </w:r>
          </w:p>
        </w:tc>
        <w:tc>
          <w:tcPr>
            <w:tcW w:w="283" w:type="dxa"/>
          </w:tcPr>
          <w:p w14:paraId="6A2D2E95"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835" w:type="dxa"/>
            <w:tcBorders>
              <w:top w:val="single" w:sz="12" w:space="0" w:color="auto"/>
            </w:tcBorders>
          </w:tcPr>
          <w:p w14:paraId="6260FD11"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eastAsia"/>
                <w:sz w:val="19"/>
                <w:szCs w:val="19"/>
                <w:rtl/>
              </w:rPr>
              <w:t>שילמה</w:t>
            </w:r>
            <w:r w:rsidRPr="00236CC3">
              <w:rPr>
                <w:rFonts w:ascii="Tahoma" w:hAnsi="Tahoma" w:cs="Tahoma"/>
                <w:sz w:val="19"/>
                <w:szCs w:val="19"/>
                <w:rtl/>
              </w:rPr>
              <w:t xml:space="preserve"> </w:t>
            </w:r>
            <w:r w:rsidRPr="00236CC3">
              <w:rPr>
                <w:rFonts w:ascii="Tahoma" w:hAnsi="Tahoma" w:cs="Tahoma" w:hint="eastAsia"/>
                <w:sz w:val="19"/>
                <w:szCs w:val="19"/>
                <w:rtl/>
              </w:rPr>
              <w:t>המדינה</w:t>
            </w:r>
            <w:r w:rsidRPr="00236CC3">
              <w:rPr>
                <w:rFonts w:ascii="Tahoma" w:hAnsi="Tahoma" w:cs="Tahoma"/>
                <w:sz w:val="19"/>
                <w:szCs w:val="19"/>
                <w:rtl/>
              </w:rPr>
              <w:t xml:space="preserve"> </w:t>
            </w:r>
            <w:r w:rsidRPr="00236CC3">
              <w:rPr>
                <w:rFonts w:ascii="Tahoma" w:hAnsi="Tahoma" w:cs="Tahoma" w:hint="eastAsia"/>
                <w:sz w:val="19"/>
                <w:szCs w:val="19"/>
                <w:rtl/>
              </w:rPr>
              <w:t>למתקני</w:t>
            </w:r>
            <w:r w:rsidRPr="00236CC3">
              <w:rPr>
                <w:rFonts w:ascii="Tahoma" w:hAnsi="Tahoma" w:cs="Tahoma"/>
                <w:sz w:val="19"/>
                <w:szCs w:val="19"/>
                <w:rtl/>
              </w:rPr>
              <w:t xml:space="preserve"> </w:t>
            </w:r>
            <w:r w:rsidRPr="00236CC3">
              <w:rPr>
                <w:rFonts w:ascii="Tahoma" w:hAnsi="Tahoma" w:cs="Tahoma" w:hint="eastAsia"/>
                <w:sz w:val="19"/>
                <w:szCs w:val="19"/>
                <w:rtl/>
              </w:rPr>
              <w:t>ההתפלה</w:t>
            </w:r>
            <w:r w:rsidRPr="00236CC3">
              <w:rPr>
                <w:rFonts w:ascii="Tahoma" w:hAnsi="Tahoma" w:cs="Tahoma"/>
                <w:sz w:val="19"/>
                <w:szCs w:val="19"/>
                <w:rtl/>
              </w:rPr>
              <w:t xml:space="preserve"> </w:t>
            </w:r>
            <w:r w:rsidRPr="00236CC3">
              <w:rPr>
                <w:rFonts w:ascii="Tahoma" w:hAnsi="Tahoma" w:cs="Tahoma" w:hint="eastAsia"/>
                <w:sz w:val="19"/>
                <w:szCs w:val="19"/>
                <w:rtl/>
              </w:rPr>
              <w:t>עבור</w:t>
            </w:r>
            <w:r w:rsidRPr="00236CC3">
              <w:rPr>
                <w:rFonts w:ascii="Tahoma" w:hAnsi="Tahoma" w:cs="Tahoma"/>
                <w:sz w:val="19"/>
                <w:szCs w:val="19"/>
                <w:rtl/>
              </w:rPr>
              <w:t xml:space="preserve"> </w:t>
            </w:r>
            <w:r w:rsidRPr="00236CC3">
              <w:rPr>
                <w:rFonts w:ascii="Tahoma" w:hAnsi="Tahoma" w:cs="Tahoma" w:hint="eastAsia"/>
                <w:sz w:val="19"/>
                <w:szCs w:val="19"/>
                <w:rtl/>
              </w:rPr>
              <w:t>מים</w:t>
            </w:r>
            <w:r w:rsidRPr="00236CC3">
              <w:rPr>
                <w:rFonts w:ascii="Tahoma" w:hAnsi="Tahoma" w:cs="Tahoma"/>
                <w:sz w:val="19"/>
                <w:szCs w:val="19"/>
                <w:rtl/>
              </w:rPr>
              <w:t xml:space="preserve"> </w:t>
            </w:r>
            <w:r w:rsidRPr="00236CC3">
              <w:rPr>
                <w:rFonts w:ascii="Tahoma" w:hAnsi="Tahoma" w:cs="Tahoma" w:hint="eastAsia"/>
                <w:sz w:val="19"/>
                <w:szCs w:val="19"/>
                <w:rtl/>
              </w:rPr>
              <w:t>שרכשה</w:t>
            </w:r>
            <w:r w:rsidRPr="00236CC3">
              <w:rPr>
                <w:rFonts w:ascii="Tahoma" w:hAnsi="Tahoma" w:cs="Tahoma"/>
                <w:sz w:val="19"/>
                <w:szCs w:val="19"/>
                <w:rtl/>
              </w:rPr>
              <w:t xml:space="preserve"> </w:t>
            </w:r>
            <w:r w:rsidRPr="00236CC3">
              <w:rPr>
                <w:rFonts w:ascii="Tahoma" w:hAnsi="Tahoma" w:cs="Tahoma" w:hint="eastAsia"/>
                <w:sz w:val="19"/>
                <w:szCs w:val="19"/>
                <w:rtl/>
              </w:rPr>
              <w:t>בשנת</w:t>
            </w:r>
            <w:r w:rsidRPr="00236CC3">
              <w:rPr>
                <w:rFonts w:ascii="Tahoma" w:hAnsi="Tahoma" w:cs="Tahoma"/>
                <w:sz w:val="19"/>
                <w:szCs w:val="19"/>
                <w:rtl/>
              </w:rPr>
              <w:t xml:space="preserve"> 2022. </w:t>
            </w:r>
            <w:r w:rsidRPr="00236CC3">
              <w:rPr>
                <w:rFonts w:ascii="Tahoma" w:hAnsi="Tahoma" w:cs="Tahoma" w:hint="eastAsia"/>
                <w:sz w:val="19"/>
                <w:szCs w:val="19"/>
                <w:rtl/>
              </w:rPr>
              <w:t>סכום</w:t>
            </w:r>
            <w:r w:rsidRPr="00236CC3">
              <w:rPr>
                <w:rFonts w:ascii="Tahoma" w:hAnsi="Tahoma" w:cs="Tahoma"/>
                <w:sz w:val="19"/>
                <w:szCs w:val="19"/>
                <w:rtl/>
              </w:rPr>
              <w:t xml:space="preserve"> </w:t>
            </w:r>
            <w:r w:rsidRPr="00236CC3">
              <w:rPr>
                <w:rFonts w:ascii="Tahoma" w:hAnsi="Tahoma" w:cs="Tahoma" w:hint="eastAsia"/>
                <w:sz w:val="19"/>
                <w:szCs w:val="19"/>
                <w:rtl/>
              </w:rPr>
              <w:t>הפיצויים</w:t>
            </w:r>
            <w:r w:rsidRPr="00236CC3">
              <w:rPr>
                <w:rFonts w:ascii="Tahoma" w:hAnsi="Tahoma" w:cs="Tahoma"/>
                <w:sz w:val="19"/>
                <w:szCs w:val="19"/>
                <w:rtl/>
              </w:rPr>
              <w:t xml:space="preserve"> המוסכמים </w:t>
            </w:r>
            <w:r w:rsidRPr="00236CC3">
              <w:rPr>
                <w:rFonts w:ascii="Tahoma" w:hAnsi="Tahoma" w:cs="Tahoma" w:hint="eastAsia"/>
                <w:sz w:val="19"/>
                <w:szCs w:val="19"/>
                <w:rtl/>
              </w:rPr>
              <w:t>שבהם</w:t>
            </w:r>
            <w:r w:rsidRPr="00236CC3">
              <w:rPr>
                <w:rFonts w:ascii="Tahoma" w:hAnsi="Tahoma" w:cs="Tahoma"/>
                <w:sz w:val="19"/>
                <w:szCs w:val="19"/>
                <w:rtl/>
              </w:rPr>
              <w:t xml:space="preserve"> </w:t>
            </w:r>
            <w:r w:rsidRPr="00236CC3">
              <w:rPr>
                <w:rFonts w:ascii="Tahoma" w:hAnsi="Tahoma" w:cs="Tahoma" w:hint="eastAsia"/>
                <w:sz w:val="19"/>
                <w:szCs w:val="19"/>
                <w:rtl/>
              </w:rPr>
              <w:t>חייבה</w:t>
            </w:r>
            <w:r w:rsidRPr="00236CC3">
              <w:rPr>
                <w:rFonts w:ascii="Tahoma" w:hAnsi="Tahoma" w:cs="Tahoma"/>
                <w:sz w:val="19"/>
                <w:szCs w:val="19"/>
                <w:rtl/>
              </w:rPr>
              <w:t xml:space="preserve"> </w:t>
            </w:r>
            <w:r w:rsidRPr="00236CC3">
              <w:rPr>
                <w:rFonts w:ascii="Tahoma" w:hAnsi="Tahoma" w:cs="Tahoma" w:hint="eastAsia"/>
                <w:sz w:val="19"/>
                <w:szCs w:val="19"/>
                <w:rtl/>
              </w:rPr>
              <w:t>מינהלת</w:t>
            </w:r>
            <w:r w:rsidRPr="00236CC3">
              <w:rPr>
                <w:rFonts w:ascii="Tahoma" w:hAnsi="Tahoma" w:cs="Tahoma"/>
                <w:sz w:val="19"/>
                <w:szCs w:val="19"/>
                <w:rtl/>
              </w:rPr>
              <w:t xml:space="preserve"> </w:t>
            </w:r>
            <w:r w:rsidRPr="00236CC3">
              <w:rPr>
                <w:rFonts w:ascii="Tahoma" w:hAnsi="Tahoma" w:cs="Tahoma" w:hint="eastAsia"/>
                <w:sz w:val="19"/>
                <w:szCs w:val="19"/>
                <w:rtl/>
              </w:rPr>
              <w:t>ההתפלה</w:t>
            </w:r>
            <w:r w:rsidRPr="00236CC3">
              <w:rPr>
                <w:rFonts w:ascii="Tahoma" w:hAnsi="Tahoma" w:cs="Tahoma"/>
                <w:sz w:val="19"/>
                <w:szCs w:val="19"/>
                <w:rtl/>
              </w:rPr>
              <w:t xml:space="preserve"> </w:t>
            </w:r>
            <w:r w:rsidRPr="00236CC3">
              <w:rPr>
                <w:rFonts w:ascii="Tahoma" w:hAnsi="Tahoma" w:cs="Tahoma" w:hint="eastAsia"/>
                <w:sz w:val="19"/>
                <w:szCs w:val="19"/>
                <w:rtl/>
              </w:rPr>
              <w:t>את</w:t>
            </w:r>
            <w:r w:rsidRPr="00236CC3">
              <w:rPr>
                <w:rFonts w:ascii="Tahoma" w:hAnsi="Tahoma" w:cs="Tahoma"/>
                <w:sz w:val="19"/>
                <w:szCs w:val="19"/>
                <w:rtl/>
              </w:rPr>
              <w:t xml:space="preserve"> </w:t>
            </w:r>
            <w:r w:rsidRPr="00236CC3">
              <w:rPr>
                <w:rFonts w:ascii="Tahoma" w:hAnsi="Tahoma" w:cs="Tahoma" w:hint="eastAsia"/>
                <w:sz w:val="19"/>
                <w:szCs w:val="19"/>
                <w:rtl/>
              </w:rPr>
              <w:t>כל</w:t>
            </w:r>
            <w:r w:rsidRPr="00236CC3">
              <w:rPr>
                <w:rFonts w:ascii="Tahoma" w:hAnsi="Tahoma" w:cs="Tahoma"/>
                <w:sz w:val="19"/>
                <w:szCs w:val="19"/>
                <w:rtl/>
              </w:rPr>
              <w:t xml:space="preserve"> </w:t>
            </w:r>
            <w:r w:rsidRPr="00236CC3">
              <w:rPr>
                <w:rFonts w:ascii="Tahoma" w:hAnsi="Tahoma" w:cs="Tahoma" w:hint="eastAsia"/>
                <w:sz w:val="19"/>
                <w:szCs w:val="19"/>
                <w:rtl/>
              </w:rPr>
              <w:t>המתפילים</w:t>
            </w:r>
            <w:r w:rsidRPr="00236CC3">
              <w:rPr>
                <w:rFonts w:ascii="Tahoma" w:hAnsi="Tahoma" w:cs="Tahoma"/>
                <w:sz w:val="19"/>
                <w:szCs w:val="19"/>
                <w:rtl/>
              </w:rPr>
              <w:t xml:space="preserve"> </w:t>
            </w:r>
            <w:r w:rsidRPr="00236CC3">
              <w:rPr>
                <w:rFonts w:ascii="Tahoma" w:hAnsi="Tahoma" w:cs="Tahoma" w:hint="eastAsia"/>
                <w:sz w:val="19"/>
                <w:szCs w:val="19"/>
                <w:rtl/>
              </w:rPr>
              <w:t>בשנת</w:t>
            </w:r>
            <w:r w:rsidRPr="00236CC3">
              <w:rPr>
                <w:rFonts w:ascii="Tahoma" w:hAnsi="Tahoma" w:cs="Tahoma"/>
                <w:sz w:val="19"/>
                <w:szCs w:val="19"/>
                <w:rtl/>
              </w:rPr>
              <w:t xml:space="preserve"> 2023 </w:t>
            </w:r>
            <w:r w:rsidRPr="00236CC3">
              <w:rPr>
                <w:rFonts w:ascii="Tahoma" w:hAnsi="Tahoma" w:cs="Tahoma" w:hint="eastAsia"/>
                <w:sz w:val="19"/>
                <w:szCs w:val="19"/>
                <w:rtl/>
              </w:rPr>
              <w:t>על</w:t>
            </w:r>
            <w:r w:rsidRPr="00236CC3">
              <w:rPr>
                <w:rFonts w:ascii="Tahoma" w:hAnsi="Tahoma" w:cs="Tahoma"/>
                <w:sz w:val="19"/>
                <w:szCs w:val="19"/>
                <w:rtl/>
              </w:rPr>
              <w:t xml:space="preserve"> </w:t>
            </w:r>
            <w:r w:rsidRPr="00236CC3">
              <w:rPr>
                <w:rFonts w:ascii="Tahoma" w:hAnsi="Tahoma" w:cs="Tahoma" w:hint="eastAsia"/>
                <w:sz w:val="19"/>
                <w:szCs w:val="19"/>
                <w:rtl/>
              </w:rPr>
              <w:t>מים</w:t>
            </w:r>
            <w:r w:rsidRPr="00236CC3">
              <w:rPr>
                <w:rFonts w:ascii="Tahoma" w:hAnsi="Tahoma" w:cs="Tahoma"/>
                <w:sz w:val="19"/>
                <w:szCs w:val="19"/>
                <w:rtl/>
              </w:rPr>
              <w:t xml:space="preserve"> </w:t>
            </w:r>
            <w:r w:rsidRPr="00236CC3">
              <w:rPr>
                <w:rFonts w:ascii="Tahoma" w:hAnsi="Tahoma" w:cs="Tahoma" w:hint="eastAsia"/>
                <w:sz w:val="19"/>
                <w:szCs w:val="19"/>
                <w:rtl/>
              </w:rPr>
              <w:t>שסופקו</w:t>
            </w:r>
            <w:r w:rsidRPr="00236CC3">
              <w:rPr>
                <w:rFonts w:ascii="Tahoma" w:hAnsi="Tahoma" w:cs="Tahoma"/>
                <w:sz w:val="19"/>
                <w:szCs w:val="19"/>
                <w:rtl/>
              </w:rPr>
              <w:t xml:space="preserve"> </w:t>
            </w:r>
            <w:r w:rsidRPr="00236CC3">
              <w:rPr>
                <w:rFonts w:ascii="Tahoma" w:hAnsi="Tahoma" w:cs="Tahoma" w:hint="eastAsia"/>
                <w:sz w:val="19"/>
                <w:szCs w:val="19"/>
                <w:rtl/>
              </w:rPr>
              <w:t>ושחרגו</w:t>
            </w:r>
            <w:r w:rsidRPr="00236CC3">
              <w:rPr>
                <w:rFonts w:ascii="Tahoma" w:hAnsi="Tahoma" w:cs="Tahoma"/>
                <w:sz w:val="19"/>
                <w:szCs w:val="19"/>
                <w:rtl/>
              </w:rPr>
              <w:t xml:space="preserve"> </w:t>
            </w:r>
            <w:r w:rsidRPr="00236CC3">
              <w:rPr>
                <w:rFonts w:ascii="Tahoma" w:hAnsi="Tahoma" w:cs="Tahoma" w:hint="eastAsia"/>
                <w:sz w:val="19"/>
                <w:szCs w:val="19"/>
                <w:rtl/>
              </w:rPr>
              <w:t>במדדים</w:t>
            </w:r>
            <w:r w:rsidRPr="00236CC3">
              <w:rPr>
                <w:rFonts w:ascii="Tahoma" w:hAnsi="Tahoma" w:cs="Tahoma"/>
                <w:sz w:val="19"/>
                <w:szCs w:val="19"/>
                <w:rtl/>
              </w:rPr>
              <w:t xml:space="preserve"> </w:t>
            </w:r>
            <w:r w:rsidRPr="00236CC3">
              <w:rPr>
                <w:rFonts w:ascii="Tahoma" w:hAnsi="Tahoma" w:cs="Tahoma" w:hint="eastAsia"/>
                <w:sz w:val="19"/>
                <w:szCs w:val="19"/>
                <w:rtl/>
              </w:rPr>
              <w:t>מהערכים</w:t>
            </w:r>
            <w:r w:rsidRPr="00236CC3">
              <w:rPr>
                <w:rFonts w:ascii="Tahoma" w:hAnsi="Tahoma" w:cs="Tahoma"/>
                <w:sz w:val="19"/>
                <w:szCs w:val="19"/>
                <w:rtl/>
              </w:rPr>
              <w:t xml:space="preserve"> </w:t>
            </w:r>
            <w:r w:rsidRPr="00236CC3">
              <w:rPr>
                <w:rFonts w:ascii="Tahoma" w:hAnsi="Tahoma" w:cs="Tahoma" w:hint="eastAsia"/>
                <w:sz w:val="19"/>
                <w:szCs w:val="19"/>
                <w:rtl/>
              </w:rPr>
              <w:t>שנקבעו</w:t>
            </w:r>
            <w:r w:rsidRPr="00236CC3">
              <w:rPr>
                <w:rFonts w:ascii="Tahoma" w:hAnsi="Tahoma" w:cs="Tahoma"/>
                <w:sz w:val="19"/>
                <w:szCs w:val="19"/>
                <w:rtl/>
              </w:rPr>
              <w:t xml:space="preserve"> </w:t>
            </w:r>
            <w:r w:rsidRPr="00236CC3">
              <w:rPr>
                <w:rFonts w:ascii="Tahoma" w:hAnsi="Tahoma" w:cs="Tahoma" w:hint="eastAsia"/>
                <w:sz w:val="19"/>
                <w:szCs w:val="19"/>
                <w:rtl/>
              </w:rPr>
              <w:t>בהסכמי</w:t>
            </w:r>
            <w:r w:rsidRPr="00236CC3">
              <w:rPr>
                <w:rFonts w:ascii="Tahoma" w:hAnsi="Tahoma" w:cs="Tahoma"/>
                <w:sz w:val="19"/>
                <w:szCs w:val="19"/>
                <w:rtl/>
              </w:rPr>
              <w:t xml:space="preserve"> </w:t>
            </w:r>
            <w:r w:rsidRPr="00236CC3">
              <w:rPr>
                <w:rFonts w:ascii="Tahoma" w:hAnsi="Tahoma" w:cs="Tahoma" w:hint="eastAsia"/>
                <w:sz w:val="19"/>
                <w:szCs w:val="19"/>
                <w:rtl/>
              </w:rPr>
              <w:t>הזיכיון</w:t>
            </w:r>
            <w:r w:rsidRPr="00236CC3">
              <w:rPr>
                <w:rFonts w:ascii="Tahoma" w:hAnsi="Tahoma" w:cs="Tahoma"/>
                <w:sz w:val="19"/>
                <w:szCs w:val="19"/>
                <w:rtl/>
              </w:rPr>
              <w:t xml:space="preserve"> </w:t>
            </w:r>
            <w:r w:rsidRPr="00236CC3">
              <w:rPr>
                <w:rFonts w:ascii="Tahoma" w:hAnsi="Tahoma" w:cs="Tahoma" w:hint="eastAsia"/>
                <w:sz w:val="19"/>
                <w:szCs w:val="19"/>
                <w:rtl/>
              </w:rPr>
              <w:t>היה</w:t>
            </w:r>
            <w:r w:rsidRPr="00236CC3">
              <w:rPr>
                <w:rFonts w:ascii="Tahoma" w:hAnsi="Tahoma" w:cs="Tahoma"/>
                <w:sz w:val="19"/>
                <w:szCs w:val="19"/>
                <w:rtl/>
              </w:rPr>
              <w:t xml:space="preserve"> </w:t>
            </w:r>
            <w:r w:rsidRPr="00236CC3">
              <w:rPr>
                <w:rFonts w:ascii="Tahoma" w:hAnsi="Tahoma" w:cs="Tahoma" w:hint="eastAsia"/>
                <w:sz w:val="19"/>
                <w:szCs w:val="19"/>
                <w:rtl/>
              </w:rPr>
              <w:t>כ</w:t>
            </w:r>
            <w:r w:rsidRPr="00236CC3">
              <w:rPr>
                <w:rFonts w:ascii="Tahoma" w:hAnsi="Tahoma" w:cs="Tahoma"/>
                <w:sz w:val="19"/>
                <w:szCs w:val="19"/>
                <w:rtl/>
              </w:rPr>
              <w:t xml:space="preserve">-1.6 </w:t>
            </w:r>
            <w:r w:rsidRPr="00236CC3">
              <w:rPr>
                <w:rFonts w:ascii="Tahoma" w:hAnsi="Tahoma" w:cs="Tahoma" w:hint="eastAsia"/>
                <w:sz w:val="19"/>
                <w:szCs w:val="19"/>
                <w:rtl/>
              </w:rPr>
              <w:t>מיליון</w:t>
            </w:r>
            <w:r w:rsidRPr="00236CC3">
              <w:rPr>
                <w:rFonts w:ascii="Tahoma" w:hAnsi="Tahoma" w:cs="Tahoma"/>
                <w:sz w:val="19"/>
                <w:szCs w:val="19"/>
                <w:rtl/>
              </w:rPr>
              <w:t xml:space="preserve"> </w:t>
            </w:r>
            <w:r w:rsidRPr="00236CC3">
              <w:rPr>
                <w:rFonts w:ascii="Tahoma" w:hAnsi="Tahoma" w:cs="Tahoma" w:hint="eastAsia"/>
                <w:sz w:val="19"/>
                <w:szCs w:val="19"/>
                <w:rtl/>
              </w:rPr>
              <w:t>ש</w:t>
            </w:r>
            <w:r w:rsidRPr="00236CC3">
              <w:rPr>
                <w:rFonts w:ascii="Tahoma" w:hAnsi="Tahoma" w:cs="Tahoma"/>
                <w:sz w:val="19"/>
                <w:szCs w:val="19"/>
                <w:rtl/>
              </w:rPr>
              <w:t>"ח</w:t>
            </w:r>
          </w:p>
        </w:tc>
        <w:tc>
          <w:tcPr>
            <w:tcW w:w="284" w:type="dxa"/>
          </w:tcPr>
          <w:p w14:paraId="3DD96771"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840" w:type="dxa"/>
            <w:tcBorders>
              <w:top w:val="single" w:sz="12" w:space="0" w:color="auto"/>
            </w:tcBorders>
          </w:tcPr>
          <w:p w14:paraId="586233F7"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עיכוב מתמשך של</w:t>
            </w:r>
            <w:r w:rsidRPr="00236CC3">
              <w:rPr>
                <w:rtl/>
              </w:rPr>
              <w:t xml:space="preserve"> </w:t>
            </w:r>
            <w:r w:rsidRPr="00236CC3">
              <w:rPr>
                <w:rFonts w:ascii="Tahoma" w:hAnsi="Tahoma" w:cs="Tahoma"/>
                <w:sz w:val="19"/>
                <w:szCs w:val="19"/>
                <w:rtl/>
              </w:rPr>
              <w:t>משרד</w:t>
            </w:r>
            <w:r w:rsidRPr="00236CC3">
              <w:rPr>
                <w:rFonts w:ascii="Tahoma" w:hAnsi="Tahoma" w:cs="Tahoma" w:hint="cs"/>
                <w:sz w:val="19"/>
                <w:szCs w:val="19"/>
                <w:rtl/>
              </w:rPr>
              <w:t>י</w:t>
            </w:r>
            <w:r w:rsidRPr="00236CC3">
              <w:rPr>
                <w:rFonts w:ascii="Tahoma" w:hAnsi="Tahoma" w:cs="Tahoma"/>
                <w:sz w:val="19"/>
                <w:szCs w:val="19"/>
                <w:rtl/>
              </w:rPr>
              <w:t xml:space="preserve"> הבריאות, האוצר, החקלאות, האנרגייה ורשות המים</w:t>
            </w:r>
            <w:r w:rsidRPr="00236CC3">
              <w:rPr>
                <w:rFonts w:ascii="Tahoma" w:hAnsi="Tahoma" w:cs="Tahoma" w:hint="cs"/>
                <w:sz w:val="19"/>
                <w:szCs w:val="19"/>
                <w:rtl/>
              </w:rPr>
              <w:t xml:space="preserve"> ביישום תקנות בריאות העם בעניין הקמת מתקן חלוץ (פיילוט) שמהפעלתו יוסקו מסקנות לגבי הוספת מגנזיום למים מותפלים</w:t>
            </w:r>
          </w:p>
        </w:tc>
      </w:tr>
    </w:tbl>
    <w:p w14:paraId="54A108C7" w14:textId="77777777" w:rsidR="00236CC3" w:rsidRPr="00236CC3" w:rsidRDefault="00236CC3" w:rsidP="00236CC3">
      <w:pPr>
        <w:ind w:left="-710"/>
        <w:rPr>
          <w:rFonts w:eastAsiaTheme="minorHAnsi"/>
          <w:rtl/>
        </w:rPr>
      </w:pPr>
    </w:p>
    <w:p w14:paraId="40DAAF42" w14:textId="77777777" w:rsidR="00236CC3" w:rsidRPr="00236CC3" w:rsidRDefault="00236CC3" w:rsidP="00236CC3">
      <w:pPr>
        <w:ind w:left="-710"/>
        <w:rPr>
          <w:rFonts w:eastAsiaTheme="minorHAnsi"/>
          <w:rtl/>
        </w:rPr>
      </w:pPr>
    </w:p>
    <w:p w14:paraId="20823F36" w14:textId="77777777" w:rsidR="00236CC3" w:rsidRPr="00236CC3" w:rsidRDefault="00236CC3" w:rsidP="00236CC3">
      <w:pPr>
        <w:ind w:left="-710"/>
        <w:rPr>
          <w:rFonts w:ascii="Tahoma" w:eastAsiaTheme="minorHAnsi" w:hAnsi="Tahoma" w:cs="Tahoma"/>
          <w:noProof/>
          <w:rtl/>
        </w:rPr>
      </w:pPr>
    </w:p>
    <w:p w14:paraId="3FBFB1FD" w14:textId="77777777" w:rsidR="00236CC3" w:rsidRPr="00236CC3" w:rsidRDefault="00236CC3" w:rsidP="00236CC3">
      <w:pPr>
        <w:ind w:left="-710"/>
        <w:rPr>
          <w:rFonts w:ascii="Tahoma" w:eastAsiaTheme="minorHAnsi" w:hAnsi="Tahoma" w:cs="Tahoma"/>
          <w:noProof/>
          <w:rtl/>
        </w:rPr>
      </w:pPr>
    </w:p>
    <w:p w14:paraId="381C19AB" w14:textId="77777777" w:rsidR="00236CC3" w:rsidRPr="00236CC3" w:rsidRDefault="00000000" w:rsidP="00236CC3">
      <w:pPr>
        <w:ind w:left="-710"/>
        <w:rPr>
          <w:rFonts w:ascii="Tahoma" w:eastAsiaTheme="minorHAnsi" w:hAnsi="Tahoma" w:cs="Tahoma"/>
          <w:noProof/>
          <w:rtl/>
        </w:rPr>
      </w:pPr>
      <w:r w:rsidRPr="00236CC3">
        <w:rPr>
          <w:rFonts w:ascii="Tahoma" w:eastAsiaTheme="minorHAnsi" w:hAnsi="Tahoma" w:cs="Tahoma"/>
          <w:noProof/>
        </w:rPr>
        <w:drawing>
          <wp:inline distT="0" distB="0" distL="0" distR="0" wp14:anchorId="3C6991C6" wp14:editId="390A1F5D">
            <wp:extent cx="6104255" cy="438829"/>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29117809" w14:textId="77777777" w:rsidR="00236CC3" w:rsidRPr="00236CC3" w:rsidRDefault="00000000" w:rsidP="00236CC3">
      <w:pPr>
        <w:spacing w:before="240" w:after="160" w:line="480" w:lineRule="auto"/>
        <w:ind w:left="-709" w:right="-567"/>
        <w:rPr>
          <w:rFonts w:eastAsiaTheme="minorHAnsi"/>
          <w:rtl/>
        </w:rPr>
      </w:pPr>
      <w:r w:rsidRPr="00236CC3">
        <w:rPr>
          <w:rFonts w:ascii="Tahoma" w:eastAsiaTheme="minorHAnsi" w:hAnsi="Tahoma" w:cs="Tahoma"/>
          <w:noProof/>
          <w:rtl/>
        </w:rPr>
        <w:drawing>
          <wp:inline distT="0" distB="0" distL="0" distR="0" wp14:anchorId="546202BC" wp14:editId="4F0FB8DE">
            <wp:extent cx="2616789" cy="200650"/>
            <wp:effectExtent l="0" t="0" r="0" b="9525"/>
            <wp:docPr id="1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1E36AC9D"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תוכנית אב למשק המים</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אף שעברו יותר מ-13 שנים מהחלטת הממשלה משנת 2010, ואף שמשרד מבקר המדינה העיר לרשות המים באוקטובר 2012, באוקטובר 2015, באוקטובר 2018</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ובאוקטובר 2020</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על אי-קיומה של תוכנית אב למשק המים, עד מועד סיום הביקורת </w:t>
      </w:r>
      <w:r w:rsidRPr="00236CC3">
        <w:rPr>
          <w:rFonts w:ascii="Tahoma" w:eastAsiaTheme="minorHAnsi" w:hAnsi="Tahoma" w:cs="Tahoma" w:hint="eastAsia"/>
          <w:sz w:val="19"/>
          <w:szCs w:val="19"/>
          <w:rtl/>
        </w:rPr>
        <w:t>רשות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המים</w:t>
      </w:r>
      <w:r w:rsidRPr="00236CC3">
        <w:rPr>
          <w:rFonts w:ascii="Tahoma" w:eastAsiaTheme="minorHAnsi" w:hAnsi="Tahoma" w:cs="Tahoma"/>
          <w:sz w:val="19"/>
          <w:szCs w:val="19"/>
          <w:rtl/>
        </w:rPr>
        <w:t xml:space="preserve"> לא השלימה את הכנת תוכנית האב כאמור, ולא הביאה אותה לאישור </w:t>
      </w:r>
      <w:r w:rsidRPr="00236CC3">
        <w:rPr>
          <w:rFonts w:ascii="Tahoma" w:eastAsiaTheme="minorHAnsi" w:hAnsi="Tahoma" w:cs="Tahoma" w:hint="cs"/>
          <w:sz w:val="19"/>
          <w:szCs w:val="19"/>
          <w:rtl/>
        </w:rPr>
        <w:t xml:space="preserve">מועצת רשות המים </w:t>
      </w:r>
      <w:r w:rsidRPr="00236CC3">
        <w:rPr>
          <w:rFonts w:ascii="Tahoma" w:eastAsiaTheme="minorHAnsi" w:hAnsi="Tahoma" w:cs="Tahoma"/>
          <w:sz w:val="19"/>
          <w:szCs w:val="19"/>
          <w:rtl/>
        </w:rPr>
        <w:t>ולאישור הממשלה, כנדרש בהחלטת הממשלה משנת 2010.</w:t>
      </w:r>
      <w:r w:rsidRPr="00236CC3">
        <w:rPr>
          <w:rFonts w:eastAsiaTheme="minorHAnsi"/>
          <w:rtl/>
        </w:rPr>
        <w:t xml:space="preserve"> </w:t>
      </w:r>
      <w:bookmarkStart w:id="39" w:name="_Hlk171523754"/>
      <w:bookmarkStart w:id="40" w:name="_Hlk171523839"/>
      <w:bookmarkStart w:id="41" w:name="_Hlk171344497"/>
      <w:r w:rsidRPr="00236CC3">
        <w:rPr>
          <w:rFonts w:ascii="Tahoma" w:eastAsiaTheme="minorHAnsi" w:hAnsi="Tahoma" w:cs="Tahoma"/>
          <w:sz w:val="19"/>
          <w:szCs w:val="19"/>
          <w:rtl/>
        </w:rPr>
        <w:t>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השלמת תוכנית האב </w:t>
      </w:r>
      <w:r w:rsidRPr="00236CC3">
        <w:rPr>
          <w:rFonts w:ascii="Tahoma" w:eastAsiaTheme="minorHAnsi" w:hAnsi="Tahoma" w:cs="Tahoma" w:hint="cs"/>
          <w:sz w:val="19"/>
          <w:szCs w:val="19"/>
          <w:rtl/>
        </w:rPr>
        <w:t>במשך</w:t>
      </w:r>
      <w:r w:rsidRPr="00236CC3">
        <w:rPr>
          <w:rFonts w:ascii="Tahoma" w:eastAsiaTheme="minorHAnsi" w:hAnsi="Tahoma" w:cs="Tahoma"/>
          <w:sz w:val="19"/>
          <w:szCs w:val="19"/>
          <w:rtl/>
        </w:rPr>
        <w:t xml:space="preserve"> יותר מעשור ובעיקר נוכח הצורך לפעול על פי תכנון לטווח ארוך בתחום ההתפלה עלולה להקשות על ניהול משק המים</w:t>
      </w:r>
      <w:r w:rsidRPr="00236CC3">
        <w:rPr>
          <w:rFonts w:ascii="Tahoma" w:eastAsiaTheme="minorHAnsi" w:hAnsi="Tahoma" w:cs="Tahoma" w:hint="cs"/>
          <w:sz w:val="19"/>
          <w:szCs w:val="19"/>
          <w:rtl/>
        </w:rPr>
        <w:t xml:space="preserve">. </w:t>
      </w:r>
      <w:bookmarkEnd w:id="39"/>
      <w:bookmarkEnd w:id="40"/>
      <w:bookmarkEnd w:id="41"/>
      <w:r w:rsidRPr="00236CC3">
        <w:rPr>
          <w:rFonts w:ascii="Tahoma" w:eastAsiaTheme="minorHAnsi" w:hAnsi="Tahoma" w:cs="Tahoma" w:hint="eastAsia"/>
          <w:sz w:val="19"/>
          <w:szCs w:val="19"/>
          <w:rtl/>
        </w:rPr>
        <w:t>כפי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שקבע</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מבקר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המדינה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בשנת</w:t>
      </w:r>
      <w:r w:rsidRPr="00236CC3">
        <w:rPr>
          <w:rFonts w:ascii="Tahoma" w:eastAsiaTheme="minorHAnsi" w:hAnsi="Tahoma" w:cs="Tahoma"/>
          <w:sz w:val="19"/>
          <w:szCs w:val="19"/>
          <w:rtl/>
        </w:rPr>
        <w:t xml:space="preserve"> 2018 "</w:t>
      </w:r>
      <w:r w:rsidRPr="00236CC3">
        <w:rPr>
          <w:rFonts w:ascii="Tahoma" w:eastAsiaTheme="minorHAnsi" w:hAnsi="Tahoma" w:cs="Tahoma" w:hint="eastAsia"/>
          <w:sz w:val="19"/>
          <w:szCs w:val="19"/>
          <w:rtl/>
        </w:rPr>
        <w:t>תוכנית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כאמור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תאפשר</w:t>
      </w:r>
      <w:r w:rsidRPr="00236CC3">
        <w:rPr>
          <w:rFonts w:ascii="Tahoma" w:eastAsiaTheme="minorHAnsi" w:hAnsi="Tahoma" w:cs="Tahoma"/>
          <w:sz w:val="19"/>
          <w:szCs w:val="19"/>
          <w:rtl/>
        </w:rPr>
        <w:t xml:space="preserve"> לנהל את משק המים כמשק בר קַייָמה, תסייע להימנע ממצבי משבר בעתיד, תתווה את המדיניות ותקבע את סדרי העדיפויות במשק המים לשנים הבאות".</w:t>
      </w:r>
    </w:p>
    <w:p w14:paraId="3288D77B"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אישור תוכנית לפיתוח משק ההתפלה לטווח ארוך עד שנת 2050 </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רשות המים הציגה למועצת רשות המים ביוני 2023 את צורכי הייצור במשק ההתפלה לטווח ארוך עד שנת 2050, אולם עד מועד סיום הביקורת מועצת רשות המים טרם אישרה </w:t>
      </w:r>
      <w:r w:rsidRPr="00236CC3">
        <w:rPr>
          <w:rFonts w:ascii="Tahoma" w:eastAsiaTheme="minorHAnsi" w:hAnsi="Tahoma" w:cs="Tahoma" w:hint="cs"/>
          <w:sz w:val="19"/>
          <w:szCs w:val="19"/>
          <w:rtl/>
        </w:rPr>
        <w:t>את ה</w:t>
      </w:r>
      <w:r w:rsidRPr="00236CC3">
        <w:rPr>
          <w:rFonts w:ascii="Tahoma" w:eastAsiaTheme="minorHAnsi" w:hAnsi="Tahoma" w:cs="Tahoma"/>
          <w:sz w:val="19"/>
          <w:szCs w:val="19"/>
          <w:rtl/>
        </w:rPr>
        <w:t xml:space="preserve">תוכנית </w:t>
      </w:r>
      <w:r w:rsidRPr="00236CC3">
        <w:rPr>
          <w:rFonts w:ascii="Tahoma" w:eastAsiaTheme="minorHAnsi" w:hAnsi="Tahoma" w:cs="Tahoma" w:hint="cs"/>
          <w:sz w:val="19"/>
          <w:szCs w:val="19"/>
          <w:rtl/>
        </w:rPr>
        <w:t xml:space="preserve">האמורה </w:t>
      </w:r>
      <w:r w:rsidRPr="00236CC3">
        <w:rPr>
          <w:rFonts w:ascii="Tahoma" w:eastAsiaTheme="minorHAnsi" w:hAnsi="Tahoma" w:cs="Tahoma"/>
          <w:sz w:val="19"/>
          <w:szCs w:val="19"/>
          <w:rtl/>
        </w:rPr>
        <w:t>לפיתוח משק ההתפלה לטווח ארוך עד שנת 2050</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אישור תוכנית פיתוח עד שנת </w:t>
      </w:r>
      <w:r w:rsidRPr="00236CC3">
        <w:rPr>
          <w:rFonts w:ascii="Tahoma" w:eastAsiaTheme="minorHAnsi" w:hAnsi="Tahoma" w:cs="Tahoma" w:hint="cs"/>
          <w:sz w:val="19"/>
          <w:szCs w:val="19"/>
          <w:rtl/>
        </w:rPr>
        <w:t>2050,</w:t>
      </w:r>
      <w:r w:rsidRPr="00236CC3">
        <w:rPr>
          <w:rFonts w:ascii="Tahoma" w:eastAsiaTheme="minorHAnsi" w:hAnsi="Tahoma" w:cs="Tahoma"/>
          <w:sz w:val="19"/>
          <w:szCs w:val="19"/>
          <w:rtl/>
        </w:rPr>
        <w:t xml:space="preserve"> ואף מעבר לכך, חיוני להמשך הפעולות התכנוניות לקידום </w:t>
      </w:r>
      <w:r w:rsidRPr="00236CC3">
        <w:rPr>
          <w:rFonts w:ascii="Tahoma" w:eastAsiaTheme="minorHAnsi" w:hAnsi="Tahoma" w:cs="Tahoma" w:hint="cs"/>
          <w:sz w:val="19"/>
          <w:szCs w:val="19"/>
          <w:rtl/>
        </w:rPr>
        <w:t xml:space="preserve">הקמת </w:t>
      </w:r>
      <w:r w:rsidRPr="00236CC3">
        <w:rPr>
          <w:rFonts w:ascii="Tahoma" w:eastAsiaTheme="minorHAnsi" w:hAnsi="Tahoma" w:cs="Tahoma"/>
          <w:sz w:val="19"/>
          <w:szCs w:val="19"/>
          <w:rtl/>
        </w:rPr>
        <w:t>מתקני התפלה ו</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הסרת חסמים סטטוטוריים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ככל שיהיו</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מוקדם ככל האפשר.</w:t>
      </w:r>
    </w:p>
    <w:p w14:paraId="46BF585C"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זיהום מי ים ביניקה</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משנת 2007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עד מועד סיום הביקורת התרחשו 14 אירועים של זיהום מי ים שבגינם הופסק הייצור במתקני ההתפלה. הפסקות הייצור </w:t>
      </w:r>
      <w:r w:rsidRPr="00236CC3">
        <w:rPr>
          <w:rFonts w:ascii="Tahoma" w:eastAsiaTheme="minorHAnsi" w:hAnsi="Tahoma" w:cs="Tahoma" w:hint="cs"/>
          <w:sz w:val="19"/>
          <w:szCs w:val="19"/>
          <w:rtl/>
        </w:rPr>
        <w:t xml:space="preserve">במתקנים </w:t>
      </w:r>
      <w:r w:rsidRPr="00236CC3">
        <w:rPr>
          <w:rFonts w:ascii="Tahoma" w:eastAsiaTheme="minorHAnsi" w:hAnsi="Tahoma" w:cs="Tahoma"/>
          <w:sz w:val="19"/>
          <w:szCs w:val="19"/>
          <w:rtl/>
        </w:rPr>
        <w:t>היו לפרק זמן של כמה שעות ועד לחמישה ימים. הסיבות להפסקת הייצור במתקנים היו תוצאות בדיקות שבהן נמצאו זיהום מיקרוביאלי, דלק ושמנים ועכירות.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זיהום מיקרוביאלי במי הים </w:t>
      </w:r>
      <w:bookmarkStart w:id="42" w:name="_Hlk172705878"/>
      <w:r w:rsidRPr="00236CC3">
        <w:rPr>
          <w:rFonts w:ascii="Tahoma" w:eastAsiaTheme="minorHAnsi" w:hAnsi="Tahoma" w:cs="Tahoma"/>
          <w:sz w:val="19"/>
          <w:szCs w:val="19"/>
          <w:rtl/>
        </w:rPr>
        <w:t xml:space="preserve">עלול לנבוע בין היתר מהזרמת שפכים וקולחים דרך הנחלים או ישירות לים. </w:t>
      </w:r>
      <w:bookmarkEnd w:id="42"/>
      <w:r w:rsidRPr="00236CC3">
        <w:rPr>
          <w:rFonts w:ascii="Tahoma" w:eastAsiaTheme="minorHAnsi" w:hAnsi="Tahoma" w:cs="Tahoma"/>
          <w:sz w:val="19"/>
          <w:szCs w:val="19"/>
          <w:rtl/>
        </w:rPr>
        <w:t>מתקני ההתפלה חדרה, שורק א' ופלמחים מספקים יחד כ-62% מהמים המותפלים, ובצירוף מתקן ההתפלה שורק ב', ה</w:t>
      </w:r>
      <w:r w:rsidRPr="00236CC3">
        <w:rPr>
          <w:rFonts w:ascii="Tahoma" w:eastAsiaTheme="minorHAnsi" w:hAnsi="Tahoma" w:cs="Tahoma" w:hint="cs"/>
          <w:sz w:val="19"/>
          <w:szCs w:val="19"/>
          <w:rtl/>
        </w:rPr>
        <w:t xml:space="preserve">נמצא </w:t>
      </w:r>
      <w:r w:rsidRPr="00236CC3">
        <w:rPr>
          <w:rFonts w:ascii="Tahoma" w:eastAsiaTheme="minorHAnsi" w:hAnsi="Tahoma" w:cs="Tahoma"/>
          <w:sz w:val="19"/>
          <w:szCs w:val="19"/>
          <w:rtl/>
        </w:rPr>
        <w:t>סמוך למתקן ההתפלה שורק א' ואמור להתחיל לפעול בשנת 2024, יספקו מתקנים אלה כ-72% מהמים המותפלים. מתקני ההתפלה שורק א', שורק ב</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ופלמחים, נמצאים סמוך לשפך נחל שורק, ומתקן ההתפלה חדרה נמצא סמוך לנחל חדרה. לפי מסמכי רשות המים, לנחלים אלה מוזרמים עודפי קולחים וביוב גולמי, בעיקר כאשר יורדות כמויות משקעים גדולות</w:t>
      </w:r>
      <w:r w:rsidRPr="00236CC3">
        <w:rPr>
          <w:rFonts w:ascii="Tahoma" w:eastAsiaTheme="minorHAnsi" w:hAnsi="Tahoma" w:cs="Tahoma" w:hint="cs"/>
          <w:sz w:val="19"/>
          <w:szCs w:val="19"/>
          <w:rtl/>
        </w:rPr>
        <w:t xml:space="preserve">, </w:t>
      </w:r>
      <w:r w:rsidRPr="00F7516F">
        <w:rPr>
          <w:rFonts w:ascii="Tahoma" w:eastAsiaTheme="minorHAnsi" w:hAnsi="Tahoma" w:cs="Tahoma"/>
          <w:b/>
          <w:bCs/>
          <w:sz w:val="19"/>
          <w:szCs w:val="19"/>
          <w:rtl/>
        </w:rPr>
        <w:t xml:space="preserve">דבר שיש בו </w:t>
      </w:r>
      <w:r w:rsidRPr="00F7516F">
        <w:rPr>
          <w:rFonts w:ascii="Tahoma" w:eastAsiaTheme="minorHAnsi" w:hAnsi="Tahoma" w:cs="Tahoma" w:hint="cs"/>
          <w:b/>
          <w:bCs/>
          <w:sz w:val="19"/>
          <w:szCs w:val="19"/>
          <w:rtl/>
        </w:rPr>
        <w:t>כדי</w:t>
      </w:r>
      <w:r w:rsidRPr="00F7516F">
        <w:rPr>
          <w:rFonts w:ascii="Tahoma" w:eastAsiaTheme="minorHAnsi" w:hAnsi="Tahoma" w:cs="Tahoma"/>
          <w:b/>
          <w:bCs/>
          <w:sz w:val="19"/>
          <w:szCs w:val="19"/>
          <w:rtl/>
        </w:rPr>
        <w:t xml:space="preserve"> להגדיל את הסיכון לפגיעה באיכות מי הגלם</w:t>
      </w:r>
      <w:r w:rsidRPr="00F7516F">
        <w:rPr>
          <w:rFonts w:ascii="Tahoma" w:eastAsiaTheme="minorHAnsi" w:hAnsi="Tahoma" w:cs="Tahoma" w:hint="cs"/>
          <w:b/>
          <w:bCs/>
          <w:sz w:val="19"/>
          <w:szCs w:val="19"/>
          <w:rtl/>
        </w:rPr>
        <w:t>.</w:t>
      </w:r>
      <w:r w:rsidRPr="00236CC3">
        <w:rPr>
          <w:rFonts w:ascii="Tahoma" w:eastAsiaTheme="minorHAnsi" w:hAnsi="Tahoma" w:cs="Tahoma" w:hint="cs"/>
          <w:sz w:val="19"/>
          <w:szCs w:val="19"/>
          <w:rtl/>
        </w:rPr>
        <w:t xml:space="preserve"> </w:t>
      </w:r>
      <w:r w:rsidRPr="00F7516F">
        <w:rPr>
          <w:rFonts w:ascii="Tahoma" w:eastAsiaTheme="minorHAnsi" w:hAnsi="Tahoma" w:cs="Tahoma" w:hint="cs"/>
          <w:b/>
          <w:bCs/>
          <w:sz w:val="19"/>
          <w:szCs w:val="19"/>
          <w:rtl/>
        </w:rPr>
        <w:t xml:space="preserve">למרות </w:t>
      </w:r>
      <w:r w:rsidRPr="00F7516F">
        <w:rPr>
          <w:rFonts w:ascii="Tahoma" w:eastAsiaTheme="minorHAnsi" w:hAnsi="Tahoma" w:cs="Tahoma"/>
          <w:b/>
          <w:bCs/>
          <w:sz w:val="19"/>
          <w:szCs w:val="19"/>
          <w:rtl/>
        </w:rPr>
        <w:t>זאת,</w:t>
      </w:r>
      <w:r w:rsidRPr="00F7516F">
        <w:rPr>
          <w:rFonts w:ascii="Tahoma" w:eastAsiaTheme="minorHAnsi" w:hAnsi="Tahoma" w:cs="Tahoma" w:hint="cs"/>
          <w:b/>
          <w:bCs/>
          <w:sz w:val="19"/>
          <w:szCs w:val="19"/>
          <w:rtl/>
        </w:rPr>
        <w:t xml:space="preserve"> עד מועד סיום הביקורת </w:t>
      </w:r>
      <w:r w:rsidRPr="00F7516F">
        <w:rPr>
          <w:rFonts w:ascii="Tahoma" w:eastAsiaTheme="minorHAnsi" w:hAnsi="Tahoma" w:cs="Tahoma"/>
          <w:b/>
          <w:bCs/>
          <w:sz w:val="19"/>
          <w:szCs w:val="19"/>
          <w:rtl/>
        </w:rPr>
        <w:t>רשות המים והמשרד להגנת הסביבה טרם מצאו פתרונות להזרמות הביוב והקולחים לנחלים אלה</w:t>
      </w:r>
      <w:r w:rsidRPr="00F7516F">
        <w:rPr>
          <w:rFonts w:ascii="Tahoma" w:eastAsiaTheme="minorHAnsi" w:hAnsi="Tahoma" w:cs="Tahoma" w:hint="cs"/>
          <w:b/>
          <w:bCs/>
          <w:sz w:val="19"/>
          <w:szCs w:val="19"/>
          <w:rtl/>
        </w:rPr>
        <w:t>.</w:t>
      </w:r>
    </w:p>
    <w:p w14:paraId="35AD909F" w14:textId="77777777" w:rsidR="00236CC3" w:rsidRPr="00B147F9" w:rsidRDefault="00000000" w:rsidP="00236CC3">
      <w:pPr>
        <w:widowControl w:val="0"/>
        <w:numPr>
          <w:ilvl w:val="0"/>
          <w:numId w:val="21"/>
        </w:numPr>
        <w:spacing w:after="240" w:line="288" w:lineRule="auto"/>
        <w:ind w:left="-142" w:right="-567" w:hanging="567"/>
        <w:rPr>
          <w:rFonts w:ascii="Tahoma" w:eastAsiaTheme="minorHAnsi" w:hAnsi="Tahoma" w:cs="Tahoma"/>
          <w:b/>
          <w:bCs/>
          <w:sz w:val="19"/>
          <w:szCs w:val="19"/>
        </w:rPr>
      </w:pPr>
      <w:r w:rsidRPr="00236CC3">
        <w:rPr>
          <w:rFonts w:ascii="Tahoma" w:eastAsiaTheme="minorHAnsi" w:hAnsi="Tahoma" w:cs="Tahoma" w:hint="eastAsia"/>
          <w:b/>
          <w:bCs/>
          <w:sz w:val="19"/>
          <w:szCs w:val="19"/>
          <w:rtl/>
        </w:rPr>
        <w:t>השלת</w:t>
      </w:r>
      <w:r w:rsidRPr="00236CC3">
        <w:rPr>
          <w:rFonts w:ascii="Tahoma" w:eastAsiaTheme="minorHAnsi" w:hAnsi="Tahoma" w:cs="Tahoma"/>
          <w:b/>
          <w:bCs/>
          <w:sz w:val="19"/>
          <w:szCs w:val="19"/>
          <w:rtl/>
        </w:rPr>
        <w:t xml:space="preserve"> עומס</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חשמל ממתקני התפלה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בהסכמי הזיכיון </w:t>
      </w:r>
      <w:r w:rsidRPr="00236CC3">
        <w:rPr>
          <w:rFonts w:ascii="Tahoma" w:eastAsiaTheme="minorHAnsi" w:hAnsi="Tahoma" w:cs="Tahoma" w:hint="eastAsia"/>
          <w:sz w:val="19"/>
          <w:szCs w:val="19"/>
          <w:rtl/>
        </w:rPr>
        <w:t>ובהסכמות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המתפילים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בעניין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השלות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עומס</w:t>
      </w:r>
      <w:r w:rsidRPr="00236CC3">
        <w:rPr>
          <w:rFonts w:ascii="Tahoma" w:eastAsiaTheme="minorHAnsi" w:hAnsi="Tahoma" w:cs="Tahoma"/>
          <w:sz w:val="19"/>
          <w:szCs w:val="19"/>
          <w:rtl/>
        </w:rPr>
        <w:t xml:space="preserve"> - </w:t>
      </w:r>
      <w:r w:rsidRPr="00236CC3">
        <w:rPr>
          <w:rFonts w:ascii="Tahoma" w:eastAsiaTheme="minorHAnsi" w:hAnsi="Tahoma" w:cs="Tahoma"/>
          <w:sz w:val="19"/>
          <w:szCs w:val="19"/>
          <w:rtl/>
        </w:rPr>
        <w:lastRenderedPageBreak/>
        <w:t xml:space="preserve">קרי הפסקת אספקת החשמל למתקן לצורך ויסות הצריכה במשק החשמל, לא ניתנה לרשות המים או למינהלת ההתפלה סמכות </w:t>
      </w:r>
      <w:r w:rsidRPr="00236CC3">
        <w:rPr>
          <w:rFonts w:ascii="Tahoma" w:eastAsiaTheme="minorHAnsi" w:hAnsi="Tahoma" w:cs="Tahoma" w:hint="eastAsia"/>
          <w:sz w:val="19"/>
          <w:szCs w:val="19"/>
          <w:rtl/>
        </w:rPr>
        <w:t>מפורשת</w:t>
      </w:r>
      <w:r w:rsidRPr="00236CC3">
        <w:rPr>
          <w:rFonts w:ascii="Tahoma" w:eastAsiaTheme="minorHAnsi" w:hAnsi="Tahoma" w:cs="Tahoma" w:hint="cs"/>
          <w:sz w:val="19"/>
          <w:szCs w:val="19"/>
          <w:rtl/>
        </w:rPr>
        <w:t xml:space="preserve"> וחד משמעית לאשר או </w:t>
      </w:r>
      <w:r w:rsidRPr="00236CC3">
        <w:rPr>
          <w:rFonts w:ascii="Tahoma" w:eastAsiaTheme="minorHAnsi" w:hAnsi="Tahoma" w:cs="Tahoma"/>
          <w:sz w:val="19"/>
          <w:szCs w:val="19"/>
          <w:rtl/>
        </w:rPr>
        <w:t>למנוע מהמתפילים להצטרף ל</w:t>
      </w:r>
      <w:r w:rsidRPr="00236CC3">
        <w:rPr>
          <w:rFonts w:ascii="Tahoma" w:eastAsiaTheme="minorHAnsi" w:hAnsi="Tahoma" w:cs="Tahoma" w:hint="cs"/>
          <w:sz w:val="19"/>
          <w:szCs w:val="19"/>
          <w:rtl/>
        </w:rPr>
        <w:t xml:space="preserve">הפעלת </w:t>
      </w:r>
      <w:r w:rsidRPr="00236CC3">
        <w:rPr>
          <w:rFonts w:ascii="Tahoma" w:eastAsiaTheme="minorHAnsi" w:hAnsi="Tahoma" w:cs="Tahoma" w:hint="eastAsia"/>
          <w:sz w:val="19"/>
          <w:szCs w:val="19"/>
          <w:rtl/>
        </w:rPr>
        <w:t>הסדרי</w:t>
      </w:r>
      <w:r w:rsidRPr="00236CC3">
        <w:rPr>
          <w:rFonts w:ascii="Tahoma" w:eastAsiaTheme="minorHAnsi" w:hAnsi="Tahoma" w:cs="Tahoma"/>
          <w:sz w:val="19"/>
          <w:szCs w:val="19"/>
          <w:rtl/>
        </w:rPr>
        <w:t xml:space="preserve"> השלות </w:t>
      </w:r>
      <w:r w:rsidRPr="00236CC3">
        <w:rPr>
          <w:rFonts w:ascii="Tahoma" w:eastAsiaTheme="minorHAnsi" w:hAnsi="Tahoma" w:cs="Tahoma" w:hint="eastAsia"/>
          <w:sz w:val="19"/>
          <w:szCs w:val="19"/>
          <w:rtl/>
        </w:rPr>
        <w:t>ה</w:t>
      </w:r>
      <w:r w:rsidRPr="00236CC3">
        <w:rPr>
          <w:rFonts w:ascii="Tahoma" w:eastAsiaTheme="minorHAnsi" w:hAnsi="Tahoma" w:cs="Tahoma"/>
          <w:sz w:val="19"/>
          <w:szCs w:val="19"/>
          <w:rtl/>
        </w:rPr>
        <w:t>עומסים</w:t>
      </w:r>
      <w:r w:rsidRPr="00236CC3">
        <w:rPr>
          <w:rFonts w:ascii="Tahoma" w:eastAsiaTheme="minorHAnsi" w:hAnsi="Tahoma" w:cs="Tahoma" w:hint="cs"/>
          <w:sz w:val="19"/>
          <w:szCs w:val="19"/>
          <w:rtl/>
        </w:rPr>
        <w:t xml:space="preserve"> בכל פעם שנגה - ניהול מערכת החשמל בע"מ (נגה) מציעה להם להפעיל הסדר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או</w:t>
      </w:r>
      <w:r w:rsidRPr="00236CC3">
        <w:rPr>
          <w:rFonts w:ascii="Tahoma" w:eastAsiaTheme="minorHAnsi" w:hAnsi="Tahoma" w:cs="Tahoma"/>
          <w:sz w:val="19"/>
          <w:szCs w:val="19"/>
          <w:rtl/>
        </w:rPr>
        <w:t xml:space="preserve"> לתת הוראות בדבר </w:t>
      </w:r>
      <w:r w:rsidRPr="00236CC3">
        <w:rPr>
          <w:rFonts w:ascii="Tahoma" w:eastAsiaTheme="minorHAnsi" w:hAnsi="Tahoma" w:cs="Tahoma" w:hint="eastAsia"/>
          <w:sz w:val="19"/>
          <w:szCs w:val="19"/>
          <w:rtl/>
        </w:rPr>
        <w:t>תיעדוף</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השלות</w:t>
      </w:r>
      <w:r w:rsidRPr="00236CC3">
        <w:rPr>
          <w:rFonts w:ascii="Tahoma" w:eastAsiaTheme="minorHAnsi" w:hAnsi="Tahoma" w:cs="Tahoma"/>
          <w:sz w:val="19"/>
          <w:szCs w:val="19"/>
          <w:rtl/>
        </w:rPr>
        <w:t xml:space="preserve"> עומס בין מתקני התפלה, משיקולים תפעוליים ואחרים.</w:t>
      </w:r>
      <w:r w:rsidRPr="00236CC3">
        <w:rPr>
          <w:rFonts w:eastAsiaTheme="minorHAnsi"/>
          <w:rtl/>
        </w:rPr>
        <w:t xml:space="preserve"> </w:t>
      </w:r>
      <w:r w:rsidRPr="00236CC3">
        <w:rPr>
          <w:rFonts w:ascii="Tahoma" w:eastAsiaTheme="minorHAnsi" w:hAnsi="Tahoma" w:cs="Tahoma"/>
          <w:sz w:val="19"/>
          <w:szCs w:val="19"/>
          <w:rtl/>
        </w:rPr>
        <w:t>זאת, מעבר לסמכות הכללית לתת כל הוראה שמטרתה להבטיח את מימוש הסכם ההתפלה, שיכולה להיות נתונה לפרשנות במקרים ספציפיים שבהם רשות המים תדרוש מהמתפילים שלא להיענות לבקשת הפעלת הסדרי השלת עומס.</w:t>
      </w:r>
      <w:r w:rsidRPr="00236CC3">
        <w:rPr>
          <w:rFonts w:ascii="Tahoma" w:eastAsiaTheme="minorHAnsi" w:hAnsi="Tahoma" w:cs="Tahoma" w:hint="cs"/>
          <w:sz w:val="19"/>
          <w:szCs w:val="19"/>
          <w:rtl/>
        </w:rPr>
        <w:t xml:space="preserve"> כך,</w:t>
      </w:r>
      <w:r w:rsidRPr="00236CC3">
        <w:rPr>
          <w:rFonts w:ascii="Tahoma" w:eastAsiaTheme="minorHAnsi" w:hAnsi="Tahoma" w:cs="Tahoma"/>
          <w:sz w:val="19"/>
          <w:szCs w:val="19"/>
          <w:rtl/>
        </w:rPr>
        <w:t xml:space="preserve"> במצבים שבהם משק המים הגיע כמעט לקצה גבול יכולת אספקת המים, כדוגמת אירוע השלת העומס במתקני ההתפלה מ-2.6.23, בו נעשתה השלת עומס ב</w:t>
      </w:r>
      <w:r w:rsidRPr="00236CC3">
        <w:rPr>
          <w:rFonts w:ascii="Tahoma" w:eastAsiaTheme="minorHAnsi" w:hAnsi="Tahoma" w:cs="Tahoma" w:hint="cs"/>
          <w:sz w:val="19"/>
          <w:szCs w:val="19"/>
          <w:rtl/>
        </w:rPr>
        <w:t xml:space="preserve">כמה </w:t>
      </w:r>
      <w:r w:rsidRPr="00236CC3">
        <w:rPr>
          <w:rFonts w:ascii="Tahoma" w:eastAsiaTheme="minorHAnsi" w:hAnsi="Tahoma" w:cs="Tahoma"/>
          <w:sz w:val="19"/>
          <w:szCs w:val="19"/>
          <w:rtl/>
        </w:rPr>
        <w:t>מתקני התפלה</w:t>
      </w:r>
      <w:r w:rsidRPr="00236CC3">
        <w:rPr>
          <w:rFonts w:ascii="Tahoma" w:eastAsiaTheme="minorHAnsi" w:hAnsi="Tahoma" w:cs="Tahoma" w:hint="cs"/>
          <w:sz w:val="19"/>
          <w:szCs w:val="19"/>
          <w:rtl/>
        </w:rPr>
        <w:t xml:space="preserve"> גדולים</w:t>
      </w:r>
      <w:r w:rsidRPr="00236CC3">
        <w:rPr>
          <w:rFonts w:ascii="Tahoma" w:eastAsiaTheme="minorHAnsi" w:hAnsi="Tahoma" w:cs="Tahoma"/>
          <w:sz w:val="19"/>
          <w:szCs w:val="19"/>
          <w:rtl/>
        </w:rPr>
        <w:t xml:space="preserve"> בו זמנית ופעולתם</w:t>
      </w:r>
      <w:r w:rsidR="00B147F9">
        <w:rPr>
          <w:rFonts w:ascii="Tahoma" w:eastAsiaTheme="minorHAnsi" w:hAnsi="Tahoma" w:cs="Tahoma" w:hint="cs"/>
          <w:sz w:val="19"/>
          <w:szCs w:val="19"/>
          <w:rtl/>
        </w:rPr>
        <w:t xml:space="preserve"> </w:t>
      </w:r>
      <w:r w:rsidRPr="00236CC3">
        <w:rPr>
          <w:rFonts w:ascii="Tahoma" w:eastAsiaTheme="minorHAnsi" w:hAnsi="Tahoma" w:cs="Tahoma"/>
          <w:sz w:val="19"/>
          <w:szCs w:val="19"/>
          <w:rtl/>
        </w:rPr>
        <w:t>הופסקה למספר שעות רצופות,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רשות המים ומינהלת ההתפלה לא מנעו מהמתפילים מלהפעיל את הסדרי השלות העומס</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B147F9">
        <w:rPr>
          <w:rFonts w:ascii="Tahoma" w:eastAsiaTheme="minorHAnsi" w:hAnsi="Tahoma" w:cs="Tahoma"/>
          <w:b/>
          <w:bCs/>
          <w:sz w:val="19"/>
          <w:szCs w:val="19"/>
          <w:rtl/>
        </w:rPr>
        <w:t xml:space="preserve">הסדרת הסמכויות באופן </w:t>
      </w:r>
      <w:r w:rsidRPr="00B147F9">
        <w:rPr>
          <w:rFonts w:ascii="Tahoma" w:eastAsiaTheme="minorHAnsi" w:hAnsi="Tahoma" w:cs="Tahoma" w:hint="cs"/>
          <w:b/>
          <w:bCs/>
          <w:sz w:val="19"/>
          <w:szCs w:val="19"/>
          <w:rtl/>
        </w:rPr>
        <w:t>מפורש ו</w:t>
      </w:r>
      <w:r w:rsidRPr="00B147F9">
        <w:rPr>
          <w:rFonts w:ascii="Tahoma" w:eastAsiaTheme="minorHAnsi" w:hAnsi="Tahoma" w:cs="Tahoma"/>
          <w:b/>
          <w:bCs/>
          <w:sz w:val="19"/>
          <w:szCs w:val="19"/>
          <w:rtl/>
        </w:rPr>
        <w:t>חד משמעי מקבלת משנה חשיבות בעת אירועי חירום כדוגמת איומים ביטחוניים שיכולים להשבית את מתקני ההתפלה אם בשל פגיעה ישירה בהם ואם בשל פגיעה באספקת החשמל אליהם</w:t>
      </w:r>
      <w:r w:rsidRPr="00B147F9">
        <w:rPr>
          <w:rFonts w:ascii="Tahoma" w:eastAsiaTheme="minorHAnsi" w:hAnsi="Tahoma" w:cs="Tahoma" w:hint="cs"/>
          <w:b/>
          <w:bCs/>
          <w:sz w:val="19"/>
          <w:szCs w:val="19"/>
          <w:rtl/>
        </w:rPr>
        <w:t>.</w:t>
      </w:r>
    </w:p>
    <w:p w14:paraId="5E91FD60"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היערכות לשינויי אקלים </w:t>
      </w:r>
      <w:r w:rsidRPr="00236CC3">
        <w:rPr>
          <w:rFonts w:ascii="Tahoma" w:eastAsiaTheme="minorHAnsi" w:hAnsi="Tahoma" w:cs="Tahoma" w:hint="cs"/>
          <w:sz w:val="19"/>
          <w:szCs w:val="19"/>
          <w:rtl/>
        </w:rPr>
        <w:t xml:space="preserve">- נמצא כי משרד הבריאות טרם ביצע את הסקר שנדרש לדעתו לעשות בעניין רעלני אצות ורעלנים אחרים המופרשים למים על ידי מינים פולשים נוכח משבר האקלים שעלול </w:t>
      </w:r>
      <w:r w:rsidRPr="00236CC3">
        <w:rPr>
          <w:rFonts w:ascii="Tahoma" w:eastAsiaTheme="minorHAnsi" w:hAnsi="Tahoma" w:cs="Tahoma"/>
          <w:sz w:val="19"/>
          <w:szCs w:val="19"/>
          <w:rtl/>
        </w:rPr>
        <w:t xml:space="preserve">לגרום לפגיעה באיכות מי </w:t>
      </w:r>
      <w:r w:rsidRPr="00236CC3">
        <w:rPr>
          <w:rFonts w:ascii="Tahoma" w:eastAsiaTheme="minorHAnsi" w:hAnsi="Tahoma" w:cs="Tahoma" w:hint="cs"/>
          <w:sz w:val="19"/>
          <w:szCs w:val="19"/>
          <w:rtl/>
        </w:rPr>
        <w:t>הגלם של מתקני ההתפלה, בין היתר בשל התרבות מינים פולשים אלו בים התיכון.</w:t>
      </w:r>
    </w:p>
    <w:p w14:paraId="21B22F02"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פיקוח, בקרה ודיווח על איכות המים</w:t>
      </w:r>
      <w:r w:rsidRPr="00236CC3">
        <w:rPr>
          <w:rFonts w:ascii="Tahoma" w:eastAsiaTheme="minorHAnsi" w:hAnsi="Tahoma" w:cs="Tahoma" w:hint="cs"/>
          <w:sz w:val="19"/>
          <w:szCs w:val="19"/>
          <w:rtl/>
        </w:rPr>
        <w:t xml:space="preserve"> - אף ש</w:t>
      </w:r>
      <w:r w:rsidRPr="00236CC3">
        <w:rPr>
          <w:rFonts w:ascii="Tahoma" w:eastAsiaTheme="minorHAnsi" w:hAnsi="Tahoma" w:cs="Tahoma"/>
          <w:sz w:val="19"/>
          <w:szCs w:val="19"/>
          <w:rtl/>
        </w:rPr>
        <w:t>על פי נוהל פיקוח</w:t>
      </w:r>
      <w:r w:rsidRPr="00236CC3">
        <w:rPr>
          <w:rFonts w:ascii="Tahoma" w:eastAsiaTheme="minorHAnsi" w:hAnsi="Tahoma" w:cs="Tahoma" w:hint="cs"/>
          <w:sz w:val="19"/>
          <w:szCs w:val="19"/>
          <w:rtl/>
        </w:rPr>
        <w:t xml:space="preserve"> על ספקי מים</w:t>
      </w:r>
      <w:r w:rsidRPr="00236CC3">
        <w:rPr>
          <w:rFonts w:ascii="Tahoma" w:eastAsiaTheme="minorHAnsi" w:hAnsi="Tahoma" w:cs="Tahoma"/>
          <w:sz w:val="19"/>
          <w:szCs w:val="19"/>
          <w:rtl/>
        </w:rPr>
        <w:t xml:space="preserve">, תדירות הביקורת במתקני התפלה שהיקף הייצור שלהם גדול מ-30 מלמ"ק צריכה להיות אחת לשנה לפחות, </w:t>
      </w:r>
      <w:r w:rsidRPr="00236CC3">
        <w:rPr>
          <w:rFonts w:ascii="Tahoma" w:eastAsiaTheme="minorHAnsi" w:hAnsi="Tahoma" w:cs="Tahoma" w:hint="eastAsia"/>
          <w:sz w:val="19"/>
          <w:szCs w:val="19"/>
          <w:rtl/>
        </w:rPr>
        <w:t>בפועל</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בשנים 2018 - 2023 לא ערך משרד הבריאות </w:t>
      </w:r>
      <w:r w:rsidRPr="00236CC3">
        <w:rPr>
          <w:rFonts w:ascii="Tahoma" w:eastAsiaTheme="minorHAnsi" w:hAnsi="Tahoma" w:cs="Tahoma" w:hint="eastAsia"/>
          <w:sz w:val="19"/>
          <w:szCs w:val="19"/>
          <w:rtl/>
        </w:rPr>
        <w:t>באף</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אחד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ממתקני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ההתפלה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ביקורת</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לפחות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אחת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בכל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שנה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כנדרש</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בנוהל</w:t>
      </w:r>
      <w:r w:rsidRPr="00236CC3">
        <w:rPr>
          <w:rFonts w:ascii="Tahoma" w:eastAsiaTheme="minorHAnsi" w:hAnsi="Tahoma" w:cs="Tahoma"/>
          <w:sz w:val="19"/>
          <w:szCs w:val="19"/>
          <w:rtl/>
        </w:rPr>
        <w:t>. זאת ועוד, בידי מטה משרד הבריאות אין דיווחים של המחוזות על ביצוע הביקורות</w:t>
      </w:r>
      <w:r w:rsidRPr="00236CC3">
        <w:rPr>
          <w:rFonts w:ascii="Tahoma" w:eastAsiaTheme="minorHAnsi" w:hAnsi="Tahoma" w:cs="Tahoma" w:hint="cs"/>
          <w:sz w:val="19"/>
          <w:szCs w:val="19"/>
          <w:rtl/>
        </w:rPr>
        <w:t>.</w:t>
      </w:r>
    </w:p>
    <w:p w14:paraId="4BC21F1E"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בדיקות פתע אקראיות של איכות המים על ידי רשות המים ומינהלת ההתפלה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ועדת הבדיקה שמינה שר האנרג</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יה דאז במאי 2019 בעקבות חריגות באיכות המים במתקן ההתפלה שורק א' במשך תקופה ממושכת</w:t>
      </w:r>
      <w:r w:rsidRPr="00236CC3">
        <w:rPr>
          <w:rFonts w:ascii="Tahoma" w:eastAsiaTheme="minorHAnsi" w:hAnsi="Tahoma" w:cs="Tahoma" w:hint="cs"/>
          <w:sz w:val="19"/>
          <w:szCs w:val="19"/>
          <w:rtl/>
        </w:rPr>
        <w:t xml:space="preserve"> (ועדת הבדיקה)</w:t>
      </w:r>
      <w:r w:rsidRPr="00236CC3">
        <w:rPr>
          <w:rFonts w:ascii="Tahoma" w:eastAsiaTheme="minorHAnsi" w:hAnsi="Tahoma" w:cs="Tahoma"/>
          <w:sz w:val="19"/>
          <w:szCs w:val="19"/>
          <w:rtl/>
        </w:rPr>
        <w:t>, קבעה בין היתר כי המדינה לא השתמשה מספיק בכלים שברשותה לביצוע בדיקות מדגמיות אקראיות לאיכות המים. ועד</w:t>
      </w:r>
      <w:r w:rsidRPr="00236CC3">
        <w:rPr>
          <w:rFonts w:ascii="Tahoma" w:eastAsiaTheme="minorHAnsi" w:hAnsi="Tahoma" w:cs="Tahoma" w:hint="cs"/>
          <w:sz w:val="19"/>
          <w:szCs w:val="19"/>
          <w:rtl/>
        </w:rPr>
        <w:t>ת הבדיקה</w:t>
      </w:r>
      <w:r w:rsidRPr="00236CC3">
        <w:rPr>
          <w:rFonts w:ascii="Tahoma" w:eastAsiaTheme="minorHAnsi" w:hAnsi="Tahoma" w:cs="Tahoma"/>
          <w:sz w:val="19"/>
          <w:szCs w:val="19"/>
          <w:rtl/>
        </w:rPr>
        <w:t xml:space="preserve"> המליצה בין היתר כי מינהלת ההתפלה תבצע "בדיקה יזומה, בתדירות גבוהה ובמועדים משתנים, של איכות המוצר במתקני ההתפלה". </w:t>
      </w:r>
      <w:r w:rsidRPr="00236CC3">
        <w:rPr>
          <w:rFonts w:ascii="Tahoma" w:eastAsiaTheme="minorHAnsi" w:hAnsi="Tahoma" w:cs="Tahoma" w:hint="cs"/>
          <w:sz w:val="19"/>
          <w:szCs w:val="19"/>
          <w:rtl/>
        </w:rPr>
        <w:t xml:space="preserve">בביקורת </w:t>
      </w:r>
      <w:r w:rsidRPr="00236CC3">
        <w:rPr>
          <w:rFonts w:ascii="Tahoma" w:eastAsiaTheme="minorHAnsi" w:hAnsi="Tahoma" w:cs="Tahoma"/>
          <w:sz w:val="19"/>
          <w:szCs w:val="19"/>
          <w:rtl/>
        </w:rPr>
        <w:t xml:space="preserve">נמצא כי אף שעברו יותר מארבע שנים מהגשת המלצות ועדת הבדיקה, בפועל, עד מועד סיום הביקורת, דצמבר 2023, רשות המים לא </w:t>
      </w:r>
      <w:r w:rsidRPr="00236CC3">
        <w:rPr>
          <w:rFonts w:ascii="Tahoma" w:eastAsiaTheme="minorHAnsi" w:hAnsi="Tahoma" w:cs="Tahoma" w:hint="cs"/>
          <w:sz w:val="19"/>
          <w:szCs w:val="19"/>
          <w:rtl/>
        </w:rPr>
        <w:t>ביצעה</w:t>
      </w:r>
      <w:r w:rsidRPr="00236CC3">
        <w:rPr>
          <w:rFonts w:ascii="Tahoma" w:eastAsiaTheme="minorHAnsi" w:hAnsi="Tahoma" w:cs="Tahoma"/>
          <w:sz w:val="19"/>
          <w:szCs w:val="19"/>
          <w:rtl/>
        </w:rPr>
        <w:t xml:space="preserve"> בדיקות אקראיות </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בתדירות גבוהה</w:t>
      </w:r>
      <w:r w:rsidRPr="00236CC3">
        <w:rPr>
          <w:rFonts w:ascii="Tahoma" w:eastAsiaTheme="minorHAnsi" w:hAnsi="Tahoma" w:cs="Tahoma" w:hint="cs"/>
          <w:sz w:val="19"/>
          <w:szCs w:val="19"/>
          <w:rtl/>
        </w:rPr>
        <w:t>", כאמור בהמלצת ועדת הבדיקה</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יצויין כי רשות המים השיבה למשרד מבקר המדינה כי </w:t>
      </w:r>
      <w:r w:rsidRPr="00236CC3">
        <w:rPr>
          <w:rFonts w:ascii="Tahoma" w:eastAsiaTheme="minorHAnsi" w:hAnsi="Tahoma" w:cs="Tahoma"/>
          <w:sz w:val="19"/>
          <w:szCs w:val="19"/>
          <w:rtl/>
        </w:rPr>
        <w:t>לאחר מועד סיום הביקורת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החלו דיגומי פתע בכל מתקני ההתפלה ותדירות הדיגום עלתה </w:t>
      </w:r>
      <w:r w:rsidRPr="00236CC3">
        <w:rPr>
          <w:rFonts w:ascii="Tahoma" w:eastAsiaTheme="minorHAnsi" w:hAnsi="Tahoma" w:cs="Tahoma" w:hint="cs"/>
          <w:sz w:val="19"/>
          <w:szCs w:val="19"/>
          <w:rtl/>
        </w:rPr>
        <w:t>לכעשרה</w:t>
      </w:r>
      <w:r w:rsidRPr="00236CC3">
        <w:rPr>
          <w:rFonts w:ascii="Tahoma" w:eastAsiaTheme="minorHAnsi" w:hAnsi="Tahoma" w:cs="Tahoma"/>
          <w:sz w:val="19"/>
          <w:szCs w:val="19"/>
          <w:rtl/>
        </w:rPr>
        <w:t xml:space="preserve"> דיגומים בחודש בכל המתקנים</w:t>
      </w:r>
      <w:r w:rsidRPr="00236CC3">
        <w:rPr>
          <w:rFonts w:ascii="Tahoma" w:eastAsiaTheme="minorHAnsi" w:hAnsi="Tahoma" w:cs="Tahoma" w:hint="cs"/>
          <w:sz w:val="19"/>
          <w:szCs w:val="19"/>
          <w:rtl/>
        </w:rPr>
        <w:t xml:space="preserve">. כמו כן, </w:t>
      </w:r>
      <w:r w:rsidRPr="00236CC3">
        <w:rPr>
          <w:rFonts w:ascii="Tahoma" w:eastAsiaTheme="minorHAnsi" w:hAnsi="Tahoma" w:cs="Tahoma"/>
          <w:sz w:val="19"/>
          <w:szCs w:val="19"/>
          <w:rtl/>
        </w:rPr>
        <w:t xml:space="preserve">על אף היתרון של שימוש בדוגם אוטומטי, המאפשר </w:t>
      </w:r>
      <w:r w:rsidRPr="00236CC3">
        <w:rPr>
          <w:rFonts w:ascii="Tahoma" w:eastAsiaTheme="minorHAnsi" w:hAnsi="Tahoma" w:cs="Tahoma" w:hint="cs"/>
          <w:sz w:val="19"/>
          <w:szCs w:val="19"/>
          <w:rtl/>
        </w:rPr>
        <w:t>לבצע</w:t>
      </w:r>
      <w:r w:rsidRPr="00236CC3">
        <w:rPr>
          <w:rFonts w:ascii="Tahoma" w:eastAsiaTheme="minorHAnsi" w:hAnsi="Tahoma" w:cs="Tahoma"/>
          <w:sz w:val="19"/>
          <w:szCs w:val="19"/>
          <w:rtl/>
        </w:rPr>
        <w:t xml:space="preserve"> בדיקת פתע אקראית באותו מתקן בכל שעה ביממה, ללא תלות בשעות העבודה של העובדים מטעם מינהלת ההתפלה, נמצא כי עד מועד סיום הביקורת </w:t>
      </w:r>
      <w:r w:rsidRPr="00236CC3">
        <w:rPr>
          <w:rFonts w:ascii="Tahoma" w:eastAsiaTheme="minorHAnsi" w:hAnsi="Tahoma" w:cs="Tahoma" w:hint="cs"/>
          <w:sz w:val="19"/>
          <w:szCs w:val="19"/>
          <w:rtl/>
        </w:rPr>
        <w:t xml:space="preserve">מינהלת ההתפלה לא הציבה </w:t>
      </w:r>
      <w:r w:rsidRPr="00236CC3">
        <w:rPr>
          <w:rFonts w:ascii="Tahoma" w:eastAsiaTheme="minorHAnsi" w:hAnsi="Tahoma" w:cs="Tahoma"/>
          <w:sz w:val="19"/>
          <w:szCs w:val="19"/>
          <w:rtl/>
        </w:rPr>
        <w:t xml:space="preserve">דוגם אוטומטי מרחוק לארבעה </w:t>
      </w:r>
      <w:r w:rsidRPr="00236CC3">
        <w:rPr>
          <w:rFonts w:ascii="Tahoma" w:eastAsiaTheme="minorHAnsi" w:hAnsi="Tahoma" w:cs="Tahoma" w:hint="cs"/>
          <w:sz w:val="19"/>
          <w:szCs w:val="19"/>
          <w:rtl/>
        </w:rPr>
        <w:t xml:space="preserve">מתוך </w:t>
      </w:r>
      <w:r w:rsidRPr="00236CC3">
        <w:rPr>
          <w:rFonts w:ascii="Tahoma" w:eastAsiaTheme="minorHAnsi" w:hAnsi="Tahoma" w:cs="Tahoma"/>
          <w:sz w:val="19"/>
          <w:szCs w:val="19"/>
          <w:rtl/>
        </w:rPr>
        <w:t>חמישה מתקני ההתפלה הגדולים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ונדרשת </w:t>
      </w:r>
      <w:r w:rsidRPr="00236CC3">
        <w:rPr>
          <w:rFonts w:ascii="Tahoma" w:eastAsiaTheme="minorHAnsi" w:hAnsi="Tahoma" w:cs="Tahoma" w:hint="cs"/>
          <w:sz w:val="19"/>
          <w:szCs w:val="19"/>
          <w:rtl/>
        </w:rPr>
        <w:t xml:space="preserve">אצלם </w:t>
      </w:r>
      <w:r w:rsidRPr="00236CC3">
        <w:rPr>
          <w:rFonts w:ascii="Tahoma" w:eastAsiaTheme="minorHAnsi" w:hAnsi="Tahoma" w:cs="Tahoma"/>
          <w:sz w:val="19"/>
          <w:szCs w:val="19"/>
          <w:rtl/>
        </w:rPr>
        <w:t>גישה פיזית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לצורך ביצוע דגימות אקראיות</w:t>
      </w:r>
      <w:r w:rsidRPr="00236CC3">
        <w:rPr>
          <w:rFonts w:ascii="Tahoma" w:eastAsiaTheme="minorHAnsi" w:hAnsi="Tahoma" w:cs="Tahoma" w:hint="cs"/>
          <w:sz w:val="19"/>
          <w:szCs w:val="19"/>
          <w:rtl/>
        </w:rPr>
        <w:t>.</w:t>
      </w:r>
    </w:p>
    <w:p w14:paraId="71308EFF"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אכיפה</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על ידי משרד הבריאות</w:t>
      </w:r>
      <w:r w:rsidRPr="00236CC3">
        <w:rPr>
          <w:rFonts w:ascii="Tahoma" w:eastAsiaTheme="minorHAnsi" w:hAnsi="Tahoma" w:cs="Tahoma"/>
          <w:b/>
          <w:bCs/>
          <w:sz w:val="19"/>
          <w:szCs w:val="19"/>
          <w:rtl/>
        </w:rPr>
        <w:t xml:space="preserve"> - </w:t>
      </w:r>
      <w:r w:rsidRPr="00B147F9">
        <w:rPr>
          <w:rFonts w:ascii="Tahoma" w:eastAsiaTheme="minorHAnsi" w:hAnsi="Tahoma" w:cs="Tahoma"/>
          <w:sz w:val="19"/>
          <w:szCs w:val="19"/>
          <w:rtl/>
        </w:rPr>
        <w:t xml:space="preserve">נמצא כי בכל חמש הדוגמאות שנבדקו בביקורת </w:t>
      </w:r>
      <w:r w:rsidRPr="00B147F9">
        <w:rPr>
          <w:rFonts w:ascii="Tahoma" w:eastAsiaTheme="minorHAnsi" w:hAnsi="Tahoma" w:cs="Tahoma"/>
          <w:b/>
          <w:bCs/>
          <w:sz w:val="19"/>
          <w:szCs w:val="19"/>
          <w:rtl/>
        </w:rPr>
        <w:t>(אי-דיווח על כך שמכל מי המוצר ב</w:t>
      </w:r>
      <w:r w:rsidRPr="00B147F9">
        <w:rPr>
          <w:rFonts w:ascii="Tahoma" w:eastAsiaTheme="minorHAnsi" w:hAnsi="Tahoma" w:cs="Tahoma" w:hint="eastAsia"/>
          <w:b/>
          <w:bCs/>
          <w:sz w:val="19"/>
          <w:szCs w:val="19"/>
          <w:rtl/>
        </w:rPr>
        <w:t>מתקן</w:t>
      </w:r>
      <w:r w:rsidRPr="00B147F9">
        <w:rPr>
          <w:rFonts w:ascii="Tahoma" w:eastAsiaTheme="minorHAnsi" w:hAnsi="Tahoma" w:cs="Tahoma"/>
          <w:b/>
          <w:bCs/>
          <w:sz w:val="19"/>
          <w:szCs w:val="19"/>
          <w:rtl/>
        </w:rPr>
        <w:t xml:space="preserve"> </w:t>
      </w:r>
      <w:r w:rsidRPr="00B147F9">
        <w:rPr>
          <w:rFonts w:ascii="Tahoma" w:eastAsiaTheme="minorHAnsi" w:hAnsi="Tahoma" w:cs="Tahoma" w:hint="eastAsia"/>
          <w:b/>
          <w:bCs/>
          <w:sz w:val="19"/>
          <w:szCs w:val="19"/>
          <w:rtl/>
        </w:rPr>
        <w:t>התפלה</w:t>
      </w:r>
      <w:r w:rsidRPr="00B147F9">
        <w:rPr>
          <w:rFonts w:ascii="Tahoma" w:eastAsiaTheme="minorHAnsi" w:hAnsi="Tahoma" w:cs="Tahoma"/>
          <w:b/>
          <w:bCs/>
          <w:sz w:val="19"/>
          <w:szCs w:val="19"/>
          <w:rtl/>
        </w:rPr>
        <w:t xml:space="preserve"> ד' היה פתוח למפגעים כגון </w:t>
      </w:r>
      <w:r w:rsidRPr="00B147F9">
        <w:rPr>
          <w:rFonts w:ascii="Tahoma" w:eastAsiaTheme="minorHAnsi" w:hAnsi="Tahoma" w:cs="Tahoma" w:hint="eastAsia"/>
          <w:b/>
          <w:bCs/>
          <w:sz w:val="19"/>
          <w:szCs w:val="19"/>
          <w:rtl/>
        </w:rPr>
        <w:t>לשלשת</w:t>
      </w:r>
      <w:r w:rsidRPr="00B147F9">
        <w:rPr>
          <w:rFonts w:ascii="Tahoma" w:eastAsiaTheme="minorHAnsi" w:hAnsi="Tahoma" w:cs="Tahoma"/>
          <w:b/>
          <w:bCs/>
          <w:sz w:val="19"/>
          <w:szCs w:val="19"/>
          <w:rtl/>
        </w:rPr>
        <w:t xml:space="preserve"> </w:t>
      </w:r>
      <w:r w:rsidRPr="00B147F9">
        <w:rPr>
          <w:rFonts w:ascii="Tahoma" w:eastAsiaTheme="minorHAnsi" w:hAnsi="Tahoma" w:cs="Tahoma" w:hint="eastAsia"/>
          <w:b/>
          <w:bCs/>
          <w:sz w:val="19"/>
          <w:szCs w:val="19"/>
          <w:rtl/>
        </w:rPr>
        <w:t>ציפורים</w:t>
      </w:r>
      <w:r w:rsidRPr="00B147F9">
        <w:rPr>
          <w:rFonts w:ascii="Tahoma" w:eastAsiaTheme="minorHAnsi" w:hAnsi="Tahoma" w:cs="Tahoma"/>
          <w:b/>
          <w:bCs/>
          <w:sz w:val="19"/>
          <w:szCs w:val="19"/>
          <w:rtl/>
        </w:rPr>
        <w:t xml:space="preserve"> </w:t>
      </w:r>
      <w:r w:rsidRPr="00B147F9">
        <w:rPr>
          <w:rFonts w:ascii="Tahoma" w:eastAsiaTheme="minorHAnsi" w:hAnsi="Tahoma" w:cs="Tahoma" w:hint="eastAsia"/>
          <w:b/>
          <w:bCs/>
          <w:sz w:val="19"/>
          <w:szCs w:val="19"/>
          <w:rtl/>
        </w:rPr>
        <w:t>שנמצאה</w:t>
      </w:r>
      <w:r w:rsidRPr="00B147F9">
        <w:rPr>
          <w:rFonts w:ascii="Tahoma" w:eastAsiaTheme="minorHAnsi" w:hAnsi="Tahoma" w:cs="Tahoma"/>
          <w:b/>
          <w:bCs/>
          <w:sz w:val="19"/>
          <w:szCs w:val="19"/>
          <w:rtl/>
        </w:rPr>
        <w:t xml:space="preserve"> </w:t>
      </w:r>
      <w:r w:rsidRPr="00B147F9">
        <w:rPr>
          <w:rFonts w:ascii="Tahoma" w:eastAsiaTheme="minorHAnsi" w:hAnsi="Tahoma" w:cs="Tahoma" w:hint="eastAsia"/>
          <w:b/>
          <w:bCs/>
          <w:sz w:val="19"/>
          <w:szCs w:val="19"/>
          <w:rtl/>
        </w:rPr>
        <w:t>בו</w:t>
      </w:r>
      <w:r w:rsidRPr="00B147F9">
        <w:rPr>
          <w:rFonts w:ascii="Tahoma" w:eastAsiaTheme="minorHAnsi" w:hAnsi="Tahoma" w:cs="Tahoma"/>
          <w:sz w:val="19"/>
          <w:szCs w:val="19"/>
          <w:rtl/>
        </w:rPr>
        <w:t xml:space="preserve">; חריגות מחובת הדיווח של מתפיל </w:t>
      </w:r>
      <w:r w:rsidRPr="00B147F9">
        <w:rPr>
          <w:rFonts w:ascii="Tahoma" w:eastAsiaTheme="minorHAnsi" w:hAnsi="Tahoma" w:cs="Tahoma" w:hint="eastAsia"/>
          <w:sz w:val="19"/>
          <w:szCs w:val="19"/>
          <w:rtl/>
        </w:rPr>
        <w:t>ב</w:t>
      </w:r>
      <w:r w:rsidRPr="00B147F9">
        <w:rPr>
          <w:rFonts w:ascii="Tahoma" w:eastAsiaTheme="minorHAnsi" w:hAnsi="Tahoma" w:cs="Tahoma"/>
          <w:sz w:val="19"/>
          <w:szCs w:val="19"/>
          <w:rtl/>
        </w:rPr>
        <w:t xml:space="preserve">' שעליהן העיר משרד הבריאות </w:t>
      </w:r>
      <w:r w:rsidRPr="00B147F9">
        <w:rPr>
          <w:rFonts w:ascii="Tahoma" w:eastAsiaTheme="minorHAnsi" w:hAnsi="Tahoma" w:cs="Tahoma" w:hint="eastAsia"/>
          <w:sz w:val="19"/>
          <w:szCs w:val="19"/>
          <w:rtl/>
        </w:rPr>
        <w:t>בשנים</w:t>
      </w:r>
      <w:r w:rsidRPr="00B147F9">
        <w:rPr>
          <w:rFonts w:ascii="Tahoma" w:eastAsiaTheme="minorHAnsi" w:hAnsi="Tahoma" w:cs="Tahoma"/>
          <w:sz w:val="19"/>
          <w:szCs w:val="19"/>
          <w:rtl/>
        </w:rPr>
        <w:t xml:space="preserve"> 2022 ו-2023; </w:t>
      </w:r>
      <w:r w:rsidRPr="00B147F9">
        <w:rPr>
          <w:rFonts w:ascii="Tahoma" w:eastAsiaTheme="minorHAnsi" w:hAnsi="Tahoma" w:cs="Tahoma" w:hint="eastAsia"/>
          <w:sz w:val="19"/>
          <w:szCs w:val="19"/>
          <w:rtl/>
        </w:rPr>
        <w:t>אי</w:t>
      </w:r>
      <w:r w:rsidRPr="00B147F9">
        <w:rPr>
          <w:rFonts w:ascii="Tahoma" w:eastAsiaTheme="minorHAnsi" w:hAnsi="Tahoma" w:cs="Tahoma"/>
          <w:sz w:val="19"/>
          <w:szCs w:val="19"/>
          <w:rtl/>
        </w:rPr>
        <w:t>-דיווח מי</w:t>
      </w:r>
      <w:r w:rsidRPr="00B147F9">
        <w:rPr>
          <w:rFonts w:ascii="Tahoma" w:eastAsiaTheme="minorHAnsi" w:hAnsi="Tahoma" w:cs="Tahoma" w:hint="eastAsia"/>
          <w:sz w:val="19"/>
          <w:szCs w:val="19"/>
          <w:rtl/>
        </w:rPr>
        <w:t>י</w:t>
      </w:r>
      <w:r w:rsidRPr="00B147F9">
        <w:rPr>
          <w:rFonts w:ascii="Tahoma" w:eastAsiaTheme="minorHAnsi" w:hAnsi="Tahoma" w:cs="Tahoma"/>
          <w:sz w:val="19"/>
          <w:szCs w:val="19"/>
          <w:rtl/>
        </w:rPr>
        <w:t xml:space="preserve">די של </w:t>
      </w:r>
      <w:r w:rsidRPr="00B147F9">
        <w:rPr>
          <w:rFonts w:ascii="Tahoma" w:eastAsiaTheme="minorHAnsi" w:hAnsi="Tahoma" w:cs="Tahoma" w:hint="eastAsia"/>
          <w:sz w:val="19"/>
          <w:szCs w:val="19"/>
          <w:rtl/>
        </w:rPr>
        <w:t>מתפיל</w:t>
      </w:r>
      <w:r w:rsidRPr="00B147F9">
        <w:rPr>
          <w:rFonts w:ascii="Tahoma" w:eastAsiaTheme="minorHAnsi" w:hAnsi="Tahoma" w:cs="Tahoma"/>
          <w:sz w:val="19"/>
          <w:szCs w:val="19"/>
          <w:rtl/>
        </w:rPr>
        <w:t xml:space="preserve"> </w:t>
      </w:r>
      <w:r w:rsidRPr="00B147F9">
        <w:rPr>
          <w:rFonts w:ascii="Tahoma" w:eastAsiaTheme="minorHAnsi" w:hAnsi="Tahoma" w:cs="Tahoma" w:hint="eastAsia"/>
          <w:sz w:val="19"/>
          <w:szCs w:val="19"/>
          <w:rtl/>
        </w:rPr>
        <w:t>ג</w:t>
      </w:r>
      <w:r w:rsidRPr="00B147F9">
        <w:rPr>
          <w:rFonts w:ascii="Tahoma" w:eastAsiaTheme="minorHAnsi" w:hAnsi="Tahoma" w:cs="Tahoma"/>
          <w:sz w:val="19"/>
          <w:szCs w:val="19"/>
          <w:rtl/>
        </w:rPr>
        <w:t xml:space="preserve">' באוקטובר 2020 </w:t>
      </w:r>
      <w:r w:rsidRPr="00B147F9">
        <w:rPr>
          <w:rFonts w:ascii="Tahoma" w:eastAsiaTheme="minorHAnsi" w:hAnsi="Tahoma" w:cs="Tahoma" w:hint="eastAsia"/>
          <w:sz w:val="19"/>
          <w:szCs w:val="19"/>
          <w:rtl/>
        </w:rPr>
        <w:t>על</w:t>
      </w:r>
      <w:r w:rsidRPr="00B147F9">
        <w:rPr>
          <w:rFonts w:ascii="Tahoma" w:eastAsiaTheme="minorHAnsi" w:hAnsi="Tahoma" w:cs="Tahoma"/>
          <w:sz w:val="19"/>
          <w:szCs w:val="19"/>
          <w:rtl/>
        </w:rPr>
        <w:t xml:space="preserve"> א</w:t>
      </w:r>
      <w:r w:rsidRPr="00B147F9">
        <w:rPr>
          <w:rFonts w:ascii="Tahoma" w:eastAsiaTheme="minorHAnsi" w:hAnsi="Tahoma" w:cs="Tahoma" w:hint="eastAsia"/>
          <w:sz w:val="19"/>
          <w:szCs w:val="19"/>
          <w:rtl/>
        </w:rPr>
        <w:t>י</w:t>
      </w:r>
      <w:r w:rsidRPr="00B147F9">
        <w:rPr>
          <w:rFonts w:ascii="Tahoma" w:eastAsiaTheme="minorHAnsi" w:hAnsi="Tahoma" w:cs="Tahoma"/>
          <w:sz w:val="19"/>
          <w:szCs w:val="19"/>
          <w:rtl/>
        </w:rPr>
        <w:t xml:space="preserve">רוע דליפת תזקיק דלק לים בסמוך למתקן ההתפלה; </w:t>
      </w:r>
      <w:r w:rsidRPr="00B147F9">
        <w:rPr>
          <w:rFonts w:ascii="Tahoma" w:eastAsiaTheme="minorHAnsi" w:hAnsi="Tahoma" w:cs="Tahoma" w:hint="eastAsia"/>
          <w:sz w:val="19"/>
          <w:szCs w:val="19"/>
          <w:rtl/>
        </w:rPr>
        <w:t>עיכוב</w:t>
      </w:r>
      <w:r w:rsidRPr="00B147F9">
        <w:rPr>
          <w:rFonts w:ascii="Tahoma" w:eastAsiaTheme="minorHAnsi" w:hAnsi="Tahoma" w:cs="Tahoma"/>
          <w:sz w:val="19"/>
          <w:szCs w:val="19"/>
          <w:rtl/>
        </w:rPr>
        <w:t xml:space="preserve"> </w:t>
      </w:r>
      <w:r w:rsidRPr="00B147F9">
        <w:rPr>
          <w:rFonts w:ascii="Tahoma" w:eastAsiaTheme="minorHAnsi" w:hAnsi="Tahoma" w:cs="Tahoma" w:hint="eastAsia"/>
          <w:sz w:val="19"/>
          <w:szCs w:val="19"/>
          <w:rtl/>
        </w:rPr>
        <w:t>ב</w:t>
      </w:r>
      <w:r w:rsidRPr="00B147F9">
        <w:rPr>
          <w:rFonts w:ascii="Tahoma" w:eastAsiaTheme="minorHAnsi" w:hAnsi="Tahoma" w:cs="Tahoma"/>
          <w:sz w:val="19"/>
          <w:szCs w:val="19"/>
          <w:rtl/>
        </w:rPr>
        <w:t>דיווח מי</w:t>
      </w:r>
      <w:r w:rsidRPr="00B147F9">
        <w:rPr>
          <w:rFonts w:ascii="Tahoma" w:eastAsiaTheme="minorHAnsi" w:hAnsi="Tahoma" w:cs="Tahoma" w:hint="eastAsia"/>
          <w:sz w:val="19"/>
          <w:szCs w:val="19"/>
          <w:rtl/>
        </w:rPr>
        <w:t>י</w:t>
      </w:r>
      <w:r w:rsidRPr="00B147F9">
        <w:rPr>
          <w:rFonts w:ascii="Tahoma" w:eastAsiaTheme="minorHAnsi" w:hAnsi="Tahoma" w:cs="Tahoma"/>
          <w:sz w:val="19"/>
          <w:szCs w:val="19"/>
          <w:rtl/>
        </w:rPr>
        <w:t xml:space="preserve">די של מתפיל </w:t>
      </w:r>
      <w:r w:rsidRPr="00B147F9">
        <w:rPr>
          <w:rFonts w:ascii="Tahoma" w:eastAsiaTheme="minorHAnsi" w:hAnsi="Tahoma" w:cs="Tahoma" w:hint="eastAsia"/>
          <w:sz w:val="19"/>
          <w:szCs w:val="19"/>
          <w:rtl/>
        </w:rPr>
        <w:t>ד</w:t>
      </w:r>
      <w:r w:rsidRPr="00B147F9">
        <w:rPr>
          <w:rFonts w:ascii="Tahoma" w:eastAsiaTheme="minorHAnsi" w:hAnsi="Tahoma" w:cs="Tahoma"/>
          <w:sz w:val="19"/>
          <w:szCs w:val="19"/>
          <w:rtl/>
        </w:rPr>
        <w:t xml:space="preserve">' </w:t>
      </w:r>
      <w:r w:rsidRPr="00B147F9">
        <w:rPr>
          <w:rFonts w:ascii="Tahoma" w:eastAsiaTheme="minorHAnsi" w:hAnsi="Tahoma" w:cs="Tahoma"/>
          <w:sz w:val="19"/>
          <w:szCs w:val="19"/>
          <w:rtl/>
        </w:rPr>
        <w:lastRenderedPageBreak/>
        <w:t xml:space="preserve">על תקלה שגרמה לעליית רמת העכירות במים המסופקים במאי 2023; </w:t>
      </w:r>
      <w:r w:rsidRPr="00B147F9">
        <w:rPr>
          <w:rFonts w:ascii="Tahoma" w:eastAsiaTheme="minorHAnsi" w:hAnsi="Tahoma" w:cs="Tahoma" w:hint="eastAsia"/>
          <w:sz w:val="19"/>
          <w:szCs w:val="19"/>
          <w:rtl/>
        </w:rPr>
        <w:t>ו</w:t>
      </w:r>
      <w:r w:rsidRPr="00B147F9">
        <w:rPr>
          <w:rFonts w:ascii="Tahoma" w:eastAsiaTheme="minorHAnsi" w:hAnsi="Tahoma" w:cs="Tahoma"/>
          <w:sz w:val="19"/>
          <w:szCs w:val="19"/>
          <w:rtl/>
        </w:rPr>
        <w:t>אי-דיווח מי</w:t>
      </w:r>
      <w:r w:rsidRPr="00B147F9">
        <w:rPr>
          <w:rFonts w:ascii="Tahoma" w:eastAsiaTheme="minorHAnsi" w:hAnsi="Tahoma" w:cs="Tahoma" w:hint="eastAsia"/>
          <w:sz w:val="19"/>
          <w:szCs w:val="19"/>
          <w:rtl/>
        </w:rPr>
        <w:t>י</w:t>
      </w:r>
      <w:r w:rsidRPr="00B147F9">
        <w:rPr>
          <w:rFonts w:ascii="Tahoma" w:eastAsiaTheme="minorHAnsi" w:hAnsi="Tahoma" w:cs="Tahoma"/>
          <w:sz w:val="19"/>
          <w:szCs w:val="19"/>
          <w:rtl/>
        </w:rPr>
        <w:t xml:space="preserve">די של מתפיל </w:t>
      </w:r>
      <w:r w:rsidRPr="00B147F9">
        <w:rPr>
          <w:rFonts w:ascii="Tahoma" w:eastAsiaTheme="minorHAnsi" w:hAnsi="Tahoma" w:cs="Tahoma" w:hint="eastAsia"/>
          <w:sz w:val="19"/>
          <w:szCs w:val="19"/>
          <w:rtl/>
        </w:rPr>
        <w:t>ג</w:t>
      </w:r>
      <w:r w:rsidRPr="00B147F9">
        <w:rPr>
          <w:rFonts w:ascii="Tahoma" w:eastAsiaTheme="minorHAnsi" w:hAnsi="Tahoma" w:cs="Tahoma"/>
          <w:sz w:val="19"/>
          <w:szCs w:val="19"/>
          <w:rtl/>
        </w:rPr>
        <w:t xml:space="preserve">' על </w:t>
      </w:r>
      <w:r w:rsidRPr="00B147F9">
        <w:rPr>
          <w:rFonts w:ascii="Tahoma" w:eastAsiaTheme="minorHAnsi" w:hAnsi="Tahoma" w:cs="Tahoma" w:hint="eastAsia"/>
          <w:sz w:val="19"/>
          <w:szCs w:val="19"/>
          <w:rtl/>
        </w:rPr>
        <w:t>כמה</w:t>
      </w:r>
      <w:r w:rsidRPr="00B147F9">
        <w:rPr>
          <w:rFonts w:ascii="Tahoma" w:eastAsiaTheme="minorHAnsi" w:hAnsi="Tahoma" w:cs="Tahoma"/>
          <w:sz w:val="19"/>
          <w:szCs w:val="19"/>
          <w:rtl/>
        </w:rPr>
        <w:t xml:space="preserve"> אירועים </w:t>
      </w:r>
      <w:r w:rsidRPr="00B147F9">
        <w:rPr>
          <w:rFonts w:ascii="Tahoma" w:eastAsiaTheme="minorHAnsi" w:hAnsi="Tahoma" w:cs="Tahoma" w:hint="eastAsia"/>
          <w:sz w:val="19"/>
          <w:szCs w:val="19"/>
          <w:rtl/>
        </w:rPr>
        <w:t>ש</w:t>
      </w:r>
      <w:r w:rsidRPr="00B147F9">
        <w:rPr>
          <w:rFonts w:ascii="Tahoma" w:eastAsiaTheme="minorHAnsi" w:hAnsi="Tahoma" w:cs="Tahoma"/>
          <w:sz w:val="19"/>
          <w:szCs w:val="19"/>
          <w:rtl/>
        </w:rPr>
        <w:t xml:space="preserve">בהם הופסקה פעולת המתפיל מעבר ל-12 שעות, לרבות אי-דיווח על פעולות החזרה לשגרה), </w:t>
      </w:r>
      <w:r w:rsidRPr="00B147F9">
        <w:rPr>
          <w:rFonts w:ascii="Tahoma" w:eastAsiaTheme="minorHAnsi" w:hAnsi="Tahoma" w:cs="Tahoma" w:hint="eastAsia"/>
          <w:sz w:val="19"/>
          <w:szCs w:val="19"/>
          <w:rtl/>
        </w:rPr>
        <w:t>שבהן</w:t>
      </w:r>
      <w:r w:rsidRPr="00B147F9">
        <w:rPr>
          <w:rFonts w:ascii="Tahoma" w:eastAsiaTheme="minorHAnsi" w:hAnsi="Tahoma" w:cs="Tahoma"/>
          <w:sz w:val="19"/>
          <w:szCs w:val="19"/>
          <w:rtl/>
        </w:rPr>
        <w:t xml:space="preserve"> המתפילים לא קיימו את חובות הדיווח שלהם </w:t>
      </w:r>
      <w:r w:rsidRPr="00B147F9">
        <w:rPr>
          <w:rFonts w:ascii="Tahoma" w:eastAsiaTheme="minorHAnsi" w:hAnsi="Tahoma" w:cs="Tahoma" w:hint="eastAsia"/>
          <w:sz w:val="19"/>
          <w:szCs w:val="19"/>
          <w:rtl/>
        </w:rPr>
        <w:t>מייד</w:t>
      </w:r>
      <w:r w:rsidRPr="00B147F9">
        <w:rPr>
          <w:rFonts w:ascii="Tahoma" w:eastAsiaTheme="minorHAnsi" w:hAnsi="Tahoma" w:cs="Tahoma"/>
          <w:sz w:val="19"/>
          <w:szCs w:val="19"/>
          <w:rtl/>
        </w:rPr>
        <w:t xml:space="preserve"> לאחר שגילו </w:t>
      </w:r>
      <w:r w:rsidRPr="00B147F9">
        <w:rPr>
          <w:rFonts w:ascii="Tahoma" w:eastAsiaTheme="minorHAnsi" w:hAnsi="Tahoma" w:cs="Tahoma" w:hint="eastAsia"/>
          <w:sz w:val="19"/>
          <w:szCs w:val="19"/>
          <w:rtl/>
        </w:rPr>
        <w:t>תקל</w:t>
      </w:r>
      <w:r w:rsidRPr="00236CC3">
        <w:rPr>
          <w:rFonts w:ascii="Tahoma" w:eastAsiaTheme="minorHAnsi" w:hAnsi="Tahoma" w:cs="Tahoma" w:hint="eastAsia"/>
          <w:sz w:val="19"/>
          <w:szCs w:val="19"/>
          <w:rtl/>
        </w:rPr>
        <w:t>ות</w:t>
      </w:r>
      <w:r w:rsidRPr="00236CC3">
        <w:rPr>
          <w:rFonts w:ascii="Tahoma" w:eastAsiaTheme="minorHAnsi" w:hAnsi="Tahoma" w:cs="Tahoma"/>
          <w:sz w:val="19"/>
          <w:szCs w:val="19"/>
          <w:rtl/>
        </w:rPr>
        <w:t xml:space="preserve"> או </w:t>
      </w:r>
      <w:r w:rsidRPr="00236CC3">
        <w:rPr>
          <w:rFonts w:ascii="Tahoma" w:eastAsiaTheme="minorHAnsi" w:hAnsi="Tahoma" w:cs="Tahoma" w:hint="eastAsia"/>
          <w:sz w:val="19"/>
          <w:szCs w:val="19"/>
          <w:rtl/>
        </w:rPr>
        <w:t>תופעות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חריגות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חריגות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מערכי</w:t>
      </w:r>
      <w:r w:rsidRPr="00236CC3">
        <w:rPr>
          <w:rFonts w:ascii="Tahoma" w:eastAsiaTheme="minorHAnsi" w:hAnsi="Tahoma" w:cs="Tahoma"/>
          <w:sz w:val="19"/>
          <w:szCs w:val="19"/>
          <w:rtl/>
        </w:rPr>
        <w:t xml:space="preserve"> הסף, משרד הבריאות לא הפעיל אמצעי אכיפה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כגון הגשת כתבי אישום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והסתפק בייזום דיונים עם המתפיל ובתכתובת המבהירה למתפיל שלא פעל כנדרש וכיצד עליו לפעול. </w:t>
      </w:r>
      <w:r w:rsidRPr="00236CC3">
        <w:rPr>
          <w:rFonts w:ascii="Tahoma" w:eastAsiaTheme="minorHAnsi" w:hAnsi="Tahoma" w:cs="Tahoma" w:hint="eastAsia"/>
          <w:sz w:val="19"/>
          <w:szCs w:val="19"/>
          <w:rtl/>
        </w:rPr>
        <w:t>יצוין</w:t>
      </w:r>
      <w:r w:rsidRPr="00236CC3">
        <w:rPr>
          <w:rFonts w:ascii="Tahoma" w:eastAsiaTheme="minorHAnsi" w:hAnsi="Tahoma" w:cs="Tahoma"/>
          <w:sz w:val="19"/>
          <w:szCs w:val="19"/>
          <w:rtl/>
        </w:rPr>
        <w:t xml:space="preserve"> ש</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אמצעי</w:t>
      </w:r>
      <w:r w:rsidRPr="00236CC3">
        <w:rPr>
          <w:rFonts w:ascii="Tahoma" w:eastAsiaTheme="minorHAnsi" w:hAnsi="Tahoma" w:cs="Tahoma" w:hint="cs"/>
          <w:sz w:val="19"/>
          <w:szCs w:val="19"/>
          <w:rtl/>
        </w:rPr>
        <w:t>ם</w:t>
      </w:r>
      <w:r w:rsidRPr="00236CC3">
        <w:rPr>
          <w:rFonts w:ascii="Tahoma" w:eastAsiaTheme="minorHAnsi" w:hAnsi="Tahoma" w:cs="Tahoma"/>
          <w:sz w:val="19"/>
          <w:szCs w:val="19"/>
          <w:rtl/>
        </w:rPr>
        <w:t xml:space="preserve"> שיש כיום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משרד הבריאות לאכיפת חובת הדיווח, כגון מאסר או קנס, מצריכים ניהול הליך פלילי, דבר שעלול לה</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 xml:space="preserve">משך זמן לא מועט, ואינם מאפשרים הרתעה אפקטיבית לגבי הפרות חובת הדיווח למשרד הבריאות. אי-קיום חובות הדיווח למשרד הבריאות עלול לפגוע ביכולתו של המשרד להנחות את המתפיל </w:t>
      </w:r>
      <w:r w:rsidRPr="00236CC3">
        <w:rPr>
          <w:rFonts w:ascii="Tahoma" w:eastAsiaTheme="minorHAnsi" w:hAnsi="Tahoma" w:cs="Tahoma" w:hint="eastAsia"/>
          <w:sz w:val="19"/>
          <w:szCs w:val="19"/>
          <w:rtl/>
        </w:rPr>
        <w:t>לנקוט</w:t>
      </w:r>
      <w:r w:rsidRPr="00236CC3">
        <w:rPr>
          <w:rFonts w:ascii="Tahoma" w:eastAsiaTheme="minorHAnsi" w:hAnsi="Tahoma" w:cs="Tahoma"/>
          <w:sz w:val="19"/>
          <w:szCs w:val="19"/>
          <w:rtl/>
        </w:rPr>
        <w:t xml:space="preserve"> פעולות לשם הבטחת </w:t>
      </w:r>
      <w:r w:rsidRPr="00236CC3">
        <w:rPr>
          <w:rFonts w:ascii="Tahoma" w:eastAsiaTheme="minorHAnsi" w:hAnsi="Tahoma" w:cs="Tahoma" w:hint="eastAsia"/>
          <w:sz w:val="19"/>
          <w:szCs w:val="19"/>
          <w:rtl/>
        </w:rPr>
        <w:t>איכות</w:t>
      </w:r>
      <w:r w:rsidRPr="00236CC3">
        <w:rPr>
          <w:rFonts w:ascii="Tahoma" w:eastAsiaTheme="minorHAnsi" w:hAnsi="Tahoma" w:cs="Tahoma"/>
          <w:sz w:val="19"/>
          <w:szCs w:val="19"/>
          <w:rtl/>
        </w:rPr>
        <w:t xml:space="preserve"> המים המסופקים ממתקן ההתפלה ומניעת סכנה לבריאות הציבור</w:t>
      </w:r>
      <w:r w:rsidRPr="00236CC3">
        <w:rPr>
          <w:rFonts w:ascii="Tahoma" w:eastAsiaTheme="minorHAnsi" w:hAnsi="Tahoma" w:cs="Tahoma" w:hint="cs"/>
          <w:sz w:val="19"/>
          <w:szCs w:val="19"/>
          <w:rtl/>
        </w:rPr>
        <w:t>.</w:t>
      </w:r>
    </w:p>
    <w:p w14:paraId="6EEAC951"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מימוש אמצעי אכיפה על ידי מינהלת ההתפלה </w:t>
      </w:r>
      <w:r w:rsidRPr="00236CC3">
        <w:rPr>
          <w:rFonts w:ascii="Tahoma" w:eastAsiaTheme="minorHAnsi" w:hAnsi="Tahoma" w:cs="Tahoma" w:hint="cs"/>
          <w:sz w:val="19"/>
          <w:szCs w:val="19"/>
          <w:rtl/>
        </w:rPr>
        <w:t xml:space="preserve">- </w:t>
      </w:r>
      <w:r w:rsidRPr="00B147F9">
        <w:rPr>
          <w:rFonts w:ascii="Tahoma" w:eastAsiaTheme="minorHAnsi" w:hAnsi="Tahoma" w:cs="Tahoma" w:hint="cs"/>
          <w:b/>
          <w:bCs/>
          <w:sz w:val="19"/>
          <w:szCs w:val="19"/>
          <w:rtl/>
        </w:rPr>
        <w:t>בשנת 2023 התרחשו במתקן התפלה ב' 18 אירועי עכירות גבוהה</w:t>
      </w:r>
      <w:r w:rsidRPr="00236CC3">
        <w:rPr>
          <w:rFonts w:ascii="Tahoma" w:eastAsiaTheme="minorHAnsi" w:hAnsi="Tahoma" w:cs="Tahoma" w:hint="cs"/>
          <w:sz w:val="19"/>
          <w:szCs w:val="19"/>
          <w:rtl/>
        </w:rPr>
        <w:t xml:space="preserve">, ברמה שחייבה נוסף על מתן דיווח למשרד הבריאות גם עצירה של אספקת המים מהמתקן. ואולם המתפיל דיווח רק על מקצת האירועים האמורים אחרי שהתבקש, </w:t>
      </w:r>
      <w:r w:rsidRPr="00B147F9">
        <w:rPr>
          <w:rFonts w:ascii="Tahoma" w:eastAsiaTheme="minorHAnsi" w:hAnsi="Tahoma" w:cs="Tahoma" w:hint="cs"/>
          <w:b/>
          <w:bCs/>
          <w:sz w:val="19"/>
          <w:szCs w:val="19"/>
          <w:rtl/>
        </w:rPr>
        <w:t>ולא עצר את אספקת המים מהמתקן</w:t>
      </w:r>
      <w:r w:rsidRPr="00236CC3">
        <w:rPr>
          <w:rFonts w:ascii="Tahoma" w:eastAsiaTheme="minorHAnsi" w:hAnsi="Tahoma" w:cs="Tahoma" w:hint="cs"/>
          <w:sz w:val="19"/>
          <w:szCs w:val="19"/>
          <w:rtl/>
        </w:rPr>
        <w:t xml:space="preserve"> כנדרש. אף שלפי הסכם הזיכיון, מינהלת ההתפלה הייתה רשאית לדרוש מהמתפיל תשלום פיצוי מוסכם בגין כל אחד מ-18 האירועים שהתרחשו בשנת 2023 </w:t>
      </w:r>
      <w:r w:rsidRPr="00236CC3">
        <w:rPr>
          <w:rFonts w:ascii="Tahoma" w:eastAsiaTheme="minorHAnsi" w:hAnsi="Tahoma" w:cs="Tahoma"/>
          <w:sz w:val="19"/>
          <w:szCs w:val="19"/>
          <w:rtl/>
        </w:rPr>
        <w:t>ש</w:t>
      </w:r>
      <w:r w:rsidRPr="00236CC3">
        <w:rPr>
          <w:rFonts w:ascii="Tahoma" w:eastAsiaTheme="minorHAnsi" w:hAnsi="Tahoma" w:cs="Tahoma" w:hint="eastAsia"/>
          <w:sz w:val="19"/>
          <w:szCs w:val="19"/>
          <w:rtl/>
        </w:rPr>
        <w:t>בהם</w:t>
      </w:r>
      <w:r w:rsidRPr="00236CC3">
        <w:rPr>
          <w:rFonts w:ascii="Tahoma" w:eastAsiaTheme="minorHAnsi" w:hAnsi="Tahoma" w:cs="Tahoma"/>
          <w:sz w:val="19"/>
          <w:szCs w:val="19"/>
          <w:rtl/>
        </w:rPr>
        <w:t xml:space="preserve"> רמת העכירות של המים חרגה מהשיעורים שהותרו בהסכם הזיכיון ואף מהשיעורים שחייבו דיווח למשרד הבריאות </w:t>
      </w:r>
      <w:r w:rsidRPr="00236CC3">
        <w:rPr>
          <w:rFonts w:ascii="Tahoma" w:eastAsiaTheme="minorHAnsi" w:hAnsi="Tahoma" w:cs="Tahoma" w:hint="eastAsia"/>
          <w:sz w:val="19"/>
          <w:szCs w:val="19"/>
          <w:rtl/>
        </w:rPr>
        <w:t>שלא</w:t>
      </w:r>
      <w:r w:rsidRPr="00236CC3">
        <w:rPr>
          <w:rFonts w:ascii="Tahoma" w:eastAsiaTheme="minorHAnsi" w:hAnsi="Tahoma" w:cs="Tahoma"/>
          <w:sz w:val="19"/>
          <w:szCs w:val="19"/>
          <w:rtl/>
        </w:rPr>
        <w:t xml:space="preserve"> דווחו במועד וכנדרש, ובסך הכול </w:t>
      </w:r>
      <w:r w:rsidRPr="00236CC3">
        <w:rPr>
          <w:rFonts w:ascii="Tahoma" w:eastAsiaTheme="minorHAnsi" w:hAnsi="Tahoma" w:cs="Tahoma" w:hint="cs"/>
          <w:sz w:val="19"/>
          <w:szCs w:val="19"/>
          <w:rtl/>
        </w:rPr>
        <w:t xml:space="preserve">כמה מאות אלפי ש"ח, בפועל </w:t>
      </w:r>
      <w:r w:rsidRPr="00B147F9">
        <w:rPr>
          <w:rFonts w:ascii="Tahoma" w:eastAsiaTheme="minorHAnsi" w:hAnsi="Tahoma" w:cs="Tahoma" w:hint="cs"/>
          <w:b/>
          <w:bCs/>
          <w:sz w:val="19"/>
          <w:szCs w:val="19"/>
          <w:rtl/>
        </w:rPr>
        <w:t>היא דרשה מהמתפיל תשלום בסכום של כמה עשרות אלפי ש"ח בלבד</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רשות</w:t>
      </w:r>
      <w:r w:rsidRPr="00236CC3">
        <w:rPr>
          <w:rFonts w:ascii="Tahoma" w:eastAsiaTheme="minorHAnsi" w:hAnsi="Tahoma" w:cs="Tahoma"/>
          <w:sz w:val="19"/>
          <w:szCs w:val="19"/>
          <w:rtl/>
        </w:rPr>
        <w:t xml:space="preserve"> המים </w:t>
      </w:r>
      <w:r w:rsidRPr="00236CC3">
        <w:rPr>
          <w:rFonts w:ascii="Tahoma" w:eastAsiaTheme="minorHAnsi" w:hAnsi="Tahoma" w:cs="Tahoma" w:hint="eastAsia"/>
          <w:sz w:val="19"/>
          <w:szCs w:val="19"/>
          <w:rtl/>
        </w:rPr>
        <w:t>השיבה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למשרד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מבקר</w:t>
      </w:r>
      <w:r w:rsidRPr="00236CC3">
        <w:rPr>
          <w:rFonts w:ascii="Tahoma" w:eastAsiaTheme="minorHAnsi" w:hAnsi="Tahoma" w:cs="Tahoma"/>
          <w:sz w:val="19"/>
          <w:szCs w:val="19"/>
          <w:rtl/>
        </w:rPr>
        <w:t xml:space="preserve"> המדינה במאי 2024 כי לפי שיקול דעתה המקצועי של המ</w:t>
      </w:r>
      <w:r w:rsidRPr="00236CC3">
        <w:rPr>
          <w:rFonts w:ascii="Tahoma" w:eastAsiaTheme="minorHAnsi" w:hAnsi="Tahoma" w:cs="Tahoma" w:hint="eastAsia"/>
          <w:sz w:val="19"/>
          <w:szCs w:val="19"/>
          <w:rtl/>
        </w:rPr>
        <w:t>י</w:t>
      </w:r>
      <w:r w:rsidRPr="00236CC3">
        <w:rPr>
          <w:rFonts w:ascii="Tahoma" w:eastAsiaTheme="minorHAnsi" w:hAnsi="Tahoma" w:cs="Tahoma"/>
          <w:sz w:val="19"/>
          <w:szCs w:val="19"/>
          <w:rtl/>
        </w:rPr>
        <w:t xml:space="preserve">נהלת, סל הסעדים שהופעלו היה מאוזן ונתן מענה הולם לאירועים אלה. </w:t>
      </w:r>
      <w:r w:rsidRPr="00236CC3">
        <w:rPr>
          <w:rFonts w:ascii="Tahoma" w:eastAsiaTheme="minorHAnsi" w:hAnsi="Tahoma" w:cs="Tahoma" w:hint="cs"/>
          <w:sz w:val="19"/>
          <w:szCs w:val="19"/>
          <w:rtl/>
        </w:rPr>
        <w:t>ה</w:t>
      </w:r>
      <w:r w:rsidRPr="00236CC3">
        <w:rPr>
          <w:rFonts w:ascii="Tahoma" w:eastAsiaTheme="minorHAnsi" w:hAnsi="Tahoma" w:cs="Tahoma" w:hint="eastAsia"/>
          <w:sz w:val="19"/>
          <w:szCs w:val="19"/>
          <w:rtl/>
        </w:rPr>
        <w:t>מתפיל</w:t>
      </w:r>
      <w:r w:rsidRPr="00236CC3">
        <w:rPr>
          <w:rFonts w:ascii="Tahoma" w:eastAsiaTheme="minorHAnsi" w:hAnsi="Tahoma" w:cs="Tahoma"/>
          <w:sz w:val="19"/>
          <w:szCs w:val="19"/>
          <w:rtl/>
        </w:rPr>
        <w:t xml:space="preserve"> השיב למשרד מבקר המדינה ביולי 2024 כי </w:t>
      </w:r>
      <w:r w:rsidRPr="00236CC3">
        <w:rPr>
          <w:rFonts w:ascii="Tahoma" w:eastAsiaTheme="minorHAnsi" w:hAnsi="Tahoma" w:cs="Tahoma" w:hint="eastAsia"/>
          <w:sz w:val="19"/>
          <w:szCs w:val="19"/>
          <w:rtl/>
        </w:rPr>
        <w:t>הוא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החל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להפעיל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המתקן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במקביל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לביצוע</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עבודות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שיקום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שתוכננו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היתר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כדי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להתגבר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בעיית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העכירות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וכי </w:t>
      </w:r>
      <w:r w:rsidRPr="00236CC3">
        <w:rPr>
          <w:rFonts w:ascii="Tahoma" w:eastAsiaTheme="minorHAnsi" w:hAnsi="Tahoma" w:cs="Tahoma" w:hint="eastAsia"/>
          <w:sz w:val="19"/>
          <w:szCs w:val="19"/>
          <w:rtl/>
        </w:rPr>
        <w:t>זו</w:t>
      </w:r>
      <w:r w:rsidRPr="00236CC3">
        <w:rPr>
          <w:rFonts w:ascii="Tahoma" w:eastAsiaTheme="minorHAnsi" w:hAnsi="Tahoma" w:cs="Tahoma"/>
          <w:sz w:val="19"/>
          <w:szCs w:val="19"/>
          <w:rtl/>
        </w:rPr>
        <w:t xml:space="preserve"> צפויה להיפתר לכשיסתיים השיקום</w:t>
      </w:r>
      <w:r w:rsidRPr="00236CC3">
        <w:rPr>
          <w:rFonts w:ascii="Tahoma" w:eastAsiaTheme="minorHAnsi" w:hAnsi="Tahoma" w:cs="Tahoma" w:hint="cs"/>
          <w:sz w:val="19"/>
          <w:szCs w:val="19"/>
          <w:rtl/>
        </w:rPr>
        <w:t>.</w:t>
      </w:r>
    </w:p>
    <w:p w14:paraId="403A0BDB"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פיצויים הסכמיים בגין חריגות באיכות המים - </w:t>
      </w:r>
      <w:r w:rsidRPr="00236CC3">
        <w:rPr>
          <w:rFonts w:ascii="Tahoma" w:eastAsiaTheme="minorHAnsi" w:hAnsi="Tahoma" w:cs="Tahoma"/>
          <w:sz w:val="19"/>
          <w:szCs w:val="19"/>
          <w:rtl/>
        </w:rPr>
        <w:t xml:space="preserve">הכנסות המתפילים מהמדינה בגין רכישות מים, הסתכמו בשנת 2022 בכ-1.5 מיליארד ש"ח, בגין 540 מלמ"ק שסופקו באותה שנה ממתקני ההתפלה. </w:t>
      </w:r>
      <w:r w:rsidRPr="00236CC3">
        <w:rPr>
          <w:rFonts w:ascii="Tahoma" w:eastAsiaTheme="minorHAnsi" w:hAnsi="Tahoma" w:cs="Tahoma" w:hint="eastAsia"/>
          <w:sz w:val="19"/>
          <w:szCs w:val="19"/>
          <w:rtl/>
        </w:rPr>
        <w:t>נמצא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סכומי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הפיצויים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המוסכמים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שהשיתה מינהלת ההתפלה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המתפילים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בגין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שסופקו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באיכות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החורגת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מערכי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הסף</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שנקבעו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בהסכמי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הזיכיון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נמוכים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w:t>
      </w:r>
      <w:r w:rsidRPr="00236CC3">
        <w:rPr>
          <w:rFonts w:ascii="Tahoma" w:eastAsiaTheme="minorHAnsi" w:hAnsi="Tahoma" w:cs="Tahoma" w:hint="cs"/>
          <w:sz w:val="19"/>
          <w:szCs w:val="19"/>
          <w:rtl/>
        </w:rPr>
        <w:t>אינם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מרתיעים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באופן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אפקטיבי</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למשל</w:t>
      </w:r>
      <w:r w:rsidRPr="00236CC3">
        <w:rPr>
          <w:rFonts w:ascii="Tahoma" w:eastAsiaTheme="minorHAnsi" w:hAnsi="Tahoma" w:cs="Tahoma"/>
          <w:sz w:val="19"/>
          <w:szCs w:val="19"/>
          <w:rtl/>
        </w:rPr>
        <w:t xml:space="preserve">, סכום הפיצויים המוסכמים שבהם חייבה רשות המים את כל המתפילים בשנים 2018 ועד 2023, נע בין כ-0.35 מיליון ש"ח בשנת 2018 לכ-1.6 מיליון ש"ח בשנת 2023. </w:t>
      </w:r>
      <w:r w:rsidRPr="00236CC3">
        <w:rPr>
          <w:rFonts w:ascii="Tahoma" w:eastAsiaTheme="minorHAnsi" w:hAnsi="Tahoma" w:cs="Tahoma" w:hint="cs"/>
          <w:sz w:val="19"/>
          <w:szCs w:val="19"/>
          <w:rtl/>
        </w:rPr>
        <w:t>סכומי פיצויים מוסכמים נמוכים עלולים שלא להרתיע את המתפילים מהפרה של הסכמי הזיכיון,</w:t>
      </w:r>
      <w:r w:rsidRPr="00236CC3">
        <w:rPr>
          <w:rFonts w:ascii="Tahoma" w:eastAsiaTheme="minorHAnsi" w:hAnsi="Tahoma" w:cs="Tahoma"/>
          <w:sz w:val="19"/>
          <w:szCs w:val="19"/>
          <w:rtl/>
        </w:rPr>
        <w:t xml:space="preserve"> ויש חשש שהמתפיל יעדיף</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משיקולי עלות-תועלת, </w:t>
      </w:r>
      <w:r w:rsidRPr="00236CC3">
        <w:rPr>
          <w:rFonts w:ascii="Tahoma" w:eastAsiaTheme="minorHAnsi" w:hAnsi="Tahoma" w:cs="Tahoma" w:hint="eastAsia"/>
          <w:sz w:val="19"/>
          <w:szCs w:val="19"/>
          <w:rtl/>
        </w:rPr>
        <w:t>לשלם</w:t>
      </w:r>
      <w:r w:rsidRPr="00236CC3">
        <w:rPr>
          <w:rFonts w:ascii="Tahoma" w:eastAsiaTheme="minorHAnsi" w:hAnsi="Tahoma" w:cs="Tahoma"/>
          <w:sz w:val="19"/>
          <w:szCs w:val="19"/>
          <w:rtl/>
        </w:rPr>
        <w:t xml:space="preserve"> את הפיצויים </w:t>
      </w:r>
      <w:r w:rsidRPr="00236CC3">
        <w:rPr>
          <w:rFonts w:ascii="Tahoma" w:eastAsiaTheme="minorHAnsi" w:hAnsi="Tahoma" w:cs="Tahoma" w:hint="eastAsia"/>
          <w:sz w:val="19"/>
          <w:szCs w:val="19"/>
          <w:rtl/>
        </w:rPr>
        <w:t>המוסכמים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פני אספקת מים </w:t>
      </w:r>
      <w:r w:rsidRPr="00236CC3">
        <w:rPr>
          <w:rFonts w:ascii="Tahoma" w:eastAsiaTheme="minorHAnsi" w:hAnsi="Tahoma" w:cs="Tahoma" w:hint="eastAsia"/>
          <w:sz w:val="19"/>
          <w:szCs w:val="19"/>
          <w:rtl/>
        </w:rPr>
        <w:t>באיכות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שנקבעה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בהסכמי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הזיכיון</w:t>
      </w:r>
      <w:r w:rsidRPr="00236CC3">
        <w:rPr>
          <w:rFonts w:ascii="Tahoma" w:eastAsiaTheme="minorHAnsi" w:hAnsi="Tahoma" w:cs="Tahoma"/>
          <w:sz w:val="19"/>
          <w:szCs w:val="19"/>
          <w:rtl/>
        </w:rPr>
        <w:t xml:space="preserve"> ובהיעדר סכומי פיצויים המהווים אמצעי אכיפה אפקטיבי, איכות המים </w:t>
      </w:r>
      <w:r w:rsidRPr="00236CC3">
        <w:rPr>
          <w:rFonts w:ascii="Tahoma" w:eastAsiaTheme="minorHAnsi" w:hAnsi="Tahoma" w:cs="Tahoma" w:hint="eastAsia"/>
          <w:sz w:val="19"/>
          <w:szCs w:val="19"/>
          <w:rtl/>
        </w:rPr>
        <w:t>המסופקים</w:t>
      </w:r>
      <w:r w:rsidRPr="00236CC3">
        <w:rPr>
          <w:rFonts w:ascii="Tahoma" w:eastAsiaTheme="minorHAnsi" w:hAnsi="Tahoma" w:cs="Tahoma"/>
          <w:sz w:val="19"/>
          <w:szCs w:val="19"/>
          <w:rtl/>
        </w:rPr>
        <w:t xml:space="preserve"> למערכת המים הארצית עלולה להיפגע</w:t>
      </w:r>
      <w:r w:rsidRPr="00236CC3">
        <w:rPr>
          <w:rFonts w:ascii="Tahoma" w:eastAsiaTheme="minorHAnsi" w:hAnsi="Tahoma" w:cs="Tahoma"/>
          <w:b/>
          <w:bCs/>
          <w:sz w:val="19"/>
          <w:szCs w:val="19"/>
          <w:rtl/>
        </w:rPr>
        <w:t xml:space="preserve">. </w:t>
      </w:r>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זאת, </w:t>
      </w:r>
      <w:r w:rsidRPr="00236CC3">
        <w:rPr>
          <w:rFonts w:ascii="Tahoma" w:eastAsiaTheme="minorHAnsi" w:hAnsi="Tahoma" w:cs="Tahoma" w:hint="eastAsia"/>
          <w:sz w:val="19"/>
          <w:szCs w:val="19"/>
          <w:rtl/>
        </w:rPr>
        <w:t>סכומי</w:t>
      </w:r>
      <w:r w:rsidRPr="00236CC3">
        <w:rPr>
          <w:rFonts w:ascii="Tahoma" w:eastAsiaTheme="minorHAnsi" w:hAnsi="Tahoma" w:cs="Tahoma"/>
          <w:sz w:val="19"/>
          <w:szCs w:val="19"/>
          <w:rtl/>
        </w:rPr>
        <w:t xml:space="preserve"> הפיצויים המוסכמים עלו </w:t>
      </w:r>
      <w:r w:rsidRPr="00236CC3">
        <w:rPr>
          <w:rFonts w:ascii="Tahoma" w:eastAsiaTheme="minorHAnsi" w:hAnsi="Tahoma" w:cs="Tahoma" w:hint="cs"/>
          <w:sz w:val="19"/>
          <w:szCs w:val="19"/>
          <w:rtl/>
        </w:rPr>
        <w:t>לעומת הסכומים</w:t>
      </w:r>
      <w:r w:rsidRPr="00236CC3">
        <w:rPr>
          <w:rFonts w:ascii="Tahoma" w:eastAsiaTheme="minorHAnsi" w:hAnsi="Tahoma" w:cs="Tahoma"/>
          <w:sz w:val="19"/>
          <w:szCs w:val="19"/>
          <w:rtl/>
        </w:rPr>
        <w:t xml:space="preserve"> שנקבעו בהסכמי הזיכיון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מתקנים הראשונים</w:t>
      </w:r>
      <w:r w:rsidRPr="00236CC3">
        <w:rPr>
          <w:rFonts w:ascii="Tahoma" w:eastAsiaTheme="minorHAnsi" w:hAnsi="Tahoma" w:cs="Tahoma" w:hint="cs"/>
          <w:sz w:val="19"/>
          <w:szCs w:val="19"/>
          <w:rtl/>
        </w:rPr>
        <w:t>.</w:t>
      </w:r>
    </w:p>
    <w:p w14:paraId="0DE5ABE6" w14:textId="77777777" w:rsidR="00236CC3" w:rsidRPr="00236CC3" w:rsidRDefault="00000000" w:rsidP="00236CC3">
      <w:pPr>
        <w:widowControl w:val="0"/>
        <w:numPr>
          <w:ilvl w:val="0"/>
          <w:numId w:val="21"/>
        </w:numPr>
        <w:spacing w:after="240" w:line="288" w:lineRule="auto"/>
        <w:ind w:left="-142" w:right="-567" w:hanging="567"/>
        <w:rPr>
          <w:rFonts w:ascii="Tahoma" w:eastAsiaTheme="minorHAnsi" w:hAnsi="Tahoma" w:cs="Tahoma"/>
          <w:sz w:val="19"/>
          <w:szCs w:val="19"/>
        </w:rPr>
      </w:pPr>
      <w:r w:rsidRPr="00236CC3">
        <w:rPr>
          <w:rFonts w:ascii="Tahoma" w:eastAsiaTheme="minorHAnsi" w:hAnsi="Tahoma" w:cs="Tahoma" w:hint="cs"/>
          <w:b/>
          <w:bCs/>
          <w:sz w:val="19"/>
          <w:szCs w:val="19"/>
          <w:rtl/>
        </w:rPr>
        <w:t>אי-ביצוע פיילוט להוספת מגנזיום למי המוצר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אף שהתקנות הורו כי יוקם מתקן חלוץ (פיילוט) לבחינת מידת הישימות של טכנולוגיות להוספת מגנזיום למים במטרה לקבל עד ספטמבר 2018 תוצאות מהימנות לגבי הישימות של הטכנולוגיות השונות, משרד הבריאות, משרד האוצר, משרד החקלאות, משרד האנרגייה ורשות המים, שהתקנות קובעות שנציגיהם ישתתפו בצוות היגוי לקביעת מתווה מתקן החלוץ,</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לא </w:t>
      </w:r>
      <w:r w:rsidRPr="00236CC3">
        <w:rPr>
          <w:rFonts w:ascii="Tahoma" w:eastAsiaTheme="minorHAnsi" w:hAnsi="Tahoma" w:cs="Tahoma" w:hint="cs"/>
          <w:sz w:val="19"/>
          <w:szCs w:val="19"/>
          <w:rtl/>
        </w:rPr>
        <w:t xml:space="preserve">קידמו </w:t>
      </w:r>
      <w:r w:rsidRPr="00236CC3">
        <w:rPr>
          <w:rFonts w:ascii="Tahoma" w:eastAsiaTheme="minorHAnsi" w:hAnsi="Tahoma" w:cs="Tahoma"/>
          <w:sz w:val="19"/>
          <w:szCs w:val="19"/>
          <w:rtl/>
        </w:rPr>
        <w:t xml:space="preserve">משמעותית </w:t>
      </w:r>
      <w:r w:rsidRPr="00236CC3">
        <w:rPr>
          <w:rFonts w:ascii="Tahoma" w:eastAsiaTheme="minorHAnsi" w:hAnsi="Tahoma" w:cs="Tahoma" w:hint="cs"/>
          <w:sz w:val="19"/>
          <w:szCs w:val="19"/>
          <w:rtl/>
        </w:rPr>
        <w:t xml:space="preserve">את </w:t>
      </w:r>
      <w:r w:rsidRPr="00236CC3">
        <w:rPr>
          <w:rFonts w:ascii="Tahoma" w:eastAsiaTheme="minorHAnsi" w:hAnsi="Tahoma" w:cs="Tahoma"/>
          <w:sz w:val="19"/>
          <w:szCs w:val="19"/>
          <w:rtl/>
        </w:rPr>
        <w:t>הקמת מתקן החלוץ, ואף אין צפי לתחילת הקמתו.</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זאת, על אף עמדת משרד הבריאות שיש צורך בהוספת מגנזיום למי ים מותפלים</w:t>
      </w:r>
      <w:r w:rsidRPr="00236CC3">
        <w:rPr>
          <w:rFonts w:ascii="Tahoma" w:eastAsiaTheme="minorHAnsi" w:hAnsi="Tahoma" w:cs="Tahoma" w:hint="cs"/>
          <w:sz w:val="19"/>
          <w:szCs w:val="19"/>
          <w:rtl/>
        </w:rPr>
        <w:t>.</w:t>
      </w:r>
    </w:p>
    <w:p w14:paraId="3F005A24" w14:textId="77777777" w:rsidR="00236CC3" w:rsidRPr="00236CC3" w:rsidRDefault="00000000" w:rsidP="00236CC3">
      <w:pPr>
        <w:numPr>
          <w:ilvl w:val="0"/>
          <w:numId w:val="21"/>
        </w:numPr>
        <w:autoSpaceDE w:val="0"/>
        <w:autoSpaceDN w:val="0"/>
        <w:adjustRightInd w:val="0"/>
        <w:spacing w:after="240" w:line="288" w:lineRule="auto"/>
        <w:ind w:left="-142" w:right="-567" w:hanging="425"/>
        <w:rPr>
          <w:rFonts w:ascii="Tahoma" w:eastAsiaTheme="minorHAnsi" w:hAnsi="Tahoma" w:cs="Tahoma"/>
          <w:sz w:val="19"/>
          <w:szCs w:val="19"/>
        </w:rPr>
      </w:pPr>
      <w:r w:rsidRPr="00236CC3">
        <w:rPr>
          <w:rFonts w:ascii="Tahoma" w:eastAsiaTheme="minorHAnsi" w:hAnsi="Tahoma" w:cs="Tahoma"/>
          <w:b/>
          <w:bCs/>
          <w:sz w:val="19"/>
          <w:szCs w:val="19"/>
          <w:rtl/>
        </w:rPr>
        <w:lastRenderedPageBreak/>
        <w:t xml:space="preserve">מתקן ההתפלה בפלמחים </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היערכות לתום הזיכיון</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אף</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 xml:space="preserve">מועד סיום הזיכיון </w:t>
      </w:r>
      <w:r w:rsidRPr="00236CC3">
        <w:rPr>
          <w:rFonts w:ascii="Tahoma" w:eastAsiaTheme="minorHAnsi" w:hAnsi="Tahoma" w:cs="Tahoma" w:hint="cs"/>
          <w:sz w:val="19"/>
          <w:szCs w:val="19"/>
          <w:rtl/>
        </w:rPr>
        <w:t xml:space="preserve">של מתקן ההתפלה פלמחים הוא </w:t>
      </w:r>
      <w:r w:rsidRPr="00236CC3">
        <w:rPr>
          <w:rFonts w:ascii="Tahoma" w:eastAsiaTheme="minorHAnsi" w:hAnsi="Tahoma" w:cs="Tahoma"/>
          <w:sz w:val="19"/>
          <w:szCs w:val="19"/>
          <w:rtl/>
        </w:rPr>
        <w:t>שנת 2029</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ו</w:t>
      </w:r>
      <w:r w:rsidRPr="00236CC3">
        <w:rPr>
          <w:rFonts w:ascii="Tahoma" w:eastAsiaTheme="minorHAnsi" w:hAnsi="Tahoma" w:cs="Tahoma" w:hint="cs"/>
          <w:sz w:val="19"/>
          <w:szCs w:val="19"/>
          <w:rtl/>
        </w:rPr>
        <w:t xml:space="preserve">על אף </w:t>
      </w:r>
      <w:r w:rsidRPr="00236CC3">
        <w:rPr>
          <w:rFonts w:ascii="Tahoma" w:eastAsiaTheme="minorHAnsi" w:hAnsi="Tahoma" w:cs="Tahoma"/>
          <w:sz w:val="19"/>
          <w:szCs w:val="19"/>
          <w:rtl/>
        </w:rPr>
        <w:t>התקופה הממושכת שנדרשת להקמת מתקן התפלה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על אף המורכבות הרבה </w:t>
      </w:r>
      <w:r w:rsidRPr="00236CC3">
        <w:rPr>
          <w:rFonts w:ascii="Tahoma" w:eastAsiaTheme="minorHAnsi" w:hAnsi="Tahoma" w:cs="Tahoma" w:hint="eastAsia"/>
          <w:sz w:val="19"/>
          <w:szCs w:val="19"/>
          <w:rtl/>
        </w:rPr>
        <w:t>בהיערכות</w:t>
      </w:r>
      <w:r w:rsidRPr="00236CC3">
        <w:rPr>
          <w:rFonts w:ascii="Tahoma" w:eastAsiaTheme="minorHAnsi" w:hAnsi="Tahoma" w:cs="Tahoma"/>
          <w:sz w:val="19"/>
          <w:szCs w:val="19"/>
          <w:rtl/>
        </w:rPr>
        <w:t xml:space="preserve"> לתום הזיכיון של מתקן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התפלה </w:t>
      </w:r>
      <w:r w:rsidRPr="00236CC3">
        <w:rPr>
          <w:rFonts w:ascii="Tahoma" w:eastAsiaTheme="minorHAnsi" w:hAnsi="Tahoma" w:cs="Tahoma" w:hint="eastAsia"/>
          <w:sz w:val="19"/>
          <w:szCs w:val="19"/>
          <w:rtl/>
        </w:rPr>
        <w:t>פלמחים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הנובעת</w:t>
      </w:r>
      <w:r w:rsidRPr="00236CC3">
        <w:rPr>
          <w:rFonts w:ascii="Tahoma" w:eastAsiaTheme="minorHAnsi" w:hAnsi="Tahoma" w:cs="Tahoma"/>
          <w:sz w:val="19"/>
          <w:szCs w:val="19"/>
          <w:rtl/>
        </w:rPr>
        <w:t xml:space="preserve"> מהבעלות הפרטית </w:t>
      </w:r>
      <w:r w:rsidRPr="00236CC3">
        <w:rPr>
          <w:rFonts w:ascii="Tahoma" w:eastAsiaTheme="minorHAnsi" w:hAnsi="Tahoma" w:cs="Tahoma" w:hint="cs"/>
          <w:sz w:val="19"/>
          <w:szCs w:val="19"/>
          <w:rtl/>
        </w:rPr>
        <w:t xml:space="preserve">על </w:t>
      </w:r>
      <w:r w:rsidRPr="00236CC3">
        <w:rPr>
          <w:rFonts w:ascii="Tahoma" w:eastAsiaTheme="minorHAnsi" w:hAnsi="Tahoma" w:cs="Tahoma"/>
          <w:sz w:val="19"/>
          <w:szCs w:val="19"/>
          <w:rtl/>
        </w:rPr>
        <w:t xml:space="preserve">זכויות החכירה לדורות בקרקע שעליה מוקם המתקן ומהבעלות הפרטית </w:t>
      </w:r>
      <w:r w:rsidRPr="00236CC3">
        <w:rPr>
          <w:rFonts w:ascii="Tahoma" w:eastAsiaTheme="minorHAnsi" w:hAnsi="Tahoma" w:cs="Tahoma" w:hint="cs"/>
          <w:sz w:val="19"/>
          <w:szCs w:val="19"/>
          <w:rtl/>
        </w:rPr>
        <w:t>על ה</w:t>
      </w:r>
      <w:r w:rsidRPr="00236CC3">
        <w:rPr>
          <w:rFonts w:ascii="Tahoma" w:eastAsiaTheme="minorHAnsi" w:hAnsi="Tahoma" w:cs="Tahoma"/>
          <w:sz w:val="19"/>
          <w:szCs w:val="19"/>
          <w:rtl/>
        </w:rPr>
        <w:t>מתקן עצמו</w:t>
      </w:r>
      <w:r w:rsidRPr="00236CC3">
        <w:rPr>
          <w:rFonts w:ascii="Tahoma" w:eastAsiaTheme="minorHAnsi" w:hAnsi="Tahoma" w:cs="Tahoma" w:hint="cs"/>
          <w:sz w:val="19"/>
          <w:szCs w:val="19"/>
          <w:rtl/>
        </w:rPr>
        <w:t xml:space="preserve"> - עד </w:t>
      </w:r>
      <w:r w:rsidRPr="00236CC3">
        <w:rPr>
          <w:rFonts w:ascii="Tahoma" w:eastAsiaTheme="minorHAnsi" w:hAnsi="Tahoma" w:cs="Tahoma"/>
          <w:sz w:val="19"/>
          <w:szCs w:val="19"/>
          <w:rtl/>
        </w:rPr>
        <w:t>מועד סיום הביקורת</w:t>
      </w:r>
      <w:r w:rsidRPr="00236CC3">
        <w:rPr>
          <w:rFonts w:ascii="Tahoma" w:eastAsiaTheme="minorHAnsi" w:hAnsi="Tahoma" w:cs="Tahoma" w:hint="cs"/>
          <w:sz w:val="19"/>
          <w:szCs w:val="19"/>
          <w:rtl/>
        </w:rPr>
        <w:t xml:space="preserve"> החשכ"ל ומינהלת ההתפלה</w:t>
      </w:r>
      <w:r w:rsidRPr="00236CC3">
        <w:rPr>
          <w:rFonts w:ascii="Tahoma" w:eastAsiaTheme="minorHAnsi" w:hAnsi="Tahoma" w:cs="Tahoma"/>
          <w:sz w:val="19"/>
          <w:szCs w:val="19"/>
          <w:rtl/>
        </w:rPr>
        <w:t xml:space="preserve"> עדיין לא</w:t>
      </w:r>
      <w:r w:rsidRPr="00236CC3">
        <w:rPr>
          <w:rFonts w:ascii="Tahoma" w:eastAsiaTheme="minorHAnsi" w:hAnsi="Tahoma" w:cs="Tahoma" w:hint="cs"/>
          <w:sz w:val="19"/>
          <w:szCs w:val="19"/>
          <w:rtl/>
        </w:rPr>
        <w:t xml:space="preserve"> קיימו הליכים משמעותיים מול בעלי הקרקע ובעלי מתקן ההתפלה לגיבוש הסכמות בנושא סיום הזיכיון של מתקן זה</w:t>
      </w:r>
      <w:r w:rsidRPr="00236CC3">
        <w:rPr>
          <w:rFonts w:ascii="Tahoma" w:eastAsiaTheme="minorHAnsi" w:hAnsi="Tahoma" w:cs="Tahoma"/>
          <w:sz w:val="19"/>
          <w:szCs w:val="19"/>
          <w:rtl/>
        </w:rPr>
        <w:t xml:space="preserve">. </w:t>
      </w:r>
    </w:p>
    <w:p w14:paraId="0B8EEAC7" w14:textId="77777777" w:rsidR="00236CC3" w:rsidRPr="00236CC3" w:rsidRDefault="00236CC3" w:rsidP="00236CC3">
      <w:pPr>
        <w:bidi w:val="0"/>
        <w:spacing w:after="200" w:line="288" w:lineRule="auto"/>
        <w:ind w:right="-709"/>
        <w:rPr>
          <w:rFonts w:eastAsiaTheme="minorHAnsi"/>
        </w:rPr>
      </w:pPr>
    </w:p>
    <w:p w14:paraId="04D183A7" w14:textId="77777777" w:rsidR="00236CC3" w:rsidRPr="00236CC3" w:rsidRDefault="00000000" w:rsidP="00236CC3">
      <w:pPr>
        <w:spacing w:line="288" w:lineRule="auto"/>
        <w:ind w:left="-852" w:right="-567"/>
        <w:rPr>
          <w:rFonts w:ascii="Tahoma" w:eastAsiaTheme="minorHAnsi" w:hAnsi="Tahoma" w:cs="Tahoma"/>
          <w:sz w:val="19"/>
          <w:szCs w:val="19"/>
          <w:rtl/>
        </w:rPr>
      </w:pPr>
      <w:r w:rsidRPr="0016404D">
        <w:rPr>
          <w:rFonts w:ascii="Tahoma" w:eastAsiaTheme="minorHAnsi" w:hAnsi="Tahoma" w:cs="Tahoma" w:hint="cs"/>
          <w:b/>
          <w:bCs/>
          <w:sz w:val="19"/>
          <w:szCs w:val="19"/>
          <w:rtl/>
        </w:rPr>
        <w:t xml:space="preserve">מבקר המדינה מתניהו אנגלמן </w:t>
      </w:r>
      <w:r w:rsidRPr="0016404D">
        <w:rPr>
          <w:rFonts w:ascii="Tahoma" w:eastAsiaTheme="minorHAnsi" w:hAnsi="Tahoma" w:cs="Tahoma" w:hint="eastAsia"/>
          <w:b/>
          <w:bCs/>
          <w:sz w:val="19"/>
          <w:szCs w:val="19"/>
          <w:rtl/>
        </w:rPr>
        <w:t>קובע</w:t>
      </w:r>
      <w:r w:rsidRPr="0016404D">
        <w:rPr>
          <w:rFonts w:ascii="Tahoma" w:eastAsiaTheme="minorHAnsi" w:hAnsi="Tahoma" w:cs="Tahoma" w:hint="cs"/>
          <w:b/>
          <w:bCs/>
          <w:sz w:val="19"/>
          <w:szCs w:val="19"/>
          <w:rtl/>
        </w:rPr>
        <w:t xml:space="preserve"> כי </w:t>
      </w:r>
      <w:r w:rsidRPr="0016404D">
        <w:rPr>
          <w:rFonts w:ascii="Tahoma" w:eastAsiaTheme="minorHAnsi" w:hAnsi="Tahoma" w:cs="Tahoma"/>
          <w:b/>
          <w:bCs/>
          <w:sz w:val="19"/>
          <w:szCs w:val="19"/>
          <w:rtl/>
        </w:rPr>
        <w:t>על משרד הבריאות</w:t>
      </w:r>
      <w:r w:rsidRPr="00236CC3">
        <w:rPr>
          <w:rFonts w:ascii="Tahoma" w:eastAsiaTheme="minorHAnsi" w:hAnsi="Tahoma" w:cs="Tahoma"/>
          <w:sz w:val="19"/>
          <w:szCs w:val="19"/>
          <w:rtl/>
        </w:rPr>
        <w:t xml:space="preserve">, רשות המים, אגף החשכ"ל במשרד האוצר ומינהלת ההתפלה לפעול לתיקון הליקויים שהועלו בדוח זה. </w:t>
      </w:r>
      <w:r w:rsidRPr="00236CC3">
        <w:rPr>
          <w:rFonts w:ascii="Tahoma" w:eastAsiaTheme="minorHAnsi" w:hAnsi="Tahoma" w:cs="Tahoma" w:hint="cs"/>
          <w:sz w:val="19"/>
          <w:szCs w:val="19"/>
          <w:rtl/>
        </w:rPr>
        <w:t xml:space="preserve">עוד המליץ המבקר </w:t>
      </w:r>
      <w:r w:rsidRPr="00236CC3">
        <w:rPr>
          <w:rFonts w:ascii="Tahoma" w:eastAsiaTheme="minorHAnsi" w:hAnsi="Tahoma" w:cs="Tahoma"/>
          <w:sz w:val="19"/>
          <w:szCs w:val="19"/>
          <w:rtl/>
        </w:rPr>
        <w:t xml:space="preserve">שמשרד הבריאות, רשות המים, אגף החשכ"ל ומינהלת ההתפלה יערכו הליך סדור של הפקת לקחים על פי הממצאים המצוינים בדוח זה, ובהתאם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ניסיון שנצבר עד כה מההתקשרויות עם המתפילים. זאת בהיבטים שונים, כגון אמצעי האכיפה, סכום הפיצויים המוסכמים, התמריצים, תדירות הבדיקות הנדרשת, מדדים וערכי סף הסכמיים ועמידה בחובות הדיווח. המסקנות מהליך הפקת לקחים סדור יוכלו לשמש תשומה להחלטות בדבר תנאי העסקאות עם המתפילים שיפעילו את מתקני ההתפלה לאחר תום הזיכיון של המתפילים הנוכחיים, וכן בנוגע למתקני התפלה נוספים שיקומו בעתיד, ובכלל זה האסדרה והפיקוח לגביהם.</w:t>
      </w:r>
    </w:p>
    <w:p w14:paraId="74B44959" w14:textId="77777777" w:rsidR="00236CC3" w:rsidRPr="00236CC3" w:rsidRDefault="00236CC3" w:rsidP="00236CC3">
      <w:pPr>
        <w:spacing w:line="269" w:lineRule="auto"/>
        <w:ind w:left="-852" w:right="-567"/>
        <w:rPr>
          <w:rFonts w:ascii="Tahoma" w:eastAsiaTheme="minorHAnsi" w:hAnsi="Tahoma" w:cs="Tahoma"/>
          <w:sz w:val="19"/>
          <w:szCs w:val="19"/>
          <w:rtl/>
        </w:rPr>
      </w:pPr>
    </w:p>
    <w:p w14:paraId="436ED790" w14:textId="77777777" w:rsidR="00236CC3" w:rsidRPr="00236CC3" w:rsidRDefault="00236CC3" w:rsidP="00236CC3">
      <w:pPr>
        <w:spacing w:line="269" w:lineRule="auto"/>
        <w:ind w:left="-851" w:right="-567"/>
        <w:rPr>
          <w:rFonts w:ascii="Tahoma" w:eastAsiaTheme="minorHAnsi" w:hAnsi="Tahoma" w:cs="Tahoma"/>
          <w:sz w:val="19"/>
          <w:szCs w:val="19"/>
          <w:rtl/>
        </w:rPr>
      </w:pPr>
    </w:p>
    <w:p w14:paraId="0E508F73" w14:textId="77777777" w:rsidR="00236CC3" w:rsidRPr="00236CC3" w:rsidRDefault="00236CC3" w:rsidP="00236CC3">
      <w:pPr>
        <w:bidi w:val="0"/>
        <w:spacing w:after="160" w:line="288" w:lineRule="auto"/>
        <w:jc w:val="left"/>
        <w:rPr>
          <w:rFonts w:eastAsiaTheme="minorHAnsi"/>
          <w:sz w:val="22"/>
          <w:szCs w:val="22"/>
        </w:rPr>
      </w:pPr>
    </w:p>
    <w:p w14:paraId="439BE3FA" w14:textId="77777777" w:rsidR="00236CC3" w:rsidRPr="00236CC3" w:rsidRDefault="00000000" w:rsidP="00236CC3">
      <w:pPr>
        <w:rPr>
          <w:rFonts w:eastAsiaTheme="minorHAnsi"/>
        </w:rPr>
      </w:pPr>
      <w:r w:rsidRPr="00236CC3">
        <w:rPr>
          <w:rFonts w:eastAsiaTheme="minorHAnsi"/>
        </w:rPr>
        <w:br w:type="page"/>
      </w:r>
    </w:p>
    <w:tbl>
      <w:tblPr>
        <w:tblStyle w:val="41"/>
        <w:tblpPr w:leftFromText="180" w:rightFromText="180" w:vertAnchor="text" w:tblpXSpec="right"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4469A389" w14:textId="77777777" w:rsidTr="00AD2D9C">
        <w:tc>
          <w:tcPr>
            <w:tcW w:w="9783" w:type="dxa"/>
          </w:tcPr>
          <w:p w14:paraId="4E85C64F" w14:textId="77777777" w:rsidR="00236CC3" w:rsidRPr="00AD2D9C" w:rsidRDefault="00000000" w:rsidP="00AD2D9C">
            <w:pPr>
              <w:pStyle w:val="1"/>
              <w:jc w:val="left"/>
              <w:rPr>
                <w:rFonts w:ascii="Tahoma" w:hAnsi="Tahoma" w:cs="Tahoma"/>
                <w:sz w:val="40"/>
                <w:szCs w:val="40"/>
                <w:rtl/>
              </w:rPr>
            </w:pPr>
            <w:bookmarkStart w:id="43" w:name="_Toc179710262"/>
            <w:r w:rsidRPr="00AD2D9C">
              <w:rPr>
                <w:rFonts w:ascii="Tahoma" w:hAnsi="Tahoma" w:cs="Tahoma"/>
                <w:sz w:val="40"/>
                <w:szCs w:val="40"/>
                <w:rtl/>
              </w:rPr>
              <w:lastRenderedPageBreak/>
              <w:t>פיתוח משק החשמל לקראת שנת 2030</w:t>
            </w:r>
            <w:bookmarkEnd w:id="43"/>
          </w:p>
          <w:p w14:paraId="7D15B264" w14:textId="77777777" w:rsidR="00236CC3" w:rsidRPr="00AD2D9C" w:rsidRDefault="00236CC3" w:rsidP="00AD2D9C">
            <w:pPr>
              <w:pStyle w:val="1"/>
              <w:rPr>
                <w:rtl/>
              </w:rPr>
            </w:pPr>
          </w:p>
        </w:tc>
      </w:tr>
    </w:tbl>
    <w:p w14:paraId="23B38654" w14:textId="77777777" w:rsidR="00236CC3" w:rsidRPr="00236CC3" w:rsidRDefault="00000000" w:rsidP="00236CC3">
      <w:pPr>
        <w:spacing w:line="288" w:lineRule="auto"/>
        <w:ind w:left="-851"/>
        <w:rPr>
          <w:rFonts w:ascii="Tahoma" w:eastAsiaTheme="minorHAnsi" w:hAnsi="Tahoma" w:cs="Tahoma"/>
          <w:rtl/>
        </w:rPr>
      </w:pPr>
      <w:r w:rsidRPr="00236CC3">
        <w:rPr>
          <w:rFonts w:ascii="Tahoma" w:eastAsiaTheme="minorHAnsi" w:hAnsi="Tahoma" w:cs="Tahoma"/>
          <w:noProof/>
          <w:rtl/>
        </w:rPr>
        <w:drawing>
          <wp:inline distT="0" distB="0" distL="0" distR="0" wp14:anchorId="2933FCEF" wp14:editId="4A7B1FF6">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79"/>
        <w:gridCol w:w="2135"/>
        <w:gridCol w:w="279"/>
        <w:gridCol w:w="2273"/>
        <w:gridCol w:w="278"/>
        <w:gridCol w:w="2129"/>
      </w:tblGrid>
      <w:tr w:rsidR="004F19B3" w14:paraId="247257DE" w14:textId="77777777" w:rsidTr="00236CC3">
        <w:trPr>
          <w:trHeight w:val="283"/>
        </w:trPr>
        <w:tc>
          <w:tcPr>
            <w:tcW w:w="2269" w:type="dxa"/>
            <w:tcBorders>
              <w:bottom w:val="single" w:sz="12" w:space="0" w:color="auto"/>
            </w:tcBorders>
            <w:shd w:val="clear" w:color="auto" w:fill="auto"/>
            <w:vAlign w:val="bottom"/>
          </w:tcPr>
          <w:p w14:paraId="393509E6"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tl/>
              </w:rPr>
            </w:pPr>
            <w:r w:rsidRPr="00236CC3">
              <w:rPr>
                <w:rFonts w:ascii="Tahoma" w:hAnsi="Tahoma" w:cs="Tahoma"/>
                <w:spacing w:val="-10"/>
                <w:sz w:val="36"/>
                <w:szCs w:val="36"/>
                <w:rtl/>
              </w:rPr>
              <w:t xml:space="preserve">0.76 - 2.4   </w:t>
            </w:r>
            <w:r w:rsidRPr="00236CC3">
              <w:rPr>
                <w:rFonts w:ascii="Tahoma" w:hAnsi="Tahoma" w:cs="Tahoma"/>
                <w:spacing w:val="-10"/>
                <w:sz w:val="26"/>
                <w:szCs w:val="26"/>
                <w:rtl/>
              </w:rPr>
              <w:t>מיליארד ש"ח</w:t>
            </w:r>
          </w:p>
        </w:tc>
        <w:tc>
          <w:tcPr>
            <w:tcW w:w="279" w:type="dxa"/>
            <w:vAlign w:val="bottom"/>
          </w:tcPr>
          <w:p w14:paraId="42C99E09" w14:textId="77777777" w:rsidR="00236CC3" w:rsidRPr="00236CC3" w:rsidRDefault="00236CC3" w:rsidP="00236CC3">
            <w:pPr>
              <w:tabs>
                <w:tab w:val="center" w:pos="4153"/>
                <w:tab w:val="right" w:pos="8306"/>
              </w:tabs>
              <w:spacing w:afterLines="60" w:after="144" w:line="240" w:lineRule="auto"/>
              <w:jc w:val="left"/>
              <w:rPr>
                <w:rFonts w:ascii="Tahoma" w:hAnsi="Tahoma" w:cs="Tahoma"/>
                <w:spacing w:val="-10"/>
              </w:rPr>
            </w:pPr>
          </w:p>
        </w:tc>
        <w:tc>
          <w:tcPr>
            <w:tcW w:w="2135" w:type="dxa"/>
            <w:tcBorders>
              <w:bottom w:val="single" w:sz="12" w:space="0" w:color="auto"/>
            </w:tcBorders>
            <w:vAlign w:val="bottom"/>
          </w:tcPr>
          <w:p w14:paraId="4BC0A52C"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tl/>
              </w:rPr>
            </w:pPr>
            <w:r w:rsidRPr="00236CC3">
              <w:rPr>
                <w:rFonts w:ascii="Tahoma" w:hAnsi="Tahoma" w:cs="Tahoma"/>
                <w:spacing w:val="-10"/>
                <w:sz w:val="26"/>
                <w:szCs w:val="26"/>
                <w:rtl/>
              </w:rPr>
              <w:t>כ-</w:t>
            </w:r>
            <w:r w:rsidRPr="00236CC3">
              <w:rPr>
                <w:rFonts w:ascii="Tahoma" w:hAnsi="Tahoma" w:cs="Tahoma"/>
                <w:spacing w:val="-10"/>
                <w:sz w:val="36"/>
                <w:szCs w:val="36"/>
                <w:rtl/>
              </w:rPr>
              <w:t>33%</w:t>
            </w:r>
          </w:p>
        </w:tc>
        <w:tc>
          <w:tcPr>
            <w:tcW w:w="279" w:type="dxa"/>
            <w:vAlign w:val="bottom"/>
          </w:tcPr>
          <w:p w14:paraId="388D6406" w14:textId="77777777" w:rsidR="00236CC3" w:rsidRPr="00236CC3" w:rsidRDefault="00236CC3" w:rsidP="00236CC3">
            <w:pPr>
              <w:tabs>
                <w:tab w:val="center" w:pos="4153"/>
                <w:tab w:val="right" w:pos="8306"/>
              </w:tabs>
              <w:spacing w:afterLines="60" w:after="144" w:line="240" w:lineRule="auto"/>
              <w:jc w:val="left"/>
              <w:rPr>
                <w:rFonts w:ascii="Tahoma" w:hAnsi="Tahoma" w:cs="Tahoma"/>
                <w:spacing w:val="-10"/>
              </w:rPr>
            </w:pPr>
          </w:p>
        </w:tc>
        <w:tc>
          <w:tcPr>
            <w:tcW w:w="2273" w:type="dxa"/>
            <w:tcBorders>
              <w:bottom w:val="single" w:sz="12" w:space="0" w:color="auto"/>
            </w:tcBorders>
            <w:vAlign w:val="bottom"/>
          </w:tcPr>
          <w:p w14:paraId="23430842" w14:textId="77777777" w:rsidR="00236CC3" w:rsidRPr="00236CC3" w:rsidRDefault="00000000" w:rsidP="00236CC3">
            <w:pPr>
              <w:tabs>
                <w:tab w:val="center" w:pos="4153"/>
                <w:tab w:val="right" w:pos="8306"/>
              </w:tabs>
              <w:spacing w:after="60" w:line="240" w:lineRule="auto"/>
              <w:jc w:val="left"/>
              <w:rPr>
                <w:rFonts w:ascii="Tahoma" w:hAnsi="Tahoma" w:cs="Tahoma"/>
                <w:spacing w:val="-10"/>
                <w:sz w:val="36"/>
                <w:szCs w:val="36"/>
              </w:rPr>
            </w:pPr>
            <w:r w:rsidRPr="00236CC3">
              <w:rPr>
                <w:rFonts w:ascii="Tahoma" w:hAnsi="Tahoma" w:cs="Tahoma"/>
                <w:spacing w:val="-10"/>
                <w:sz w:val="36"/>
                <w:szCs w:val="36"/>
                <w:rtl/>
              </w:rPr>
              <w:t xml:space="preserve">9 - 12 </w:t>
            </w:r>
            <w:r w:rsidRPr="00236CC3">
              <w:rPr>
                <w:rFonts w:ascii="Tahoma" w:hAnsi="Tahoma" w:cs="Tahoma"/>
                <w:spacing w:val="-10"/>
                <w:sz w:val="26"/>
                <w:szCs w:val="26"/>
                <w:rtl/>
              </w:rPr>
              <w:t>שנים</w:t>
            </w:r>
          </w:p>
        </w:tc>
        <w:tc>
          <w:tcPr>
            <w:tcW w:w="278" w:type="dxa"/>
            <w:vAlign w:val="bottom"/>
          </w:tcPr>
          <w:p w14:paraId="5DA089CA" w14:textId="77777777" w:rsidR="00236CC3" w:rsidRPr="00236CC3" w:rsidRDefault="00236CC3" w:rsidP="00236CC3">
            <w:pPr>
              <w:tabs>
                <w:tab w:val="center" w:pos="4153"/>
                <w:tab w:val="right" w:pos="8306"/>
              </w:tabs>
              <w:spacing w:afterLines="60" w:after="144" w:line="240" w:lineRule="auto"/>
              <w:jc w:val="left"/>
              <w:rPr>
                <w:rFonts w:ascii="Tahoma" w:hAnsi="Tahoma" w:cs="Tahoma"/>
                <w:spacing w:val="-10"/>
              </w:rPr>
            </w:pPr>
          </w:p>
        </w:tc>
        <w:tc>
          <w:tcPr>
            <w:tcW w:w="2129" w:type="dxa"/>
            <w:tcBorders>
              <w:bottom w:val="single" w:sz="12" w:space="0" w:color="auto"/>
            </w:tcBorders>
            <w:vAlign w:val="bottom"/>
          </w:tcPr>
          <w:p w14:paraId="72D304F6"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tl/>
              </w:rPr>
            </w:pPr>
            <w:r w:rsidRPr="00236CC3">
              <w:rPr>
                <w:rFonts w:ascii="Tahoma" w:hAnsi="Tahoma" w:cs="Tahoma"/>
                <w:spacing w:val="-10"/>
                <w:sz w:val="36"/>
                <w:szCs w:val="36"/>
                <w:rtl/>
              </w:rPr>
              <w:t xml:space="preserve">2 </w:t>
            </w:r>
            <w:r w:rsidRPr="00236CC3">
              <w:rPr>
                <w:rFonts w:ascii="Tahoma" w:hAnsi="Tahoma" w:cs="Tahoma"/>
                <w:spacing w:val="-10"/>
                <w:sz w:val="26"/>
                <w:szCs w:val="26"/>
                <w:rtl/>
              </w:rPr>
              <w:t xml:space="preserve">מיליארד </w:t>
            </w:r>
            <w:r w:rsidRPr="00236CC3">
              <w:rPr>
                <w:rFonts w:ascii="Tahoma" w:hAnsi="Tahoma" w:cs="Tahoma"/>
                <w:spacing w:val="-10"/>
                <w:sz w:val="26"/>
                <w:szCs w:val="26"/>
                <w:rtl/>
              </w:rPr>
              <w:br/>
              <w:t>קילו-ואט שעה (קוט"ש)</w:t>
            </w:r>
          </w:p>
        </w:tc>
      </w:tr>
      <w:tr w:rsidR="004F19B3" w14:paraId="3EDB0132" w14:textId="77777777" w:rsidTr="00236CC3">
        <w:trPr>
          <w:trHeight w:val="85"/>
        </w:trPr>
        <w:tc>
          <w:tcPr>
            <w:tcW w:w="9642" w:type="dxa"/>
            <w:gridSpan w:val="7"/>
            <w:shd w:val="clear" w:color="auto" w:fill="auto"/>
            <w:vAlign w:val="center"/>
          </w:tcPr>
          <w:p w14:paraId="51A194EC" w14:textId="77777777" w:rsidR="00236CC3" w:rsidRPr="00236CC3" w:rsidRDefault="00236CC3" w:rsidP="00236CC3">
            <w:pPr>
              <w:tabs>
                <w:tab w:val="center" w:pos="4153"/>
                <w:tab w:val="right" w:pos="8306"/>
              </w:tabs>
              <w:spacing w:line="288" w:lineRule="auto"/>
              <w:rPr>
                <w:rFonts w:ascii="Tahoma" w:hAnsi="Tahoma" w:cs="Tahoma"/>
                <w:spacing w:val="-10"/>
                <w:sz w:val="6"/>
                <w:szCs w:val="6"/>
                <w:rtl/>
              </w:rPr>
            </w:pPr>
          </w:p>
        </w:tc>
      </w:tr>
      <w:tr w:rsidR="004F19B3" w14:paraId="221122ED" w14:textId="77777777" w:rsidTr="00236CC3">
        <w:trPr>
          <w:trHeight w:val="1155"/>
        </w:trPr>
        <w:tc>
          <w:tcPr>
            <w:tcW w:w="2269" w:type="dxa"/>
          </w:tcPr>
          <w:p w14:paraId="72C99E5F"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אומדן הנזק השנתי שנערך על ידי משרד מבקר המדינה, בהתבסס על אומדני חברת נגה לאי-אספקת מלוא הביקוש לחשמל בשנים 2027 ו-2028 בהתאמה, במקרה של אי-פיתוח מערכת הייצור כנדרש, המשקפים על פי נגה 6.5 ו- 9.9 שעות אי-אספקה בהתאמה</w:t>
            </w:r>
          </w:p>
        </w:tc>
        <w:tc>
          <w:tcPr>
            <w:tcW w:w="279" w:type="dxa"/>
          </w:tcPr>
          <w:p w14:paraId="3BCDA018" w14:textId="77777777" w:rsidR="00236CC3" w:rsidRPr="00236CC3" w:rsidRDefault="00236CC3" w:rsidP="00236CC3">
            <w:pPr>
              <w:tabs>
                <w:tab w:val="center" w:pos="4153"/>
                <w:tab w:val="right" w:pos="8306"/>
              </w:tabs>
              <w:spacing w:line="240" w:lineRule="auto"/>
              <w:jc w:val="left"/>
              <w:rPr>
                <w:rFonts w:ascii="Tahoma" w:hAnsi="Tahoma" w:cs="Tahoma"/>
                <w:rtl/>
              </w:rPr>
            </w:pPr>
          </w:p>
        </w:tc>
        <w:tc>
          <w:tcPr>
            <w:tcW w:w="2135" w:type="dxa"/>
          </w:tcPr>
          <w:p w14:paraId="5A837CAD" w14:textId="77777777" w:rsidR="00236CC3" w:rsidRPr="00236CC3" w:rsidRDefault="00000000" w:rsidP="00236CC3">
            <w:pPr>
              <w:tabs>
                <w:tab w:val="center" w:pos="4153"/>
                <w:tab w:val="right" w:pos="8306"/>
              </w:tabs>
              <w:spacing w:line="240" w:lineRule="auto"/>
              <w:jc w:val="left"/>
              <w:rPr>
                <w:rFonts w:ascii="Tahoma" w:hAnsi="Tahoma" w:cs="Tahoma"/>
                <w:rtl/>
              </w:rPr>
            </w:pPr>
            <w:r w:rsidRPr="00236CC3">
              <w:rPr>
                <w:rFonts w:ascii="Tahoma" w:hAnsi="Tahoma" w:cs="Tahoma"/>
                <w:sz w:val="19"/>
                <w:szCs w:val="19"/>
                <w:rtl/>
              </w:rPr>
              <w:t>שיעור הגידול המצטבר הצפוי בשיא הביקוש לחשמל עד שנת 2030, אשר יגיע ל-19.4 גיגה-ואט, לעומת שיא ביקוש של 14.6 גיגה-ואט</w:t>
            </w:r>
            <w:r w:rsidRPr="00236CC3">
              <w:rPr>
                <w:rFonts w:ascii="Tahoma" w:hAnsi="Tahoma" w:cs="Tahoma"/>
                <w:sz w:val="19"/>
                <w:szCs w:val="19"/>
              </w:rPr>
              <w:t xml:space="preserve"> </w:t>
            </w:r>
            <w:r w:rsidRPr="00236CC3">
              <w:rPr>
                <w:rFonts w:ascii="Tahoma" w:hAnsi="Tahoma" w:cs="Tahoma"/>
                <w:sz w:val="19"/>
                <w:szCs w:val="19"/>
                <w:rtl/>
              </w:rPr>
              <w:t>בשנת 2022</w:t>
            </w:r>
          </w:p>
        </w:tc>
        <w:tc>
          <w:tcPr>
            <w:tcW w:w="279" w:type="dxa"/>
          </w:tcPr>
          <w:p w14:paraId="0152EF63"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2273" w:type="dxa"/>
          </w:tcPr>
          <w:p w14:paraId="65B66A13"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משך הזמן להקמת תחנת ייצור קונוונציונלית - החל ממועד תחילת הליך האישור במוסדות התכנון ועד הפעלת התחנה</w:t>
            </w:r>
            <w:r>
              <w:rPr>
                <w:rFonts w:ascii="Tahoma" w:hAnsi="Tahoma" w:cs="Tahoma"/>
                <w:sz w:val="19"/>
                <w:szCs w:val="19"/>
                <w:vertAlign w:val="superscript"/>
                <w:rtl/>
              </w:rPr>
              <w:footnoteReference w:id="2"/>
            </w:r>
          </w:p>
        </w:tc>
        <w:tc>
          <w:tcPr>
            <w:tcW w:w="278" w:type="dxa"/>
          </w:tcPr>
          <w:p w14:paraId="22105530"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29" w:type="dxa"/>
          </w:tcPr>
          <w:p w14:paraId="67A0E229"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אומדן למחסור הצפוי בחשמל המיוצר מגז טבעי בשנת 2030 אם יתממשו הסיכונים עליהם הצביעה נגה בעבודתה למחסור צפוי בגז טבעי</w:t>
            </w:r>
          </w:p>
        </w:tc>
      </w:tr>
      <w:tr w:rsidR="004F19B3" w14:paraId="6A30059C" w14:textId="77777777" w:rsidTr="00236CC3">
        <w:trPr>
          <w:trHeight w:val="363"/>
        </w:trPr>
        <w:tc>
          <w:tcPr>
            <w:tcW w:w="9642" w:type="dxa"/>
            <w:gridSpan w:val="7"/>
          </w:tcPr>
          <w:p w14:paraId="0675A462" w14:textId="77777777" w:rsidR="00236CC3" w:rsidRPr="00236CC3" w:rsidRDefault="00236CC3" w:rsidP="00236CC3">
            <w:pPr>
              <w:tabs>
                <w:tab w:val="center" w:pos="4153"/>
                <w:tab w:val="right" w:pos="8306"/>
              </w:tabs>
              <w:spacing w:line="288" w:lineRule="auto"/>
              <w:jc w:val="center"/>
              <w:rPr>
                <w:rFonts w:ascii="Tahoma" w:hAnsi="Tahoma" w:cs="Tahoma"/>
                <w:sz w:val="6"/>
                <w:szCs w:val="6"/>
                <w:rtl/>
              </w:rPr>
            </w:pPr>
          </w:p>
        </w:tc>
      </w:tr>
      <w:tr w:rsidR="004F19B3" w14:paraId="75DC95C2" w14:textId="77777777" w:rsidTr="00236CC3">
        <w:trPr>
          <w:trHeight w:val="227"/>
        </w:trPr>
        <w:tc>
          <w:tcPr>
            <w:tcW w:w="2269" w:type="dxa"/>
            <w:tcBorders>
              <w:bottom w:val="single" w:sz="12" w:space="0" w:color="auto"/>
            </w:tcBorders>
            <w:vAlign w:val="bottom"/>
          </w:tcPr>
          <w:p w14:paraId="4F5432D9"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26"/>
                <w:szCs w:val="26"/>
              </w:rPr>
            </w:pPr>
            <w:r w:rsidRPr="00236CC3">
              <w:rPr>
                <w:rFonts w:ascii="Tahoma" w:hAnsi="Tahoma" w:cs="Tahoma"/>
                <w:spacing w:val="-10"/>
                <w:sz w:val="36"/>
                <w:szCs w:val="36"/>
                <w:rtl/>
              </w:rPr>
              <w:t xml:space="preserve">12.5% </w:t>
            </w:r>
            <w:r w:rsidRPr="00236CC3">
              <w:rPr>
                <w:rFonts w:ascii="Tahoma" w:hAnsi="Tahoma" w:cs="Tahoma"/>
                <w:spacing w:val="-10"/>
                <w:sz w:val="26"/>
                <w:szCs w:val="26"/>
                <w:rtl/>
              </w:rPr>
              <w:t>בלבד</w:t>
            </w:r>
          </w:p>
        </w:tc>
        <w:tc>
          <w:tcPr>
            <w:tcW w:w="279" w:type="dxa"/>
            <w:vAlign w:val="bottom"/>
          </w:tcPr>
          <w:p w14:paraId="6C2F8E5D"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35" w:type="dxa"/>
            <w:tcBorders>
              <w:bottom w:val="single" w:sz="12" w:space="0" w:color="auto"/>
            </w:tcBorders>
            <w:vAlign w:val="bottom"/>
          </w:tcPr>
          <w:p w14:paraId="77757653"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Pr>
            </w:pPr>
            <w:r w:rsidRPr="00236CC3">
              <w:rPr>
                <w:rFonts w:ascii="Tahoma" w:hAnsi="Tahoma" w:cs="Tahoma"/>
                <w:spacing w:val="-10"/>
                <w:sz w:val="36"/>
                <w:szCs w:val="36"/>
                <w:rtl/>
              </w:rPr>
              <w:t xml:space="preserve">5 </w:t>
            </w:r>
            <w:r w:rsidRPr="00236CC3">
              <w:rPr>
                <w:rFonts w:ascii="Tahoma" w:hAnsi="Tahoma" w:cs="Tahoma"/>
                <w:spacing w:val="-10"/>
                <w:sz w:val="26"/>
                <w:szCs w:val="26"/>
                <w:rtl/>
              </w:rPr>
              <w:t>מגה-ואט בלבד</w:t>
            </w:r>
          </w:p>
        </w:tc>
        <w:tc>
          <w:tcPr>
            <w:tcW w:w="279" w:type="dxa"/>
            <w:vAlign w:val="bottom"/>
          </w:tcPr>
          <w:p w14:paraId="704947C2"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273" w:type="dxa"/>
            <w:tcBorders>
              <w:bottom w:val="single" w:sz="12" w:space="0" w:color="auto"/>
            </w:tcBorders>
            <w:vAlign w:val="bottom"/>
          </w:tcPr>
          <w:p w14:paraId="4652D630"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Pr>
            </w:pPr>
            <w:r w:rsidRPr="00236CC3">
              <w:rPr>
                <w:rFonts w:ascii="Tahoma" w:hAnsi="Tahoma" w:cs="Tahoma"/>
                <w:spacing w:val="-10"/>
                <w:sz w:val="36"/>
                <w:szCs w:val="36"/>
                <w:rtl/>
              </w:rPr>
              <w:t xml:space="preserve">8 </w:t>
            </w:r>
            <w:r w:rsidRPr="00236CC3">
              <w:rPr>
                <w:rFonts w:ascii="Tahoma" w:hAnsi="Tahoma" w:cs="Tahoma"/>
                <w:spacing w:val="-10"/>
                <w:sz w:val="26"/>
                <w:szCs w:val="26"/>
                <w:rtl/>
              </w:rPr>
              <w:t>שנים בלבד</w:t>
            </w:r>
          </w:p>
        </w:tc>
        <w:tc>
          <w:tcPr>
            <w:tcW w:w="278" w:type="dxa"/>
            <w:vAlign w:val="bottom"/>
          </w:tcPr>
          <w:p w14:paraId="72EFBAE3" w14:textId="77777777" w:rsidR="00236CC3" w:rsidRPr="00236CC3" w:rsidRDefault="00236CC3" w:rsidP="00236CC3">
            <w:pPr>
              <w:tabs>
                <w:tab w:val="center" w:pos="4153"/>
                <w:tab w:val="right" w:pos="8306"/>
              </w:tabs>
              <w:spacing w:after="60" w:line="240" w:lineRule="auto"/>
              <w:jc w:val="left"/>
              <w:rPr>
                <w:rFonts w:ascii="Tahoma" w:hAnsi="Tahoma" w:cs="Tahoma"/>
                <w:spacing w:val="-10"/>
              </w:rPr>
            </w:pPr>
          </w:p>
        </w:tc>
        <w:tc>
          <w:tcPr>
            <w:tcW w:w="2129" w:type="dxa"/>
            <w:tcBorders>
              <w:bottom w:val="single" w:sz="12" w:space="0" w:color="auto"/>
            </w:tcBorders>
            <w:vAlign w:val="bottom"/>
          </w:tcPr>
          <w:p w14:paraId="71E1934B" w14:textId="77777777" w:rsidR="00236CC3" w:rsidRPr="00236CC3" w:rsidRDefault="00000000" w:rsidP="00236CC3">
            <w:pPr>
              <w:tabs>
                <w:tab w:val="center" w:pos="4153"/>
                <w:tab w:val="right" w:pos="8306"/>
              </w:tabs>
              <w:spacing w:after="30" w:line="240" w:lineRule="auto"/>
              <w:jc w:val="left"/>
              <w:rPr>
                <w:rFonts w:ascii="Tahoma" w:hAnsi="Tahoma" w:cs="Tahoma"/>
                <w:spacing w:val="-10"/>
                <w:sz w:val="36"/>
                <w:szCs w:val="36"/>
              </w:rPr>
            </w:pPr>
            <w:r w:rsidRPr="00236CC3">
              <w:rPr>
                <w:rFonts w:ascii="Tahoma" w:hAnsi="Tahoma" w:cs="Tahoma"/>
                <w:spacing w:val="-10"/>
                <w:sz w:val="36"/>
                <w:szCs w:val="36"/>
                <w:rtl/>
              </w:rPr>
              <w:t xml:space="preserve">2.9 </w:t>
            </w:r>
            <w:r w:rsidRPr="00236CC3">
              <w:rPr>
                <w:rFonts w:ascii="Tahoma" w:hAnsi="Tahoma" w:cs="Tahoma"/>
                <w:spacing w:val="-10"/>
                <w:sz w:val="26"/>
                <w:szCs w:val="26"/>
                <w:rtl/>
              </w:rPr>
              <w:t>מיליארד ש"ח</w:t>
            </w:r>
          </w:p>
        </w:tc>
      </w:tr>
      <w:tr w:rsidR="004F19B3" w14:paraId="48615F8B" w14:textId="77777777" w:rsidTr="00236CC3">
        <w:trPr>
          <w:trHeight w:val="70"/>
        </w:trPr>
        <w:tc>
          <w:tcPr>
            <w:tcW w:w="9642" w:type="dxa"/>
            <w:gridSpan w:val="7"/>
            <w:vAlign w:val="center"/>
          </w:tcPr>
          <w:p w14:paraId="2A6A3AE0" w14:textId="77777777" w:rsidR="00236CC3" w:rsidRPr="00236CC3" w:rsidRDefault="00236CC3" w:rsidP="00236CC3">
            <w:pPr>
              <w:tabs>
                <w:tab w:val="center" w:pos="4153"/>
                <w:tab w:val="right" w:pos="8306"/>
              </w:tabs>
              <w:spacing w:line="288" w:lineRule="auto"/>
              <w:rPr>
                <w:rFonts w:ascii="Tahoma" w:hAnsi="Tahoma" w:cs="Tahoma"/>
                <w:spacing w:val="-10"/>
                <w:sz w:val="6"/>
                <w:szCs w:val="6"/>
                <w:rtl/>
              </w:rPr>
            </w:pPr>
          </w:p>
        </w:tc>
      </w:tr>
      <w:tr w:rsidR="004F19B3" w14:paraId="366C7413" w14:textId="77777777" w:rsidTr="00236CC3">
        <w:trPr>
          <w:trHeight w:val="1153"/>
        </w:trPr>
        <w:tc>
          <w:tcPr>
            <w:tcW w:w="2269" w:type="dxa"/>
          </w:tcPr>
          <w:p w14:paraId="5A9B2BDD"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ייצור חשמל מאנרגיות מתחדשות מתוך סך ייצור החשמל בסוף שנת 2023. זאת לעומת יעד הממשלה לייצור מאנרגיות מתחדשות בשנת 2030 שעומד על 30%</w:t>
            </w:r>
          </w:p>
        </w:tc>
        <w:tc>
          <w:tcPr>
            <w:tcW w:w="279" w:type="dxa"/>
          </w:tcPr>
          <w:p w14:paraId="0DEEAB5C"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18309562"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hAnsi="Tahoma" w:cs="Tahoma"/>
                <w:sz w:val="19"/>
                <w:szCs w:val="19"/>
                <w:rtl/>
              </w:rPr>
              <w:t xml:space="preserve">היקף האגירה בשנת 2023, לעומת יעד של 400 מגה-ואט במתקנים עצמאיים </w:t>
            </w:r>
            <w:r w:rsidRPr="00236CC3">
              <w:rPr>
                <w:rFonts w:ascii="Tahoma" w:hAnsi="Tahoma" w:cs="Tahoma"/>
                <w:sz w:val="19"/>
                <w:szCs w:val="19"/>
                <w:rtl/>
              </w:rPr>
              <w:br/>
              <w:t>ו-168 מגה-ואט במתקני</w:t>
            </w:r>
            <w:r w:rsidRPr="00236CC3">
              <w:rPr>
                <w:rFonts w:ascii="Tahoma" w:hAnsi="Tahoma" w:cs="Tahoma"/>
                <w:sz w:val="19"/>
                <w:szCs w:val="19"/>
              </w:rPr>
              <w:t xml:space="preserve">PV </w:t>
            </w:r>
            <w:r w:rsidRPr="00236CC3">
              <w:rPr>
                <w:rFonts w:ascii="Tahoma" w:hAnsi="Tahoma" w:cs="Tahoma"/>
                <w:sz w:val="19"/>
                <w:szCs w:val="19"/>
                <w:rtl/>
              </w:rPr>
              <w:t xml:space="preserve"> בשילוב אגירה לשנת 2023.  יעד האגירה לשנת 2030 הוא 2,300 מגה-ואט</w:t>
            </w:r>
          </w:p>
        </w:tc>
        <w:tc>
          <w:tcPr>
            <w:tcW w:w="279" w:type="dxa"/>
          </w:tcPr>
          <w:p w14:paraId="1ADF837B"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273" w:type="dxa"/>
          </w:tcPr>
          <w:p w14:paraId="0BC3C5FA"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טווח התכנון של מערכת הולכת החשמל בישראל החל משנת 2023. טווח זה קצר לעומת טווחי התכנון במדינות המפותחות שנבדקו בביקורת העומד על 10 - 20 שנה</w:t>
            </w:r>
          </w:p>
        </w:tc>
        <w:tc>
          <w:tcPr>
            <w:tcW w:w="278" w:type="dxa"/>
          </w:tcPr>
          <w:p w14:paraId="708EB57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29" w:type="dxa"/>
          </w:tcPr>
          <w:p w14:paraId="2DD3EE5F"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היקף ההשקעות בממוצע בשנים 2023 - 2030 (ובסך הכל 25.8 מיליארד ש"ח הכולל פרויקטים מתוכניות קודמות 4.7 מיליארד ש"ח ותוכנית הפיתוח הנוכחית 21.1 מיליארד ש"ח), גבוה פי 2.23 מהממוצע לשנים 2018 - 2022. ההשקעות אלה אמורות להביא להגדלה של 33% באורך קווי הרשת </w:t>
            </w:r>
          </w:p>
        </w:tc>
      </w:tr>
    </w:tbl>
    <w:p w14:paraId="79ADD444" w14:textId="77777777" w:rsidR="00236CC3" w:rsidRPr="00236CC3" w:rsidRDefault="00236CC3" w:rsidP="00236CC3">
      <w:pPr>
        <w:spacing w:line="288" w:lineRule="auto"/>
        <w:rPr>
          <w:rFonts w:ascii="Tahoma" w:eastAsiaTheme="minorHAnsi" w:hAnsi="Tahoma" w:cs="Tahoma"/>
          <w:rtl/>
        </w:rPr>
      </w:pPr>
    </w:p>
    <w:p w14:paraId="1CB52CF7" w14:textId="77777777" w:rsidR="00236CC3" w:rsidRPr="00236CC3" w:rsidRDefault="00236CC3" w:rsidP="0016404D">
      <w:pPr>
        <w:spacing w:line="288" w:lineRule="auto"/>
        <w:rPr>
          <w:rFonts w:ascii="Tahoma" w:eastAsiaTheme="minorHAnsi" w:hAnsi="Tahoma" w:cs="Tahoma"/>
          <w:noProof/>
          <w:rtl/>
        </w:rPr>
      </w:pPr>
    </w:p>
    <w:p w14:paraId="6D8AC7BC" w14:textId="77777777" w:rsidR="00236CC3" w:rsidRPr="00236CC3" w:rsidRDefault="00236CC3" w:rsidP="00236CC3">
      <w:pPr>
        <w:spacing w:line="288" w:lineRule="auto"/>
        <w:ind w:left="-710"/>
        <w:rPr>
          <w:rFonts w:ascii="Tahoma" w:eastAsiaTheme="minorHAnsi" w:hAnsi="Tahoma" w:cs="Tahoma"/>
          <w:noProof/>
          <w:rtl/>
        </w:rPr>
      </w:pPr>
    </w:p>
    <w:p w14:paraId="001D667F" w14:textId="77777777" w:rsidR="00236CC3" w:rsidRPr="00236CC3" w:rsidRDefault="00000000" w:rsidP="00236CC3">
      <w:pPr>
        <w:spacing w:line="288" w:lineRule="auto"/>
        <w:ind w:left="-710"/>
        <w:rPr>
          <w:rFonts w:ascii="Tahoma" w:eastAsiaTheme="minorHAnsi" w:hAnsi="Tahoma" w:cs="Tahoma"/>
          <w:noProof/>
          <w:rtl/>
        </w:rPr>
      </w:pPr>
      <w:r w:rsidRPr="00236CC3">
        <w:rPr>
          <w:rFonts w:ascii="Tahoma" w:eastAsiaTheme="minorHAnsi" w:hAnsi="Tahoma" w:cs="Tahoma"/>
          <w:noProof/>
        </w:rPr>
        <w:drawing>
          <wp:inline distT="0" distB="0" distL="0" distR="0" wp14:anchorId="7085F09D" wp14:editId="5D6CA57A">
            <wp:extent cx="6104255" cy="438829"/>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02F1B888" w14:textId="77777777" w:rsidR="00236CC3" w:rsidRPr="00236CC3" w:rsidRDefault="00000000" w:rsidP="00236CC3">
      <w:pPr>
        <w:spacing w:before="240" w:after="160" w:line="288" w:lineRule="auto"/>
        <w:ind w:left="-709" w:right="-567"/>
        <w:rPr>
          <w:rFonts w:ascii="Tahoma" w:eastAsiaTheme="minorHAnsi" w:hAnsi="Tahoma" w:cs="Tahoma"/>
          <w:rtl/>
        </w:rPr>
      </w:pPr>
      <w:r w:rsidRPr="00236CC3">
        <w:rPr>
          <w:rFonts w:ascii="Tahoma" w:eastAsiaTheme="minorHAnsi" w:hAnsi="Tahoma" w:cs="Tahoma"/>
          <w:noProof/>
          <w:rtl/>
        </w:rPr>
        <w:drawing>
          <wp:inline distT="0" distB="0" distL="0" distR="0" wp14:anchorId="2C152FA2" wp14:editId="43D12C6C">
            <wp:extent cx="2616789" cy="200650"/>
            <wp:effectExtent l="0" t="0" r="0" b="9525"/>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0E40FB33" w14:textId="77777777" w:rsidR="00236CC3" w:rsidRPr="00236CC3" w:rsidRDefault="00000000" w:rsidP="00236CC3">
      <w:pPr>
        <w:numPr>
          <w:ilvl w:val="0"/>
          <w:numId w:val="21"/>
        </w:numPr>
        <w:spacing w:after="240" w:line="288" w:lineRule="auto"/>
        <w:ind w:left="0" w:right="-567" w:hanging="567"/>
        <w:contextualSpacing/>
        <w:rPr>
          <w:rFonts w:ascii="Tahoma" w:eastAsiaTheme="minorHAnsi" w:hAnsi="Tahoma" w:cs="Tahoma"/>
          <w:b/>
          <w:bCs/>
          <w:sz w:val="19"/>
          <w:szCs w:val="19"/>
        </w:rPr>
      </w:pPr>
      <w:r w:rsidRPr="00236CC3">
        <w:rPr>
          <w:rFonts w:ascii="Tahoma" w:eastAsiaTheme="minorHAnsi" w:hAnsi="Tahoma" w:cs="Tahoma"/>
          <w:b/>
          <w:bCs/>
          <w:sz w:val="19"/>
          <w:szCs w:val="19"/>
          <w:rtl/>
        </w:rPr>
        <w:t xml:space="preserve">תכנון ארוך טווח של משק החשמל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בתכנון משק החשמל נדרש לתת מענה לצריכה הצפויה של החשמל, כדי שהיצע החשמל יהיה בהיקף המיטבי ברמה המשקית</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בדוחות מבקר מדינה קודמים צוין כי תכנון התשתיות במשק החשמל בישראל מאופיין בראייה קצרת טווח ולשנים מעטות בלבד, ובמשך שנים משק החשמל מתנהל ללא תוכנית אב: לעומת מרבית המדינות המפותחות בהן תכנון משק החשמל נערך לטווח של -10 - 20 שנים, בישראל התכנון הוא קצר יותר ועומד על 8 שנים בלבד, לאחר שהוארך מחמש שנים. זאת על אף המאפיינים הייחודיים של ישראל, כגון היותה אי-אנרגטי; הצפיפות בה; הפערים בין אזורי ייצור החשמל בפריפריה לאזורי הצריכה שהם בעיקר אזור המרכז; וההסתמכות על משאב אנרגייה מתחדשת מרכזי יחיד, אנרגייה סולארית, אשר מעצימים את החשיבות של תכנון ארוך טווח וקבלת החלטות מבעוד מועד. עוד צוין בדוחות קודמים כי מקטע הייצור התפתח ללא תוכנית מתכללת ונשען על החלטות של מנהל המערכת ורשות החשמל ועל תוכניות ספציפיות שגובשו בהתאם ליעדים שונים של הממשלה. בביקורת עלה כי משרד האנרגייה לא תיקן את הליקוי עליו הצביע משרד מבקר המדינה בדוחות קודמים בדבר היעדר גיבוש תוכנית אב למשק החשמל, ולפיכך תכנון משק החשמל מתבצע ללא ראייה מתכללת ארוכת טווח. </w:t>
      </w:r>
    </w:p>
    <w:p w14:paraId="6DF18172" w14:textId="77777777" w:rsidR="00236CC3" w:rsidRPr="00236CC3" w:rsidRDefault="00236CC3" w:rsidP="00236CC3">
      <w:pPr>
        <w:spacing w:after="240" w:line="288" w:lineRule="auto"/>
        <w:ind w:right="-567"/>
        <w:contextualSpacing/>
        <w:rPr>
          <w:rFonts w:ascii="Tahoma" w:eastAsiaTheme="minorHAnsi" w:hAnsi="Tahoma" w:cs="Tahoma"/>
          <w:b/>
          <w:bCs/>
          <w:sz w:val="12"/>
          <w:szCs w:val="12"/>
        </w:rPr>
      </w:pPr>
    </w:p>
    <w:p w14:paraId="64FFD9A0" w14:textId="77777777" w:rsidR="00236CC3" w:rsidRPr="00236CC3" w:rsidRDefault="00000000" w:rsidP="00236CC3">
      <w:pPr>
        <w:numPr>
          <w:ilvl w:val="0"/>
          <w:numId w:val="21"/>
        </w:numPr>
        <w:spacing w:after="240" w:line="288" w:lineRule="auto"/>
        <w:ind w:left="0" w:right="-567" w:hanging="595"/>
        <w:rPr>
          <w:rFonts w:ascii="Tahoma" w:eastAsiaTheme="minorHAnsi" w:hAnsi="Tahoma" w:cs="Tahoma"/>
          <w:sz w:val="19"/>
          <w:szCs w:val="19"/>
        </w:rPr>
      </w:pPr>
      <w:r w:rsidRPr="00236CC3">
        <w:rPr>
          <w:rFonts w:ascii="Tahoma" w:eastAsiaTheme="minorHAnsi" w:hAnsi="Tahoma" w:cs="Tahoma"/>
          <w:b/>
          <w:bCs/>
          <w:sz w:val="19"/>
          <w:szCs w:val="19"/>
          <w:rtl/>
        </w:rPr>
        <w:t>צפי לאי-אספקת חשמל</w:t>
      </w:r>
      <w:r w:rsidRPr="00236CC3">
        <w:rPr>
          <w:rFonts w:ascii="Tahoma" w:eastAsiaTheme="minorHAnsi" w:hAnsi="Tahoma" w:cs="Tahoma"/>
          <w:sz w:val="19"/>
          <w:szCs w:val="19"/>
          <w:rtl/>
        </w:rPr>
        <w:t xml:space="preserve"> - עיכובים אפשריים בהקמת יחידות ייצור ומתקני אגירה, שעל פי מסמכי נגה קיימת סבירות גבוהה שיקרו, עשויים להוביל לפגיעה ברמת האמינות של אספקת החשמל, המתבטאת בגידול משמעותי בשעות שבהן משק החשמל לא יוכל לספק את מלוא הביקוש. כך, תוצאות הסימולציה שערכה נגה לתרחיש זה משקפות 6.5 שעות אי-אספקה של מלוא הביקושים בשנת 2027 ו-9.9 שעות אי-אספקה בשנת 2028, עד פי 3.4 משעות אי-האספקה שתוכננו בתוכנית הפיתוח, דבר שעשוי להתבטא בנזקים למשק. עיכובים אלה, שעל פי נגה קיימת סבירות סבירות גבוהה שיחולו, עלולים להסב למשק נזקים כבדים בהיקף של 776 מיליון ש"ח בשנת 2027 ו- 2.44 מיליארד ש"ח בשנת 2028</w:t>
      </w:r>
      <w:r>
        <w:rPr>
          <w:rFonts w:ascii="Tahoma" w:eastAsiaTheme="minorHAnsi" w:hAnsi="Tahoma" w:cs="Tahoma"/>
          <w:sz w:val="19"/>
          <w:szCs w:val="19"/>
          <w:vertAlign w:val="superscript"/>
          <w:rtl/>
        </w:rPr>
        <w:footnoteReference w:id="3"/>
      </w:r>
      <w:r w:rsidRPr="00236CC3">
        <w:rPr>
          <w:rFonts w:ascii="Tahoma" w:eastAsiaTheme="minorHAnsi" w:hAnsi="Tahoma" w:cs="Tahoma"/>
          <w:sz w:val="19"/>
          <w:szCs w:val="19"/>
          <w:rtl/>
        </w:rPr>
        <w:t>.</w:t>
      </w:r>
      <w:r w:rsidRPr="00236CC3">
        <w:rPr>
          <w:rFonts w:ascii="Tahoma" w:eastAsiaTheme="minorHAnsi" w:hAnsi="Tahoma" w:cs="Tahoma"/>
          <w:b/>
          <w:bCs/>
          <w:rtl/>
        </w:rPr>
        <w:t xml:space="preserve">   </w:t>
      </w:r>
      <w:r w:rsidRPr="00236CC3">
        <w:rPr>
          <w:rFonts w:ascii="Tahoma" w:eastAsiaTheme="minorHAnsi" w:hAnsi="Tahoma" w:cs="Tahoma"/>
          <w:sz w:val="16"/>
          <w:szCs w:val="16"/>
          <w:rtl/>
        </w:rPr>
        <w:t xml:space="preserve"> </w:t>
      </w:r>
    </w:p>
    <w:p w14:paraId="464CC43D" w14:textId="77777777" w:rsidR="00236CC3" w:rsidRPr="00236CC3" w:rsidRDefault="00000000" w:rsidP="00236CC3">
      <w:pPr>
        <w:numPr>
          <w:ilvl w:val="0"/>
          <w:numId w:val="21"/>
        </w:numPr>
        <w:spacing w:after="240" w:line="288" w:lineRule="auto"/>
        <w:ind w:left="0"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אישור תוכנית הפיתוח </w:t>
      </w:r>
      <w:r w:rsidRPr="00236CC3">
        <w:rPr>
          <w:rFonts w:ascii="Tahoma" w:eastAsiaTheme="minorHAnsi" w:hAnsi="Tahoma" w:cs="Tahoma"/>
          <w:sz w:val="19"/>
          <w:szCs w:val="19"/>
          <w:rtl/>
        </w:rPr>
        <w:t>- עפ"י חוק משק החשמל, שר האנרגייה מאשר את תוכניות הפיתוח שמגובשות על ידי בעל רישיון לניהול המערכת (חברת נגה), לאחר התייעצות עם רשות החשמל בעניין התוכנית ובהסכמת שר האוצר. בביקורת עלה כי על אף שנגה הגישה תוכנית פיתוח אינטגרטיבית הכוללת את פיתוח מקטעי המסירה והייצור,</w:t>
      </w:r>
      <w:r w:rsidRPr="00236CC3">
        <w:rPr>
          <w:rFonts w:ascii="Tahoma" w:eastAsiaTheme="minorHAnsi" w:hAnsi="Tahoma" w:cs="Tahoma"/>
          <w:b/>
          <w:bCs/>
          <w:sz w:val="24"/>
          <w:rtl/>
        </w:rPr>
        <w:t xml:space="preserve"> </w:t>
      </w:r>
      <w:r w:rsidRPr="00236CC3">
        <w:rPr>
          <w:rFonts w:ascii="Tahoma" w:eastAsiaTheme="minorHAnsi" w:hAnsi="Tahoma" w:cs="Tahoma"/>
          <w:sz w:val="19"/>
          <w:szCs w:val="19"/>
          <w:rtl/>
        </w:rPr>
        <w:t xml:space="preserve">רשות החשמל לא גיבשה את המלצתה לכלל מרכיבי התוכנית, והיא המליצה לשר האנרגייה לאשר רק את תוכנית הפיתוח למקטע המסירה וטרם גיבשה את המלצתה לאישור תוכנית מקטע הייצור. שר האנרגייה מצדו לא אישר את תוכנית הפיתוח האינטגרטיבית במלואה, בזמן הנדרש ולפני מועד </w:t>
      </w:r>
      <w:r w:rsidRPr="00236CC3">
        <w:rPr>
          <w:rFonts w:ascii="Tahoma" w:eastAsiaTheme="minorHAnsi" w:hAnsi="Tahoma" w:cs="Tahoma"/>
          <w:sz w:val="19"/>
          <w:szCs w:val="19"/>
          <w:rtl/>
        </w:rPr>
        <w:lastRenderedPageBreak/>
        <w:t>תחילת יישום התוכנית בפועל, ינואר 2023. בפועל רק בנובמבר 2023, אישר השר את תוכנית הפיתוח של מקטע המסירה.</w:t>
      </w:r>
    </w:p>
    <w:p w14:paraId="0A112E55" w14:textId="77777777" w:rsidR="00236CC3" w:rsidRPr="00236CC3" w:rsidRDefault="00236CC3" w:rsidP="00236CC3">
      <w:pPr>
        <w:spacing w:after="240" w:line="288" w:lineRule="auto"/>
        <w:ind w:right="-567"/>
        <w:contextualSpacing/>
        <w:rPr>
          <w:rFonts w:ascii="Tahoma" w:eastAsiaTheme="minorHAnsi" w:hAnsi="Tahoma" w:cs="Tahoma"/>
          <w:sz w:val="12"/>
          <w:szCs w:val="12"/>
          <w:rtl/>
        </w:rPr>
      </w:pPr>
    </w:p>
    <w:p w14:paraId="502B2202" w14:textId="77777777" w:rsidR="00236CC3" w:rsidRPr="00236CC3" w:rsidRDefault="00000000" w:rsidP="00236CC3">
      <w:pPr>
        <w:numPr>
          <w:ilvl w:val="0"/>
          <w:numId w:val="21"/>
        </w:numPr>
        <w:autoSpaceDE w:val="0"/>
        <w:autoSpaceDN w:val="0"/>
        <w:adjustRightInd w:val="0"/>
        <w:spacing w:line="288" w:lineRule="auto"/>
        <w:ind w:left="-1"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קבלת החלטות מאוחרת על הקמת תחנות ייצור קונוונציונליות הנדרשות עד שנת</w:t>
      </w:r>
      <w:r w:rsidRPr="00236CC3">
        <w:rPr>
          <w:rFonts w:ascii="Tahoma" w:eastAsiaTheme="minorHAnsi" w:hAnsi="Tahoma" w:cs="Tahoma"/>
          <w:b/>
          <w:bCs/>
          <w:rtl/>
        </w:rPr>
        <w:t xml:space="preserve"> </w:t>
      </w:r>
      <w:r w:rsidRPr="00236CC3">
        <w:rPr>
          <w:rFonts w:ascii="Tahoma" w:eastAsiaTheme="minorHAnsi" w:hAnsi="Tahoma" w:cs="Tahoma"/>
          <w:b/>
          <w:bCs/>
          <w:sz w:val="19"/>
          <w:szCs w:val="19"/>
          <w:rtl/>
        </w:rPr>
        <w:t xml:space="preserve">2030 </w:t>
      </w:r>
      <w:r w:rsidRPr="00236CC3">
        <w:rPr>
          <w:rFonts w:ascii="Tahoma" w:eastAsiaTheme="minorHAnsi" w:hAnsi="Tahoma" w:cs="Tahoma"/>
          <w:sz w:val="19"/>
          <w:szCs w:val="19"/>
          <w:rtl/>
        </w:rPr>
        <w:t>-</w:t>
      </w:r>
      <w:r w:rsidRPr="00236CC3">
        <w:rPr>
          <w:rFonts w:ascii="Tahoma" w:eastAsiaTheme="minorHAnsi" w:hAnsi="Tahoma" w:cs="Tahoma"/>
          <w:b/>
          <w:bCs/>
          <w:rtl/>
        </w:rPr>
        <w:t xml:space="preserve"> </w:t>
      </w:r>
      <w:bookmarkStart w:id="44" w:name="_Hlk171862989"/>
      <w:r w:rsidRPr="00236CC3">
        <w:rPr>
          <w:rFonts w:ascii="Tahoma" w:eastAsiaTheme="minorHAnsi" w:hAnsi="Tahoma" w:cs="Tahoma"/>
          <w:sz w:val="19"/>
          <w:szCs w:val="19"/>
          <w:rtl/>
        </w:rPr>
        <w:t xml:space="preserve">לוחות הזמנים שקבע משרד האנרגייה </w:t>
      </w:r>
      <w:bookmarkEnd w:id="44"/>
      <w:r w:rsidRPr="00236CC3">
        <w:rPr>
          <w:rFonts w:ascii="Tahoma" w:eastAsiaTheme="minorHAnsi" w:hAnsi="Tahoma" w:cs="Tahoma"/>
          <w:sz w:val="19"/>
          <w:szCs w:val="19"/>
          <w:rtl/>
        </w:rPr>
        <w:t>לגיבוש ואישור מלאי תכנוני של מתקני ייצור (יולי 2023) הדרושים לשנים 2028 - 2029, הותיר פרק זמן של חמש עד שש שנים בלבד להקמת תחנות כוח. פרק זמן זה הוא עלול להיות בלתי מספק לעומת זמן הקמת תחנת כוח פרטית בישראל - שש עד שבע שנים.</w:t>
      </w:r>
      <w:r w:rsidRPr="00236CC3">
        <w:rPr>
          <w:rFonts w:ascii="Tahoma" w:eastAsiaTheme="minorHAnsi" w:hAnsi="Tahoma" w:cs="Tahoma"/>
          <w:b/>
          <w:bCs/>
          <w:rtl/>
        </w:rPr>
        <w:t xml:space="preserve"> </w:t>
      </w:r>
      <w:r w:rsidRPr="00236CC3">
        <w:rPr>
          <w:rFonts w:ascii="Tahoma" w:eastAsiaTheme="minorHAnsi" w:hAnsi="Tahoma" w:cs="Tahoma"/>
          <w:sz w:val="19"/>
          <w:szCs w:val="19"/>
          <w:rtl/>
        </w:rPr>
        <w:t>המכרז להקמת תחנת הייצור בשורק, בהיקף של 680 - 900 מגה-ואט שאמורה לתת מענה לצורכי הביקוש לחשמל החל משנת 2028, פורסם רק בנובמבר 2023, ואישור התוכנית להקמת תחנת הייצור קסם, בהיקף ייצור של 870 מגה-ואט שאמורה לתת מענה לצורכי הביקוש משנת 2029, התקבל רק במאי 2023.</w:t>
      </w:r>
    </w:p>
    <w:p w14:paraId="21C48A3C" w14:textId="77777777" w:rsidR="00236CC3" w:rsidRPr="00236CC3" w:rsidRDefault="00000000" w:rsidP="00236CC3">
      <w:pPr>
        <w:numPr>
          <w:ilvl w:val="0"/>
          <w:numId w:val="21"/>
        </w:numPr>
        <w:spacing w:after="160" w:line="288" w:lineRule="auto"/>
        <w:ind w:left="0" w:right="-567" w:hanging="567"/>
        <w:contextualSpacing/>
        <w:rPr>
          <w:rFonts w:ascii="Tahoma" w:eastAsiaTheme="minorHAnsi" w:hAnsi="Tahoma" w:cs="Tahoma"/>
          <w:sz w:val="19"/>
          <w:szCs w:val="19"/>
        </w:rPr>
      </w:pPr>
      <w:bookmarkStart w:id="45" w:name="_Hlk170039333"/>
      <w:r w:rsidRPr="00236CC3">
        <w:rPr>
          <w:rFonts w:ascii="Tahoma" w:eastAsiaTheme="minorHAnsi" w:hAnsi="Tahoma" w:cs="Tahoma"/>
          <w:b/>
          <w:bCs/>
          <w:sz w:val="19"/>
          <w:szCs w:val="19"/>
          <w:rtl/>
        </w:rPr>
        <w:t>מחסור בגז טבעי לייצור חשמל</w:t>
      </w:r>
      <w:r w:rsidRPr="00236CC3">
        <w:rPr>
          <w:rFonts w:ascii="Tahoma" w:eastAsiaTheme="minorHAnsi" w:hAnsi="Tahoma" w:cs="Tahoma"/>
          <w:sz w:val="19"/>
          <w:szCs w:val="19"/>
          <w:rtl/>
        </w:rPr>
        <w:t xml:space="preserve"> - קיים פער בין תחזיות היצע הגז למשק החשמל שערכה נגה, האמונה על תכנון משק החשמל, ולפיהן קיים סיכון למחסור באספקת הגז למשק החשמל החל משנת 2026, לבין תחזיות רשות הגז, האמונה על תכנון משק הגז, אשר לפיהן לא צפוי מחסור בגז למשק החשמל. אם התחזית למחסור בגז תתממש, הנזק מכך מוערך על ידי משרד מבקר המדינה בכ-186 מיליון ש"ח לפחות בשנת 2030. עוד נמצא כי לנגה, האמונה על הכנת תוכניות הפיתוח של מקטע הייצור, אין נתונים על היקפי הגז הזמינים לייצרני החשמל השונים, בין היתר מאחר שמדובר במידע מסחרי של יצרנים פרטיים. בהיעדר נתונים שחשיבותם מכרעת לגבי היקף הגז הטבעי של כל אחד מהיצרנים, נפגעת יכולתה של נגה לתכנן ולתפעל את משק החשמל באופן המיטבי. זאת מאחר שייתכן כי הצרכים שנגה מזהה ומתכננת לפיהם את מערך הייצור לא יהיו תואמים להיצע הגז הזמין במשק לכל יצרן, ולפיכך לא יהיה ניתן לייצר חשמל בגז טבעי בהתאם לצרכים שנגה זיהתה. </w:t>
      </w:r>
    </w:p>
    <w:p w14:paraId="0BF7DBAB" w14:textId="77777777" w:rsidR="00236CC3" w:rsidRPr="00236CC3" w:rsidRDefault="00236CC3" w:rsidP="00236CC3">
      <w:pPr>
        <w:spacing w:after="160" w:line="288" w:lineRule="auto"/>
        <w:ind w:right="-567"/>
        <w:contextualSpacing/>
        <w:rPr>
          <w:rFonts w:ascii="Tahoma" w:eastAsiaTheme="minorHAnsi" w:hAnsi="Tahoma" w:cs="Tahoma"/>
          <w:sz w:val="12"/>
          <w:szCs w:val="12"/>
          <w:rtl/>
        </w:rPr>
      </w:pPr>
    </w:p>
    <w:bookmarkEnd w:id="45"/>
    <w:p w14:paraId="3EB2E79E" w14:textId="77777777" w:rsidR="00236CC3" w:rsidRPr="00236CC3" w:rsidRDefault="00000000" w:rsidP="00236CC3">
      <w:pPr>
        <w:numPr>
          <w:ilvl w:val="0"/>
          <w:numId w:val="21"/>
        </w:numPr>
        <w:autoSpaceDE w:val="0"/>
        <w:autoSpaceDN w:val="0"/>
        <w:adjustRightInd w:val="0"/>
        <w:spacing w:line="288" w:lineRule="auto"/>
        <w:ind w:left="-1"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ייצור חשמל מאנרגיות מתחדשות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היקפי הייצור באנרגיות מתחדשות בישראל היו נמוכים מהיעדים שקבעה הממשלה באופן עקבי, כך היעד לשנת 2020, 10% ייצור באנרגיות מתחדשות, הושג רק בסוף שנת 2022, בין היתר בשל חסמים רבים, ובהם חוסר יכולת לחבר את מתקני הייצור באנרגיות מתחדשות לרשת, חסמים סטטוטוריים ומגבלות קרקע. היקף ייצור החשמל מאנרגיות מתחדשות בישראל בשנת 2022 (כ-10%) נמוך אף בהשוואה למדינות ה-</w:t>
      </w:r>
      <w:r w:rsidRPr="00236CC3">
        <w:rPr>
          <w:rFonts w:ascii="Tahoma" w:eastAsiaTheme="minorHAnsi" w:hAnsi="Tahoma" w:cs="Tahoma"/>
          <w:sz w:val="19"/>
          <w:szCs w:val="19"/>
        </w:rPr>
        <w:t>OECD</w:t>
      </w:r>
      <w:r w:rsidRPr="00236CC3">
        <w:rPr>
          <w:rFonts w:ascii="Tahoma" w:eastAsiaTheme="minorHAnsi" w:hAnsi="Tahoma" w:cs="Tahoma"/>
          <w:sz w:val="19"/>
          <w:szCs w:val="19"/>
          <w:rtl/>
        </w:rPr>
        <w:t xml:space="preserve"> בהן עמד הייצור מאנרגיות אלה בשנה זו על 31.3% בממוצע.</w:t>
      </w:r>
    </w:p>
    <w:p w14:paraId="706C7096" w14:textId="77777777" w:rsidR="00236CC3" w:rsidRPr="00236CC3" w:rsidRDefault="00236CC3" w:rsidP="00236CC3">
      <w:pPr>
        <w:autoSpaceDE w:val="0"/>
        <w:autoSpaceDN w:val="0"/>
        <w:adjustRightInd w:val="0"/>
        <w:spacing w:line="288" w:lineRule="auto"/>
        <w:ind w:right="-567"/>
        <w:rPr>
          <w:rFonts w:ascii="Tahoma" w:eastAsiaTheme="minorHAnsi" w:hAnsi="Tahoma" w:cs="Tahoma"/>
          <w:sz w:val="12"/>
          <w:szCs w:val="12"/>
        </w:rPr>
      </w:pPr>
    </w:p>
    <w:p w14:paraId="0B2822AE" w14:textId="77777777" w:rsidR="00236CC3" w:rsidRPr="00236CC3" w:rsidRDefault="00000000" w:rsidP="00236CC3">
      <w:pPr>
        <w:numPr>
          <w:ilvl w:val="0"/>
          <w:numId w:val="21"/>
        </w:numPr>
        <w:autoSpaceDE w:val="0"/>
        <w:autoSpaceDN w:val="0"/>
        <w:adjustRightInd w:val="0"/>
        <w:spacing w:line="288" w:lineRule="auto"/>
        <w:ind w:left="-1"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אגירת אנרגייה </w:t>
      </w:r>
      <w:r w:rsidRPr="00236CC3">
        <w:rPr>
          <w:rFonts w:ascii="Tahoma" w:eastAsiaTheme="minorHAnsi" w:hAnsi="Tahoma" w:cs="Tahoma"/>
          <w:sz w:val="19"/>
          <w:szCs w:val="19"/>
          <w:rtl/>
        </w:rPr>
        <w:t xml:space="preserve">- על אף שנגה ציינה בתוכנית הפיתוח מאוגוסט 2022 כי נדרש להקים מתקני אגירה בהיקף של 1,800 מגה-ואט עד שנת 2030, וכי היא נדרשת להכין תוכנית המשך לקליטת מתקני אגירת אנרגייה במערכת החשמל, נגה טרם הכינה תוכנית כאמור. בכלל זה, נגה טרם ביצעה עבודה לבחינת סוגי מתקני האגירה הנדרשים, מיקומם המיטבי, היקפם ופריסתם על פני השנים; רשות החשמל לא פרסמה אסדרות למתקני אגירה עבור שירותים נלווים במועד הנדרש, ומתקנים בהיקף 400 מגה-ואט שהיו נדרשים בשנת 2023 טרם הוקמו; על אף שרשות החשמל פרסמה כבר בשנת 2020 הליכים תחרותיים לשילוב מתקני </w:t>
      </w:r>
      <w:r w:rsidRPr="00236CC3">
        <w:rPr>
          <w:rFonts w:ascii="Tahoma" w:eastAsiaTheme="minorHAnsi" w:hAnsi="Tahoma" w:cs="Tahoma"/>
          <w:sz w:val="19"/>
          <w:szCs w:val="19"/>
        </w:rPr>
        <w:t>PV</w:t>
      </w:r>
      <w:r w:rsidRPr="00236CC3">
        <w:rPr>
          <w:rFonts w:ascii="Tahoma" w:eastAsiaTheme="minorHAnsi" w:hAnsi="Tahoma" w:cs="Tahoma"/>
          <w:sz w:val="19"/>
          <w:szCs w:val="19"/>
          <w:rtl/>
        </w:rPr>
        <w:t xml:space="preserve"> משולבי אגירה בהספק של 777 מגה-ואט, ועל אף שבתוכנית הפיתוח נדרש להקים מתקני </w:t>
      </w:r>
      <w:r w:rsidRPr="00236CC3">
        <w:rPr>
          <w:rFonts w:ascii="Tahoma" w:eastAsiaTheme="minorHAnsi" w:hAnsi="Tahoma" w:cs="Tahoma"/>
          <w:sz w:val="19"/>
          <w:szCs w:val="19"/>
        </w:rPr>
        <w:t>PV</w:t>
      </w:r>
      <w:r w:rsidRPr="00236CC3">
        <w:rPr>
          <w:rFonts w:ascii="Tahoma" w:eastAsiaTheme="minorHAnsi" w:hAnsi="Tahoma" w:cs="Tahoma"/>
          <w:sz w:val="19"/>
          <w:szCs w:val="19"/>
          <w:rtl/>
        </w:rPr>
        <w:t xml:space="preserve"> משולבי אגירה בשנים 2023 -2025 (בהיקף של 168 מגה-ואט בשנת 2023, ו-659 מגה-ואט בשנים 2024 - 2025) בפועל נכון לסוף שנת 2023 הוקמו מתקנים כאלה בהספק של 5 מגה-ואט בלבד.</w:t>
      </w:r>
    </w:p>
    <w:p w14:paraId="1DC72E2D" w14:textId="77777777" w:rsidR="00236CC3" w:rsidRPr="00236CC3" w:rsidRDefault="00236CC3" w:rsidP="00236CC3">
      <w:pPr>
        <w:autoSpaceDE w:val="0"/>
        <w:autoSpaceDN w:val="0"/>
        <w:adjustRightInd w:val="0"/>
        <w:spacing w:line="288" w:lineRule="auto"/>
        <w:ind w:right="-567"/>
        <w:rPr>
          <w:rFonts w:ascii="Tahoma" w:eastAsiaTheme="minorHAnsi" w:hAnsi="Tahoma" w:cs="Tahoma"/>
          <w:sz w:val="12"/>
          <w:szCs w:val="12"/>
        </w:rPr>
      </w:pPr>
    </w:p>
    <w:p w14:paraId="7D433A54" w14:textId="77777777" w:rsidR="00236CC3" w:rsidRPr="00236CC3" w:rsidRDefault="00000000" w:rsidP="00236CC3">
      <w:pPr>
        <w:numPr>
          <w:ilvl w:val="0"/>
          <w:numId w:val="21"/>
        </w:numPr>
        <w:spacing w:line="288" w:lineRule="auto"/>
        <w:ind w:left="-1" w:right="-567" w:hanging="567"/>
        <w:contextualSpacing/>
        <w:rPr>
          <w:rFonts w:ascii="Tahoma" w:eastAsiaTheme="minorHAnsi" w:hAnsi="Tahoma" w:cs="Tahoma"/>
          <w:b/>
          <w:bCs/>
        </w:rPr>
      </w:pPr>
      <w:r w:rsidRPr="00236CC3">
        <w:rPr>
          <w:rFonts w:ascii="Tahoma" w:eastAsiaTheme="minorHAnsi" w:hAnsi="Tahoma" w:cs="Tahoma"/>
          <w:b/>
          <w:bCs/>
          <w:sz w:val="19"/>
          <w:szCs w:val="19"/>
          <w:rtl/>
        </w:rPr>
        <w:t>אגירת אנרגיה בישראל בהשוואה לעולם</w:t>
      </w:r>
      <w:r w:rsidRPr="00236CC3">
        <w:rPr>
          <w:rFonts w:ascii="Tahoma" w:eastAsiaTheme="minorHAnsi" w:hAnsi="Tahoma" w:cs="Tahoma"/>
          <w:sz w:val="19"/>
          <w:szCs w:val="19"/>
          <w:rtl/>
        </w:rPr>
        <w:t xml:space="preserve"> - בעוד שמדינות הנהנות היום מהיקפים נרחבים של אגירה כגון ארה"ב (ובייחוד קליפורניה שהחלה באסדרת הנושא כבר בשנת 2008), סין וגרמניה שהחלו בקביעת </w:t>
      </w:r>
      <w:r w:rsidRPr="00236CC3">
        <w:rPr>
          <w:rFonts w:ascii="Tahoma" w:eastAsiaTheme="minorHAnsi" w:hAnsi="Tahoma" w:cs="Tahoma"/>
          <w:sz w:val="19"/>
          <w:szCs w:val="19"/>
          <w:rtl/>
        </w:rPr>
        <w:lastRenderedPageBreak/>
        <w:t>יעדים ואסדרות מתאימות עוד בעשור הקודם, מדינת ישראל נדרשה לנושא האגירה רק בתחילת העשור הנוכחי. כך, רק בשנת 2022 נגה קבעה במסגרת תוכנית הפיתוח יעדים לשנת 2025 ולשנת 2030, ורשות החשמל, מצידה, החלה באסדרות רק ב-2020. כתוצאה מכך, היקף האגירה בסוללות בישראל עמד בסוף שנת 2022 על מגה-ואטים בודדים בלבד.</w:t>
      </w:r>
      <w:r w:rsidRPr="00236CC3">
        <w:rPr>
          <w:rFonts w:ascii="Tahoma" w:eastAsiaTheme="minorHAnsi" w:hAnsi="Tahoma" w:cs="Tahoma"/>
          <w:sz w:val="16"/>
          <w:szCs w:val="16"/>
          <w:rtl/>
        </w:rPr>
        <w:t xml:space="preserve"> </w:t>
      </w:r>
      <w:r w:rsidRPr="00236CC3">
        <w:rPr>
          <w:rFonts w:ascii="Tahoma" w:eastAsiaTheme="minorHAnsi" w:hAnsi="Tahoma" w:cs="Tahoma"/>
          <w:b/>
          <w:bCs/>
          <w:rtl/>
        </w:rPr>
        <w:t xml:space="preserve"> </w:t>
      </w:r>
    </w:p>
    <w:p w14:paraId="17219B62" w14:textId="77777777" w:rsidR="00236CC3" w:rsidRPr="00236CC3" w:rsidRDefault="00236CC3" w:rsidP="00236CC3">
      <w:pPr>
        <w:spacing w:line="288" w:lineRule="auto"/>
        <w:ind w:right="-567"/>
        <w:rPr>
          <w:rFonts w:ascii="Tahoma" w:eastAsiaTheme="minorHAnsi" w:hAnsi="Tahoma" w:cs="Tahoma"/>
          <w:b/>
          <w:bCs/>
          <w:sz w:val="8"/>
          <w:szCs w:val="12"/>
          <w:rtl/>
        </w:rPr>
      </w:pPr>
    </w:p>
    <w:p w14:paraId="7F52C39B" w14:textId="77777777" w:rsidR="00236CC3" w:rsidRPr="00236CC3" w:rsidRDefault="00000000" w:rsidP="00236CC3">
      <w:pPr>
        <w:numPr>
          <w:ilvl w:val="0"/>
          <w:numId w:val="21"/>
        </w:numPr>
        <w:tabs>
          <w:tab w:val="left" w:pos="8431"/>
        </w:tabs>
        <w:spacing w:line="288" w:lineRule="auto"/>
        <w:ind w:left="-1" w:right="-567" w:hanging="567"/>
        <w:rPr>
          <w:rFonts w:ascii="Tahoma" w:eastAsiaTheme="minorHAnsi" w:hAnsi="Tahoma" w:cs="Tahoma"/>
          <w:sz w:val="19"/>
          <w:szCs w:val="19"/>
        </w:rPr>
      </w:pPr>
      <w:r w:rsidRPr="00236CC3">
        <w:rPr>
          <w:rFonts w:ascii="Tahoma" w:eastAsia="Times New Roman" w:hAnsi="Tahoma" w:cs="Tahoma"/>
          <w:b/>
          <w:bCs/>
          <w:sz w:val="19"/>
          <w:szCs w:val="19"/>
          <w:rtl/>
        </w:rPr>
        <w:t>אי</w:t>
      </w:r>
      <w:r w:rsidRPr="00236CC3">
        <w:rPr>
          <w:rFonts w:ascii="Tahoma" w:eastAsia="Times New Roman" w:hAnsi="Tahoma" w:cs="Tahoma" w:hint="cs"/>
          <w:b/>
          <w:bCs/>
          <w:sz w:val="19"/>
          <w:szCs w:val="19"/>
          <w:rtl/>
        </w:rPr>
        <w:t>-</w:t>
      </w:r>
      <w:r w:rsidRPr="00236CC3">
        <w:rPr>
          <w:rFonts w:ascii="Tahoma" w:eastAsia="Times New Roman" w:hAnsi="Tahoma" w:cs="Tahoma"/>
          <w:b/>
          <w:bCs/>
          <w:sz w:val="19"/>
          <w:szCs w:val="19"/>
          <w:rtl/>
        </w:rPr>
        <w:t xml:space="preserve">יישום מלא של תוכניות הפיתוח בשנים קודמות </w:t>
      </w:r>
      <w:r w:rsidRPr="00236CC3">
        <w:rPr>
          <w:rFonts w:ascii="Tahoma" w:eastAsia="Times New Roman" w:hAnsi="Tahoma" w:cs="Tahoma"/>
          <w:sz w:val="19"/>
          <w:szCs w:val="19"/>
          <w:rtl/>
        </w:rPr>
        <w:t>-</w:t>
      </w:r>
      <w:r w:rsidRPr="00236CC3">
        <w:rPr>
          <w:rFonts w:ascii="Tahoma" w:eastAsia="Times New Roman" w:hAnsi="Tahoma" w:cs="Tahoma"/>
          <w:b/>
          <w:bCs/>
          <w:sz w:val="19"/>
          <w:szCs w:val="19"/>
          <w:rtl/>
        </w:rPr>
        <w:t xml:space="preserve"> </w:t>
      </w:r>
      <w:r w:rsidRPr="00236CC3">
        <w:rPr>
          <w:rFonts w:ascii="Tahoma" w:eastAsiaTheme="minorHAnsi" w:hAnsi="Tahoma" w:cs="Tahoma"/>
          <w:sz w:val="19"/>
          <w:szCs w:val="19"/>
          <w:rtl/>
        </w:rPr>
        <w:t xml:space="preserve">חח"י עדיין לא השלימה פרויקטים מתוכניות פיתוח קודמות בהיקף כולל של כ-4.7 מיליארד ש"ח, 27% מהפרויקטים מתוכנית הפיתוח לשנים 2018 - 2022 טרם הסתיימו ונגררו לתוכנית הפיתוח לשנים 2023 - 2030, </w:t>
      </w:r>
      <w:bookmarkStart w:id="46" w:name="_Hlk162521020"/>
      <w:r w:rsidRPr="00236CC3">
        <w:rPr>
          <w:rFonts w:ascii="Tahoma" w:eastAsiaTheme="minorHAnsi" w:hAnsi="Tahoma" w:cs="Tahoma"/>
          <w:sz w:val="19"/>
          <w:szCs w:val="19"/>
          <w:rtl/>
        </w:rPr>
        <w:t>אלה משקפים נכון לדצמבר 2022 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השלמה של פרוייקטים שהיקפם היה כ-253 ק"מ של קווי 400 ק"ו; כ-909 ק"מ של קווי 161 ק"ו ו-17 תחמ"שים. </w:t>
      </w:r>
      <w:bookmarkEnd w:id="46"/>
      <w:r w:rsidRPr="00236CC3">
        <w:rPr>
          <w:rFonts w:ascii="Tahoma" w:eastAsiaTheme="minorHAnsi" w:hAnsi="Tahoma" w:cs="Tahoma"/>
          <w:sz w:val="19"/>
          <w:szCs w:val="19"/>
          <w:rtl/>
        </w:rPr>
        <w:t xml:space="preserve">ואלו מתווספים להיקפי הפיתוח המשמעותיים הנדרשים בשנים הבאות (2.9 מיליארד ש"ח בממוצע בשנים </w:t>
      </w:r>
      <w:r w:rsidRPr="00236CC3">
        <w:rPr>
          <w:rFonts w:ascii="Tahoma" w:eastAsiaTheme="minorHAnsi" w:hAnsi="Tahoma" w:cs="Tahoma"/>
          <w:sz w:val="19"/>
          <w:szCs w:val="19"/>
          <w:rtl/>
        </w:rPr>
        <w:br/>
        <w:t>2023 - 2031).</w:t>
      </w:r>
    </w:p>
    <w:p w14:paraId="25271CAD" w14:textId="77777777" w:rsidR="00236CC3" w:rsidRPr="00236CC3" w:rsidRDefault="00236CC3" w:rsidP="00236CC3">
      <w:pPr>
        <w:tabs>
          <w:tab w:val="left" w:pos="8431"/>
        </w:tabs>
        <w:spacing w:line="288" w:lineRule="auto"/>
        <w:ind w:left="-1" w:right="-567"/>
        <w:rPr>
          <w:rFonts w:ascii="Tahoma" w:eastAsiaTheme="minorHAnsi" w:hAnsi="Tahoma" w:cs="Tahoma"/>
          <w:sz w:val="19"/>
          <w:szCs w:val="19"/>
        </w:rPr>
      </w:pPr>
    </w:p>
    <w:p w14:paraId="6883ECFD" w14:textId="77777777" w:rsidR="00236CC3" w:rsidRPr="00236CC3" w:rsidRDefault="00000000" w:rsidP="00236CC3">
      <w:pPr>
        <w:numPr>
          <w:ilvl w:val="0"/>
          <w:numId w:val="21"/>
        </w:numPr>
        <w:spacing w:line="288" w:lineRule="auto"/>
        <w:ind w:left="-1" w:right="-567" w:hanging="567"/>
        <w:contextualSpacing/>
        <w:rPr>
          <w:rFonts w:ascii="Tahoma" w:eastAsiaTheme="minorHAnsi" w:hAnsi="Tahoma" w:cs="Tahoma"/>
          <w:b/>
          <w:bCs/>
        </w:rPr>
      </w:pPr>
      <w:r w:rsidRPr="00236CC3">
        <w:rPr>
          <w:rFonts w:ascii="Tahoma" w:eastAsiaTheme="minorHAnsi" w:hAnsi="Tahoma" w:cs="Tahoma"/>
          <w:b/>
          <w:bCs/>
          <w:sz w:val="19"/>
          <w:szCs w:val="19"/>
          <w:rtl/>
        </w:rPr>
        <w:t xml:space="preserve">חסמים לביצוע תוכנית הפיתוח של מקטע ההולכה </w:t>
      </w:r>
      <w:r w:rsidRPr="00236CC3">
        <w:rPr>
          <w:rFonts w:ascii="Tahoma" w:eastAsiaTheme="minorHAnsi" w:hAnsi="Tahoma" w:cs="Tahoma"/>
          <w:sz w:val="19"/>
          <w:szCs w:val="19"/>
          <w:rtl/>
        </w:rPr>
        <w:t>- לאורך השנים התכנון הסטטוטורי היווה חסם משמעותי לביצוע תוכניות הפיתוח ולהקמת תשתיות הולכה נדרשות למשק החשמל,</w:t>
      </w:r>
      <w:r w:rsidRPr="00236CC3">
        <w:rPr>
          <w:rFonts w:ascii="Tahoma" w:eastAsiaTheme="minorHAnsi" w:hAnsi="Tahoma" w:cs="Tahoma"/>
          <w:b/>
          <w:bCs/>
          <w:rtl/>
        </w:rPr>
        <w:t xml:space="preserve"> </w:t>
      </w:r>
      <w:r w:rsidRPr="00236CC3">
        <w:rPr>
          <w:rFonts w:ascii="Tahoma" w:eastAsiaTheme="minorHAnsi" w:hAnsi="Tahoma" w:cs="Tahoma"/>
          <w:sz w:val="19"/>
          <w:szCs w:val="19"/>
          <w:rtl/>
        </w:rPr>
        <w:t>כך תכנון סטטורי של קו מתח על-עליון נמשך בממוצע שמונה שנים, ובאזורים מורכבים עשוי להימשך 14 שנה. הסדרי החקיקה שנערכו ביוני 2023 הם בעלי פוטנציאל להקל את הליך התכנון וקיצור לוחות הזמנים להקמת מתקני התשתית. אולם, בכל הקשור לקווי 161 ק"ו שמרביתם הוקמו ללא תוכניות, יהיה קשה לממש את הפוטנציאל בהסדרי החקיקה מיוני 2023, כיוון שמתן הרשאה לשדרוגם מותנה בקיומה של תמ"א ייעודית, אשר למועד סיום הביקורת טרם אושרה. סיבה נוספת לעיכובים משמעותיים ביחס לתכנון של שדרוג קווי חשמל היא חוסר היכולת להפסיק את פעילותם של הקווים לצורך ביצוע עבודות השדרוג, על רקע 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מתן אישורים להפסקות על ידי חברת נגה, לצד תת פיתוח של הרשת על ידי חח"י, שיצרו אתגרים המקשים על קבלת אישורים כאלה.</w:t>
      </w:r>
    </w:p>
    <w:p w14:paraId="2827A571" w14:textId="77777777" w:rsidR="00236CC3" w:rsidRPr="00236CC3" w:rsidRDefault="00236CC3" w:rsidP="00236CC3">
      <w:pPr>
        <w:spacing w:line="288" w:lineRule="auto"/>
        <w:ind w:right="-567"/>
        <w:rPr>
          <w:rFonts w:ascii="Tahoma" w:eastAsiaTheme="minorHAnsi" w:hAnsi="Tahoma" w:cs="Tahoma"/>
          <w:b/>
          <w:bCs/>
          <w:sz w:val="8"/>
          <w:szCs w:val="12"/>
        </w:rPr>
      </w:pPr>
    </w:p>
    <w:p w14:paraId="14029960" w14:textId="77777777" w:rsidR="00236CC3" w:rsidRPr="00236CC3" w:rsidRDefault="00000000" w:rsidP="00236CC3">
      <w:pPr>
        <w:numPr>
          <w:ilvl w:val="0"/>
          <w:numId w:val="21"/>
        </w:numPr>
        <w:spacing w:line="288" w:lineRule="auto"/>
        <w:ind w:left="-1"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 xml:space="preserve">מימון תוכנית הפיתוח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מאז שנת 2020 חלה הרעה במצב הפיננסי של חח"י, שבאה לידי ביטוי, בין היתר, בעלייה של כ-26.3% בחוב הפיננסי ובירידה של כ- 10.9% ברווח התפעולי שלה. כפועל יוצא מכך, חח"י אינה עומדת ביעדים הפיננסיים שנקבעו לה. מגמה זו עתידה להמשך עד לשנת 2030, זאת בהתאם לתחזית הפיננסית לטווח ארוך של חח"י. לאור ההרעה במצב הפיננסי של חח"י ואי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עמידתה ביעדים, קיים סיכון לאי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יכולת לממש את תוכנית הפיתוח במלואה, בין היתר, בשל ניסיון העבר לפיו חח"י לא ביצעה את תוכניות הפיתוח במלואן על רקע דומה.</w:t>
      </w:r>
    </w:p>
    <w:p w14:paraId="42C2A9A1" w14:textId="77777777" w:rsidR="00236CC3" w:rsidRPr="00236CC3" w:rsidRDefault="00236CC3" w:rsidP="00236CC3">
      <w:pPr>
        <w:spacing w:line="288" w:lineRule="auto"/>
        <w:ind w:right="-567"/>
        <w:rPr>
          <w:rFonts w:ascii="Tahoma" w:eastAsiaTheme="minorHAnsi" w:hAnsi="Tahoma" w:cs="Tahoma"/>
          <w:sz w:val="12"/>
          <w:szCs w:val="12"/>
        </w:rPr>
      </w:pPr>
    </w:p>
    <w:p w14:paraId="40F25058" w14:textId="77777777" w:rsidR="00236CC3" w:rsidRPr="00236CC3" w:rsidRDefault="00000000" w:rsidP="00236CC3">
      <w:pPr>
        <w:numPr>
          <w:ilvl w:val="0"/>
          <w:numId w:val="21"/>
        </w:numPr>
        <w:autoSpaceDE w:val="0"/>
        <w:autoSpaceDN w:val="0"/>
        <w:adjustRightInd w:val="0"/>
        <w:spacing w:line="288" w:lineRule="auto"/>
        <w:ind w:left="-1" w:right="-567" w:hanging="567"/>
        <w:contextualSpacing/>
        <w:rPr>
          <w:rFonts w:ascii="Tahoma" w:eastAsiaTheme="minorHAnsi" w:hAnsi="Tahoma" w:cs="Tahoma"/>
          <w:sz w:val="19"/>
          <w:szCs w:val="19"/>
        </w:rPr>
      </w:pPr>
      <w:r w:rsidRPr="00236CC3">
        <w:rPr>
          <w:rFonts w:ascii="Tahoma" w:eastAsiaTheme="minorHAnsi" w:hAnsi="Tahoma" w:cs="Tahoma"/>
          <w:b/>
          <w:bCs/>
          <w:sz w:val="19"/>
          <w:szCs w:val="19"/>
          <w:rtl/>
        </w:rPr>
        <w:t>אפקטיביות נמוכה של פעולות המאסדרים לקידום משק החשמל</w:t>
      </w:r>
      <w:r w:rsidRPr="00236CC3">
        <w:rPr>
          <w:rFonts w:ascii="Tahoma" w:eastAsiaTheme="minorHAnsi" w:hAnsi="Tahoma" w:cs="Tahoma"/>
          <w:sz w:val="19"/>
          <w:szCs w:val="19"/>
          <w:rtl/>
        </w:rPr>
        <w:t xml:space="preserve"> - פעולות משרד האנרגייה, האמון על קידום משק החשמל, אינן מספיקות כדי לקדם את הקמת תשתיות החשמל הדרושות בשנים הבאות בקצב הנדרש, ובתוך כך אינו עומד על כך שהפרויקטים השונים יבוצעו על פי התכנון, היקף המשאבים ולוחות הזמנים שהוא אישר לרבות בחירת התחנות הקונוונציונליות שיוקמו, 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עמידה ביעדי אנרגיות מתחדשות ועוד. עקב כך הסיכון של אי-מימוש תוכנית הפיתוח הוא גבוה. יתרה מכך, לעתים קרובות הגורמים השונים במשק החשמל - משרד האנרגייה, רשות החשמל, נגה וחח"י - נאלצים לפעול בחופזה ובחוסר יעילות כדי למצוא פתרונות מיידיים למצבי משבר שנוצרים עקב היעדר פתרונות ממשיים בתחומי תשתית חיוניים, כך היעדר קבלת החלטות בזמן הביאה לכדי חשש לאי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יכולת לספק את מלוא הביקוש לחשמל באזור </w:t>
      </w:r>
      <w:r w:rsidRPr="00236CC3">
        <w:rPr>
          <w:rFonts w:ascii="Tahoma" w:eastAsiaTheme="minorHAnsi" w:hAnsi="Tahoma" w:cs="Tahoma"/>
          <w:sz w:val="19"/>
          <w:szCs w:val="19"/>
          <w:rtl/>
        </w:rPr>
        <w:lastRenderedPageBreak/>
        <w:t>המרכז. פתרונות כאלה טומנים בחובם סכנה לכשלים ניהוליים וכלכליים, המגדילים את העלות הכוללת למשק ופוגעים בהקמת תשתיות אסטרטגיות חיוניות למדינה.</w:t>
      </w:r>
    </w:p>
    <w:p w14:paraId="2B01050E" w14:textId="77777777" w:rsidR="00236CC3" w:rsidRPr="00236CC3" w:rsidRDefault="00236CC3" w:rsidP="00236CC3">
      <w:pPr>
        <w:autoSpaceDE w:val="0"/>
        <w:autoSpaceDN w:val="0"/>
        <w:adjustRightInd w:val="0"/>
        <w:spacing w:line="288" w:lineRule="auto"/>
        <w:ind w:right="-567"/>
        <w:rPr>
          <w:rFonts w:ascii="Tahoma" w:eastAsiaTheme="minorHAnsi" w:hAnsi="Tahoma" w:cs="Tahoma"/>
          <w:sz w:val="12"/>
          <w:szCs w:val="12"/>
        </w:rPr>
      </w:pPr>
    </w:p>
    <w:p w14:paraId="612BAFB1" w14:textId="77777777" w:rsidR="00236CC3" w:rsidRPr="00236CC3" w:rsidRDefault="00000000" w:rsidP="00236CC3">
      <w:pPr>
        <w:numPr>
          <w:ilvl w:val="0"/>
          <w:numId w:val="21"/>
        </w:numPr>
        <w:autoSpaceDE w:val="0"/>
        <w:autoSpaceDN w:val="0"/>
        <w:adjustRightInd w:val="0"/>
        <w:spacing w:line="288" w:lineRule="auto"/>
        <w:ind w:left="-1" w:right="-567" w:hanging="567"/>
        <w:contextualSpacing/>
        <w:rPr>
          <w:rFonts w:ascii="Tahoma" w:eastAsiaTheme="minorHAnsi" w:hAnsi="Tahoma" w:cs="Tahoma"/>
          <w:sz w:val="19"/>
          <w:szCs w:val="19"/>
          <w:rtl/>
        </w:rPr>
      </w:pPr>
      <w:r w:rsidRPr="00236CC3">
        <w:rPr>
          <w:rFonts w:ascii="Tahoma" w:eastAsiaTheme="minorHAnsi" w:hAnsi="Tahoma" w:cs="Tahoma"/>
          <w:b/>
          <w:bCs/>
          <w:color w:val="000000" w:themeColor="text1"/>
          <w:sz w:val="19"/>
          <w:szCs w:val="19"/>
          <w:rtl/>
        </w:rPr>
        <w:t xml:space="preserve">אספקת חשמל לאזור המרכז </w:t>
      </w:r>
      <w:r w:rsidRPr="00236CC3">
        <w:rPr>
          <w:rFonts w:ascii="Tahoma" w:eastAsiaTheme="minorHAnsi" w:hAnsi="Tahoma" w:cs="Tahoma"/>
          <w:sz w:val="19"/>
          <w:szCs w:val="19"/>
          <w:rtl/>
        </w:rPr>
        <w:t>- בשנים האחרונות קיבלו משרד האנרגייה רשות החשמל, חח"י ונגה החלטות בדבר פתרונות אספקת חשמל לאזור המרכז, כמענה לחוסר היכולת לספק את מלוא הביקוש לאזור זה משנת 2026. במקרים מסוימים החלטות אלה שיקפו שינויי עמדה ואף סתרו החלטות קודמות, התקבלו באיחור ולא איפשרו עמידה בלוחות הזמנים להשלמת הפתרונות הנדרשים. השינויים בהחלטות הם בין היתר תוצאה של היעדר תכנון ארוך טווח הכולל גיבוש חלופות ואי-היערכות מראש ובמועד הנדרש לאספקת החשמל עם גריטת תחנת רידינג, שקירבו את משק החשמל לסיפו של משבר אספקה לאזור גוש דן, והלכה למעשה לאורך השנים היה חשש מפני סיכון ממשי לאספקת החשמל לאזור גוש דן באמינות הנדרשת, סיכון שטרם הוסר במלואו לאור הסיכונים הקיימים במימוש תוכנית הפיתוח.</w:t>
      </w:r>
    </w:p>
    <w:p w14:paraId="64000FB0" w14:textId="77777777" w:rsidR="00236CC3" w:rsidRPr="00236CC3" w:rsidRDefault="00236CC3" w:rsidP="00236CC3">
      <w:pPr>
        <w:spacing w:line="288" w:lineRule="auto"/>
        <w:ind w:left="-851" w:right="-567"/>
        <w:rPr>
          <w:rFonts w:ascii="Tahoma" w:eastAsiaTheme="minorHAnsi" w:hAnsi="Tahoma" w:cs="Tahoma"/>
          <w:sz w:val="19"/>
          <w:szCs w:val="19"/>
          <w:rtl/>
        </w:rPr>
      </w:pPr>
    </w:p>
    <w:p w14:paraId="7166AC79" w14:textId="77777777" w:rsidR="00236CC3" w:rsidRPr="00236CC3" w:rsidRDefault="00000000" w:rsidP="00236CC3">
      <w:pPr>
        <w:spacing w:line="288" w:lineRule="auto"/>
        <w:ind w:left="-851" w:right="-567"/>
        <w:rPr>
          <w:rFonts w:ascii="Tahoma" w:eastAsiaTheme="minorHAnsi" w:hAnsi="Tahoma" w:cs="Tahoma"/>
          <w:b/>
          <w:bCs/>
          <w:sz w:val="19"/>
          <w:szCs w:val="19"/>
          <w:rtl/>
        </w:rPr>
      </w:pPr>
      <w:bookmarkStart w:id="47" w:name="_Hlk177296369"/>
      <w:r w:rsidRPr="00236CC3">
        <w:rPr>
          <w:rFonts w:ascii="Tahoma" w:eastAsiaTheme="minorHAnsi" w:hAnsi="Tahoma" w:cs="Tahoma" w:hint="cs"/>
          <w:b/>
          <w:bCs/>
          <w:sz w:val="19"/>
          <w:szCs w:val="19"/>
          <w:rtl/>
        </w:rPr>
        <w:t xml:space="preserve">מבקר המדינה מתניהו אנגלמן ממליץ </w:t>
      </w:r>
      <w:r w:rsidRPr="00236CC3">
        <w:rPr>
          <w:rFonts w:ascii="Tahoma" w:eastAsiaTheme="minorHAnsi" w:hAnsi="Tahoma" w:cs="Tahoma"/>
          <w:b/>
          <w:bCs/>
          <w:sz w:val="19"/>
          <w:szCs w:val="19"/>
          <w:rtl/>
        </w:rPr>
        <w:t xml:space="preserve">כי </w:t>
      </w:r>
      <w:bookmarkEnd w:id="47"/>
      <w:r w:rsidRPr="00236CC3">
        <w:rPr>
          <w:rFonts w:ascii="Tahoma" w:eastAsiaTheme="minorHAnsi" w:hAnsi="Tahoma" w:cs="Tahoma"/>
          <w:b/>
          <w:bCs/>
          <w:sz w:val="19"/>
          <w:szCs w:val="19"/>
          <w:rtl/>
        </w:rPr>
        <w:t>שר האנרגייה, לו אחריות כוללת לפיתוח משק החשמל, יפעל לקבלת החלטות הנדרשות במשק החשמל מבעוד מועד, ולוודא תיקון הליקויים שהועלו בדוח זה כדי להבטיח אספקת חשמל באמינות, זמינות, איכות ויעילות כפי שנקבע במטרות משק החשמל.</w:t>
      </w:r>
    </w:p>
    <w:p w14:paraId="0AF3A07C" w14:textId="77777777" w:rsidR="00236CC3" w:rsidRPr="00236CC3" w:rsidRDefault="00236CC3" w:rsidP="00236CC3">
      <w:pPr>
        <w:spacing w:line="288" w:lineRule="auto"/>
        <w:ind w:left="-851" w:right="-567"/>
        <w:rPr>
          <w:rFonts w:ascii="Tahoma" w:eastAsiaTheme="minorHAnsi" w:hAnsi="Tahoma" w:cs="Tahoma"/>
          <w:sz w:val="19"/>
          <w:szCs w:val="19"/>
          <w:rtl/>
        </w:rPr>
      </w:pPr>
    </w:p>
    <w:p w14:paraId="3F6078B5" w14:textId="77777777" w:rsidR="00236CC3" w:rsidRPr="00236CC3" w:rsidRDefault="00236CC3" w:rsidP="00236CC3">
      <w:pPr>
        <w:spacing w:line="288" w:lineRule="auto"/>
        <w:ind w:left="-851" w:right="-567"/>
        <w:rPr>
          <w:rFonts w:ascii="Tahoma" w:eastAsiaTheme="minorHAnsi" w:hAnsi="Tahoma" w:cs="Tahoma"/>
          <w:sz w:val="19"/>
          <w:szCs w:val="19"/>
          <w:rtl/>
        </w:rPr>
      </w:pPr>
    </w:p>
    <w:p w14:paraId="7303926A" w14:textId="77777777" w:rsidR="00236CC3" w:rsidRPr="00236CC3" w:rsidRDefault="00236CC3" w:rsidP="00236CC3">
      <w:pPr>
        <w:spacing w:line="288" w:lineRule="auto"/>
        <w:ind w:left="-851" w:right="-567"/>
        <w:rPr>
          <w:rFonts w:ascii="Tahoma" w:eastAsiaTheme="minorHAnsi" w:hAnsi="Tahoma" w:cs="Tahoma"/>
          <w:sz w:val="19"/>
          <w:szCs w:val="19"/>
          <w:rtl/>
        </w:rPr>
      </w:pPr>
    </w:p>
    <w:p w14:paraId="6B14E477" w14:textId="77777777" w:rsidR="00236CC3" w:rsidRPr="00236CC3" w:rsidRDefault="00236CC3" w:rsidP="00236CC3">
      <w:pPr>
        <w:spacing w:line="288" w:lineRule="auto"/>
        <w:ind w:left="-851" w:right="-567"/>
        <w:rPr>
          <w:rFonts w:ascii="Tahoma" w:eastAsiaTheme="minorHAnsi" w:hAnsi="Tahoma" w:cs="Tahoma"/>
          <w:sz w:val="19"/>
          <w:szCs w:val="19"/>
          <w:rtl/>
        </w:rPr>
      </w:pPr>
    </w:p>
    <w:p w14:paraId="1B8DA218" w14:textId="77777777" w:rsidR="00236CC3" w:rsidRPr="00236CC3" w:rsidRDefault="00000000" w:rsidP="00132397">
      <w:pPr>
        <w:bidi w:val="0"/>
        <w:spacing w:line="240" w:lineRule="auto"/>
        <w:jc w:val="left"/>
        <w:rPr>
          <w:rFonts w:ascii="Tahoma" w:eastAsiaTheme="minorHAnsi" w:hAnsi="Tahoma" w:cs="Tahoma"/>
          <w:sz w:val="19"/>
          <w:szCs w:val="19"/>
          <w:rtl/>
        </w:rPr>
      </w:pPr>
      <w:r>
        <w:rPr>
          <w:rFonts w:ascii="Tahoma" w:eastAsiaTheme="minorHAnsi" w:hAnsi="Tahoma" w:cs="Tahoma"/>
          <w:sz w:val="19"/>
          <w:szCs w:val="19"/>
          <w:rtl/>
        </w:rPr>
        <w:br w:type="page"/>
      </w:r>
    </w:p>
    <w:tbl>
      <w:tblPr>
        <w:tblStyle w:val="41"/>
        <w:tblpPr w:leftFromText="180" w:rightFromText="180" w:vertAnchor="text" w:horzAnchor="margin" w:tblpY="-71"/>
        <w:tblOverlap w:val="never"/>
        <w:bidiVisual/>
        <w:tblW w:w="9638"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4F19B3" w14:paraId="11DCF8CA" w14:textId="77777777" w:rsidTr="00236CC3">
        <w:tc>
          <w:tcPr>
            <w:tcW w:w="9638" w:type="dxa"/>
          </w:tcPr>
          <w:p w14:paraId="239025BF" w14:textId="77777777" w:rsidR="00236CC3" w:rsidRPr="00AD2D9C" w:rsidRDefault="00000000" w:rsidP="00AD2D9C">
            <w:pPr>
              <w:pStyle w:val="1"/>
              <w:jc w:val="left"/>
              <w:rPr>
                <w:rFonts w:ascii="Tahoma" w:hAnsi="Tahoma" w:cs="Tahoma"/>
                <w:sz w:val="40"/>
                <w:szCs w:val="40"/>
                <w:rtl/>
              </w:rPr>
            </w:pPr>
            <w:bookmarkStart w:id="48" w:name="_Toc179710263"/>
            <w:r w:rsidRPr="00AD2D9C">
              <w:rPr>
                <w:rFonts w:ascii="Tahoma" w:hAnsi="Tahoma" w:cs="Tahoma"/>
                <w:sz w:val="40"/>
                <w:szCs w:val="40"/>
                <w:rtl/>
              </w:rPr>
              <w:lastRenderedPageBreak/>
              <w:t>הפעלת כבישי אגרה</w:t>
            </w:r>
            <w:bookmarkEnd w:id="48"/>
          </w:p>
          <w:p w14:paraId="6C04DE9C" w14:textId="77777777" w:rsidR="00236CC3" w:rsidRPr="00236CC3" w:rsidRDefault="00236CC3" w:rsidP="00236CC3">
            <w:pPr>
              <w:tabs>
                <w:tab w:val="center" w:pos="4153"/>
                <w:tab w:val="right" w:pos="8306"/>
              </w:tabs>
              <w:spacing w:line="240" w:lineRule="auto"/>
              <w:ind w:left="-851"/>
              <w:jc w:val="left"/>
              <w:rPr>
                <w:rtl/>
              </w:rPr>
            </w:pPr>
          </w:p>
        </w:tc>
      </w:tr>
    </w:tbl>
    <w:p w14:paraId="6541296F" w14:textId="77777777" w:rsidR="00236CC3" w:rsidRPr="00236CC3" w:rsidRDefault="00000000" w:rsidP="00132397">
      <w:pPr>
        <w:ind w:left="-569"/>
        <w:rPr>
          <w:rFonts w:eastAsiaTheme="minorHAnsi"/>
          <w:rtl/>
        </w:rPr>
      </w:pPr>
      <w:r w:rsidRPr="00236CC3">
        <w:rPr>
          <w:rFonts w:ascii="Tahoma" w:eastAsiaTheme="minorHAnsi" w:hAnsi="Tahoma" w:cs="Tahoma"/>
          <w:noProof/>
          <w:rtl/>
        </w:rPr>
        <w:drawing>
          <wp:inline distT="0" distB="0" distL="0" distR="0" wp14:anchorId="4AA20B84" wp14:editId="45A0B074">
            <wp:extent cx="1674111" cy="381000"/>
            <wp:effectExtent l="0" t="0" r="2540" b="0"/>
            <wp:docPr id="90" name="תמונה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1"/>
        <w:gridCol w:w="567"/>
        <w:gridCol w:w="1985"/>
        <w:gridCol w:w="567"/>
        <w:gridCol w:w="1988"/>
        <w:gridCol w:w="564"/>
        <w:gridCol w:w="1990"/>
      </w:tblGrid>
      <w:tr w:rsidR="004F19B3" w14:paraId="7B3E95EB" w14:textId="77777777" w:rsidTr="00236CC3">
        <w:trPr>
          <w:trHeight w:val="283"/>
        </w:trPr>
        <w:tc>
          <w:tcPr>
            <w:tcW w:w="1981" w:type="dxa"/>
            <w:tcBorders>
              <w:bottom w:val="single" w:sz="12" w:space="0" w:color="auto"/>
            </w:tcBorders>
            <w:shd w:val="clear" w:color="auto" w:fill="auto"/>
            <w:vAlign w:val="bottom"/>
          </w:tcPr>
          <w:p w14:paraId="0FDF6F2E"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4 </w:t>
            </w:r>
            <w:r w:rsidRPr="00D1243A">
              <w:rPr>
                <w:rFonts w:ascii="Tahoma" w:hAnsi="Tahoma" w:cs="Tahoma" w:hint="eastAsia"/>
                <w:b/>
                <w:bCs/>
                <w:spacing w:val="-10"/>
                <w:sz w:val="26"/>
                <w:szCs w:val="26"/>
                <w:rtl/>
              </w:rPr>
              <w:t>זכיינים</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פרטיים</w:t>
            </w:r>
          </w:p>
        </w:tc>
        <w:tc>
          <w:tcPr>
            <w:tcW w:w="567" w:type="dxa"/>
            <w:vAlign w:val="bottom"/>
          </w:tcPr>
          <w:p w14:paraId="09B8E1C0" w14:textId="77777777" w:rsidR="00236CC3" w:rsidRPr="00132397" w:rsidRDefault="00236CC3" w:rsidP="00236CC3">
            <w:pPr>
              <w:tabs>
                <w:tab w:val="center" w:pos="4153"/>
                <w:tab w:val="right" w:pos="8306"/>
              </w:tabs>
              <w:spacing w:line="240" w:lineRule="auto"/>
              <w:jc w:val="left"/>
              <w:rPr>
                <w:rFonts w:ascii="Tahoma" w:hAnsi="Tahoma" w:cs="Tahoma"/>
                <w:spacing w:val="-10"/>
                <w:sz w:val="24"/>
              </w:rPr>
            </w:pPr>
          </w:p>
        </w:tc>
        <w:tc>
          <w:tcPr>
            <w:tcW w:w="1985" w:type="dxa"/>
            <w:tcBorders>
              <w:bottom w:val="single" w:sz="12" w:space="0" w:color="auto"/>
            </w:tcBorders>
            <w:vAlign w:val="bottom"/>
          </w:tcPr>
          <w:p w14:paraId="14B93268"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 xml:space="preserve">9.75 </w:t>
            </w:r>
            <w:r w:rsidRPr="00D1243A">
              <w:rPr>
                <w:rFonts w:ascii="Tahoma" w:hAnsi="Tahoma" w:cs="Tahoma" w:hint="eastAsia"/>
                <w:b/>
                <w:bCs/>
                <w:spacing w:val="-10"/>
                <w:sz w:val="26"/>
                <w:szCs w:val="26"/>
                <w:rtl/>
              </w:rPr>
              <w:t>מיליארד</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ש</w:t>
            </w:r>
            <w:r w:rsidRPr="00D1243A">
              <w:rPr>
                <w:rFonts w:ascii="Tahoma" w:hAnsi="Tahoma" w:cs="Tahoma"/>
                <w:b/>
                <w:bCs/>
                <w:spacing w:val="-10"/>
                <w:sz w:val="26"/>
                <w:szCs w:val="26"/>
                <w:rtl/>
              </w:rPr>
              <w:t>"ח</w:t>
            </w:r>
          </w:p>
        </w:tc>
        <w:tc>
          <w:tcPr>
            <w:tcW w:w="567" w:type="dxa"/>
            <w:vAlign w:val="bottom"/>
          </w:tcPr>
          <w:p w14:paraId="1FCF8757" w14:textId="77777777" w:rsidR="00236CC3" w:rsidRPr="00D1243A" w:rsidRDefault="00236CC3" w:rsidP="00236CC3">
            <w:pPr>
              <w:tabs>
                <w:tab w:val="center" w:pos="4153"/>
                <w:tab w:val="right" w:pos="8306"/>
              </w:tabs>
              <w:spacing w:line="240" w:lineRule="auto"/>
              <w:jc w:val="left"/>
              <w:rPr>
                <w:rFonts w:ascii="Tahoma" w:hAnsi="Tahoma" w:cs="Tahoma"/>
                <w:spacing w:val="-10"/>
                <w:sz w:val="36"/>
                <w:szCs w:val="36"/>
              </w:rPr>
            </w:pPr>
          </w:p>
        </w:tc>
        <w:tc>
          <w:tcPr>
            <w:tcW w:w="1988" w:type="dxa"/>
            <w:tcBorders>
              <w:bottom w:val="single" w:sz="12" w:space="0" w:color="auto"/>
            </w:tcBorders>
            <w:vAlign w:val="bottom"/>
          </w:tcPr>
          <w:p w14:paraId="7787D9FC"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כ-207.5</w:t>
            </w:r>
          </w:p>
          <w:p w14:paraId="31C2A065"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26"/>
                <w:szCs w:val="26"/>
                <w:rtl/>
              </w:rPr>
            </w:pPr>
            <w:r w:rsidRPr="00D1243A">
              <w:rPr>
                <w:rFonts w:ascii="Tahoma" w:hAnsi="Tahoma" w:cs="Tahoma" w:hint="eastAsia"/>
                <w:b/>
                <w:bCs/>
                <w:spacing w:val="-10"/>
                <w:sz w:val="26"/>
                <w:szCs w:val="26"/>
                <w:rtl/>
              </w:rPr>
              <w:t>ק</w:t>
            </w:r>
            <w:r w:rsidRPr="00D1243A">
              <w:rPr>
                <w:rFonts w:ascii="Tahoma" w:hAnsi="Tahoma" w:cs="Tahoma"/>
                <w:b/>
                <w:bCs/>
                <w:spacing w:val="-10"/>
                <w:sz w:val="26"/>
                <w:szCs w:val="26"/>
                <w:rtl/>
              </w:rPr>
              <w:t>"מ</w:t>
            </w:r>
          </w:p>
        </w:tc>
        <w:tc>
          <w:tcPr>
            <w:tcW w:w="564" w:type="dxa"/>
            <w:vAlign w:val="bottom"/>
          </w:tcPr>
          <w:p w14:paraId="1290024F" w14:textId="77777777" w:rsidR="00236CC3" w:rsidRPr="00D1243A" w:rsidRDefault="00236CC3" w:rsidP="00236CC3">
            <w:pPr>
              <w:tabs>
                <w:tab w:val="center" w:pos="4153"/>
                <w:tab w:val="right" w:pos="8306"/>
              </w:tabs>
              <w:spacing w:line="240" w:lineRule="auto"/>
              <w:jc w:val="left"/>
              <w:rPr>
                <w:rFonts w:ascii="Tahoma" w:hAnsi="Tahoma" w:cs="Tahoma"/>
                <w:spacing w:val="-10"/>
                <w:sz w:val="36"/>
                <w:szCs w:val="36"/>
              </w:rPr>
            </w:pPr>
          </w:p>
        </w:tc>
        <w:tc>
          <w:tcPr>
            <w:tcW w:w="1990" w:type="dxa"/>
            <w:tcBorders>
              <w:bottom w:val="single" w:sz="12" w:space="0" w:color="auto"/>
            </w:tcBorders>
            <w:vAlign w:val="bottom"/>
          </w:tcPr>
          <w:p w14:paraId="39B54C58"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 xml:space="preserve">36 </w:t>
            </w:r>
            <w:r w:rsidRPr="00D1243A">
              <w:rPr>
                <w:rFonts w:ascii="Tahoma" w:hAnsi="Tahoma" w:cs="Tahoma"/>
                <w:b/>
                <w:bCs/>
                <w:spacing w:val="-10"/>
                <w:sz w:val="36"/>
                <w:szCs w:val="36"/>
                <w:rtl/>
              </w:rPr>
              <w:t>-</w:t>
            </w:r>
            <w:r w:rsidRPr="00D1243A">
              <w:rPr>
                <w:rFonts w:ascii="Tahoma" w:hAnsi="Tahoma" w:cs="Tahoma" w:hint="cs"/>
                <w:b/>
                <w:bCs/>
                <w:spacing w:val="-10"/>
                <w:sz w:val="36"/>
                <w:szCs w:val="36"/>
                <w:rtl/>
              </w:rPr>
              <w:t xml:space="preserve"> 50</w:t>
            </w:r>
            <w:r w:rsidRPr="00D1243A">
              <w:rPr>
                <w:rFonts w:ascii="Tahoma" w:hAnsi="Tahoma" w:cs="Tahoma"/>
                <w:b/>
                <w:bCs/>
                <w:spacing w:val="-10"/>
                <w:sz w:val="36"/>
                <w:szCs w:val="36"/>
                <w:rtl/>
              </w:rPr>
              <w:t xml:space="preserve"> </w:t>
            </w:r>
            <w:r w:rsidRPr="00D1243A">
              <w:rPr>
                <w:rFonts w:ascii="Tahoma" w:hAnsi="Tahoma" w:cs="Tahoma" w:hint="eastAsia"/>
                <w:b/>
                <w:bCs/>
                <w:spacing w:val="-10"/>
                <w:sz w:val="26"/>
                <w:szCs w:val="26"/>
                <w:rtl/>
              </w:rPr>
              <w:t>קמ</w:t>
            </w:r>
            <w:r w:rsidRPr="00D1243A">
              <w:rPr>
                <w:rFonts w:ascii="Tahoma" w:hAnsi="Tahoma" w:cs="Tahoma"/>
                <w:b/>
                <w:bCs/>
                <w:spacing w:val="-10"/>
                <w:sz w:val="26"/>
                <w:szCs w:val="26"/>
                <w:rtl/>
              </w:rPr>
              <w:t xml:space="preserve">"ש </w:t>
            </w:r>
            <w:r w:rsidRPr="00D1243A">
              <w:rPr>
                <w:rFonts w:ascii="Tahoma" w:hAnsi="Tahoma" w:cs="Tahoma" w:hint="eastAsia"/>
                <w:b/>
                <w:bCs/>
                <w:spacing w:val="-10"/>
                <w:sz w:val="26"/>
                <w:szCs w:val="26"/>
                <w:rtl/>
              </w:rPr>
              <w:t>בלבד</w:t>
            </w:r>
          </w:p>
        </w:tc>
      </w:tr>
      <w:tr w:rsidR="004F19B3" w14:paraId="488FDEBB" w14:textId="77777777" w:rsidTr="00236CC3">
        <w:trPr>
          <w:trHeight w:val="85"/>
        </w:trPr>
        <w:tc>
          <w:tcPr>
            <w:tcW w:w="9642" w:type="dxa"/>
            <w:gridSpan w:val="7"/>
            <w:shd w:val="clear" w:color="auto" w:fill="auto"/>
            <w:vAlign w:val="center"/>
          </w:tcPr>
          <w:p w14:paraId="2B0A634A" w14:textId="77777777" w:rsidR="00236CC3" w:rsidRPr="00132397" w:rsidRDefault="00236CC3" w:rsidP="00236CC3">
            <w:pPr>
              <w:tabs>
                <w:tab w:val="center" w:pos="4153"/>
                <w:tab w:val="right" w:pos="8306"/>
              </w:tabs>
              <w:rPr>
                <w:rFonts w:ascii="Tahoma" w:hAnsi="Tahoma" w:cs="Tahoma"/>
                <w:spacing w:val="-10"/>
                <w:sz w:val="18"/>
                <w:szCs w:val="18"/>
                <w:rtl/>
              </w:rPr>
            </w:pPr>
          </w:p>
        </w:tc>
      </w:tr>
      <w:tr w:rsidR="004F19B3" w14:paraId="2FA378F6" w14:textId="77777777" w:rsidTr="00236CC3">
        <w:trPr>
          <w:trHeight w:val="1155"/>
        </w:trPr>
        <w:tc>
          <w:tcPr>
            <w:tcW w:w="1981" w:type="dxa"/>
          </w:tcPr>
          <w:p w14:paraId="52608566"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Pr>
            </w:pPr>
            <w:r w:rsidRPr="00132397">
              <w:rPr>
                <w:rFonts w:ascii="Tahoma" w:hAnsi="Tahoma" w:cs="Tahoma" w:hint="cs"/>
                <w:sz w:val="18"/>
                <w:szCs w:val="18"/>
                <w:rtl/>
              </w:rPr>
              <w:t>מפעילים את שלושת כבישי אגרה. שני זכיינים מפעילים את כביש 6 - אחד במקטע המרכזי והשני במקטע הצפוני; זכיין אחד מפעיל את מנהרות הכרמל וזכיין אחד מפעיל את הנתיב המהיר</w:t>
            </w:r>
          </w:p>
        </w:tc>
        <w:tc>
          <w:tcPr>
            <w:tcW w:w="567" w:type="dxa"/>
          </w:tcPr>
          <w:p w14:paraId="5BEA6F3F"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85" w:type="dxa"/>
          </w:tcPr>
          <w:p w14:paraId="4BBAB1E2"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tl/>
              </w:rPr>
            </w:pPr>
            <w:r w:rsidRPr="00132397">
              <w:rPr>
                <w:rFonts w:ascii="Tahoma" w:hAnsi="Tahoma" w:cs="Tahoma" w:hint="cs"/>
                <w:sz w:val="18"/>
                <w:szCs w:val="18"/>
                <w:rtl/>
              </w:rPr>
              <w:t>עלויות ההקמה של כבישי האגרה על ידי הזכיינים הפרטיים. לפי נתוני החשכ"ל, עלויות ההקמה של כביש 6 במקטע המרכזי, כביש 6 במקטע הצפוני, מנהרות הכרמל והנתיב המהיר הם - 5.5, 2.5, 1.25 ו-0.5 מיליארד ש"ח בהתאמה</w:t>
            </w:r>
          </w:p>
          <w:p w14:paraId="5446F774" w14:textId="77777777" w:rsidR="00236CC3" w:rsidRPr="00132397" w:rsidRDefault="00236CC3" w:rsidP="00236CC3">
            <w:pPr>
              <w:tabs>
                <w:tab w:val="center" w:pos="4153"/>
                <w:tab w:val="right" w:pos="8306"/>
              </w:tabs>
              <w:spacing w:line="240" w:lineRule="exact"/>
              <w:ind w:right="23"/>
              <w:jc w:val="left"/>
              <w:rPr>
                <w:rFonts w:ascii="Tahoma" w:hAnsi="Tahoma" w:cs="Tahoma"/>
                <w:sz w:val="18"/>
                <w:szCs w:val="18"/>
                <w:rtl/>
              </w:rPr>
            </w:pPr>
          </w:p>
        </w:tc>
        <w:tc>
          <w:tcPr>
            <w:tcW w:w="567" w:type="dxa"/>
          </w:tcPr>
          <w:p w14:paraId="418FFA80"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88" w:type="dxa"/>
          </w:tcPr>
          <w:p w14:paraId="4B89E6C7"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tl/>
              </w:rPr>
            </w:pPr>
            <w:bookmarkStart w:id="49" w:name="_Hlk170277360"/>
            <w:r w:rsidRPr="00132397">
              <w:rPr>
                <w:rFonts w:ascii="Tahoma" w:hAnsi="Tahoma" w:cs="Tahoma" w:hint="cs"/>
                <w:sz w:val="18"/>
                <w:szCs w:val="18"/>
                <w:rtl/>
              </w:rPr>
              <w:t>אורכם הכולל של כבישי האגרה בישראל, מתוך מעל ל-8,500 ק"מ של כבישי ישראל -</w:t>
            </w:r>
            <w:bookmarkEnd w:id="49"/>
            <w:r w:rsidRPr="00132397">
              <w:rPr>
                <w:rFonts w:ascii="Tahoma" w:hAnsi="Tahoma" w:cs="Tahoma" w:hint="cs"/>
                <w:sz w:val="18"/>
                <w:szCs w:val="18"/>
                <w:rtl/>
              </w:rPr>
              <w:t xml:space="preserve"> כביש 6 במקטע הצפוני, המרכזי והדרומי (ללא אגרה) - 188 ק"מ; מנהרות הכרמל - 6.5 ק"מ; והנתיב המהיר 13 ק"מ</w:t>
            </w:r>
          </w:p>
        </w:tc>
        <w:tc>
          <w:tcPr>
            <w:tcW w:w="564" w:type="dxa"/>
          </w:tcPr>
          <w:p w14:paraId="046737D0"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90" w:type="dxa"/>
          </w:tcPr>
          <w:p w14:paraId="06D4E009"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tl/>
              </w:rPr>
            </w:pPr>
            <w:r w:rsidRPr="00132397">
              <w:rPr>
                <w:rFonts w:ascii="Tahoma" w:hAnsi="Tahoma" w:cs="Tahoma" w:hint="cs"/>
                <w:sz w:val="18"/>
                <w:szCs w:val="18"/>
                <w:rtl/>
              </w:rPr>
              <w:t>המהירות הממוצעת שנמדדה בקטעים מסוימים של כביש 6 בשעות שיא בוקר, ו</w:t>
            </w:r>
            <w:r w:rsidRPr="00132397">
              <w:rPr>
                <w:rFonts w:ascii="Tahoma" w:hAnsi="Tahoma" w:cs="Tahoma"/>
                <w:sz w:val="18"/>
                <w:szCs w:val="18"/>
                <w:rtl/>
              </w:rPr>
              <w:noBreakHyphen/>
            </w:r>
            <w:r w:rsidRPr="00132397">
              <w:rPr>
                <w:rFonts w:ascii="Tahoma" w:hAnsi="Tahoma" w:cs="Tahoma" w:hint="cs"/>
                <w:sz w:val="18"/>
                <w:szCs w:val="18"/>
                <w:rtl/>
              </w:rPr>
              <w:t xml:space="preserve">47 קמ"ש בשעות אחר הצהריים, </w:t>
            </w:r>
            <w:r w:rsidRPr="00132397">
              <w:rPr>
                <w:rFonts w:ascii="Tahoma" w:hAnsi="Tahoma" w:cs="Tahoma" w:hint="eastAsia"/>
                <w:sz w:val="18"/>
                <w:szCs w:val="18"/>
                <w:rtl/>
              </w:rPr>
              <w:t>בו</w:t>
            </w:r>
            <w:r w:rsidRPr="00132397">
              <w:rPr>
                <w:rFonts w:ascii="Tahoma" w:hAnsi="Tahoma" w:cs="Tahoma"/>
                <w:sz w:val="18"/>
                <w:szCs w:val="18"/>
                <w:rtl/>
              </w:rPr>
              <w:t xml:space="preserve"> </w:t>
            </w:r>
            <w:r w:rsidRPr="00132397">
              <w:rPr>
                <w:rFonts w:ascii="Tahoma" w:hAnsi="Tahoma" w:cs="Tahoma" w:hint="eastAsia"/>
                <w:sz w:val="18"/>
                <w:szCs w:val="18"/>
                <w:rtl/>
              </w:rPr>
              <w:t>המהירות</w:t>
            </w:r>
            <w:r w:rsidRPr="00132397">
              <w:rPr>
                <w:rFonts w:ascii="Tahoma" w:hAnsi="Tahoma" w:cs="Tahoma"/>
                <w:sz w:val="18"/>
                <w:szCs w:val="18"/>
                <w:rtl/>
              </w:rPr>
              <w:t xml:space="preserve"> </w:t>
            </w:r>
            <w:r w:rsidRPr="00132397">
              <w:rPr>
                <w:rFonts w:ascii="Tahoma" w:hAnsi="Tahoma" w:cs="Tahoma" w:hint="eastAsia"/>
                <w:sz w:val="18"/>
                <w:szCs w:val="18"/>
                <w:rtl/>
              </w:rPr>
              <w:t>המותרת</w:t>
            </w:r>
            <w:r w:rsidRPr="00132397">
              <w:rPr>
                <w:rFonts w:ascii="Tahoma" w:hAnsi="Tahoma" w:cs="Tahoma"/>
                <w:sz w:val="18"/>
                <w:szCs w:val="18"/>
                <w:rtl/>
              </w:rPr>
              <w:t xml:space="preserve"> </w:t>
            </w:r>
            <w:r w:rsidRPr="00132397">
              <w:rPr>
                <w:rFonts w:ascii="Tahoma" w:hAnsi="Tahoma" w:cs="Tahoma" w:hint="eastAsia"/>
                <w:sz w:val="18"/>
                <w:szCs w:val="18"/>
                <w:rtl/>
              </w:rPr>
              <w:t>היא</w:t>
            </w:r>
            <w:r w:rsidRPr="00132397">
              <w:rPr>
                <w:rFonts w:ascii="Tahoma" w:hAnsi="Tahoma" w:cs="Tahoma"/>
                <w:sz w:val="18"/>
                <w:szCs w:val="18"/>
                <w:rtl/>
              </w:rPr>
              <w:t xml:space="preserve"> 120 </w:t>
            </w:r>
            <w:r w:rsidRPr="00132397">
              <w:rPr>
                <w:rFonts w:ascii="Tahoma" w:hAnsi="Tahoma" w:cs="Tahoma" w:hint="eastAsia"/>
                <w:sz w:val="18"/>
                <w:szCs w:val="18"/>
                <w:rtl/>
              </w:rPr>
              <w:t>קמ</w:t>
            </w:r>
            <w:r w:rsidRPr="00132397">
              <w:rPr>
                <w:rFonts w:ascii="Tahoma" w:hAnsi="Tahoma" w:cs="Tahoma"/>
                <w:sz w:val="18"/>
                <w:szCs w:val="18"/>
                <w:rtl/>
              </w:rPr>
              <w:t>"</w:t>
            </w:r>
            <w:r w:rsidRPr="00132397">
              <w:rPr>
                <w:rFonts w:ascii="Tahoma" w:hAnsi="Tahoma" w:cs="Tahoma" w:hint="eastAsia"/>
                <w:sz w:val="18"/>
                <w:szCs w:val="18"/>
                <w:rtl/>
              </w:rPr>
              <w:t>ש</w:t>
            </w:r>
          </w:p>
        </w:tc>
      </w:tr>
      <w:tr w:rsidR="004F19B3" w14:paraId="78C45E03" w14:textId="77777777" w:rsidTr="00236CC3">
        <w:trPr>
          <w:trHeight w:val="363"/>
        </w:trPr>
        <w:tc>
          <w:tcPr>
            <w:tcW w:w="9642" w:type="dxa"/>
            <w:gridSpan w:val="7"/>
          </w:tcPr>
          <w:p w14:paraId="2D6437FB" w14:textId="77777777" w:rsidR="00236CC3" w:rsidRPr="00132397" w:rsidRDefault="00236CC3" w:rsidP="00236CC3">
            <w:pPr>
              <w:tabs>
                <w:tab w:val="center" w:pos="4153"/>
                <w:tab w:val="right" w:pos="8306"/>
              </w:tabs>
              <w:jc w:val="center"/>
              <w:rPr>
                <w:rFonts w:ascii="Tahoma" w:hAnsi="Tahoma" w:cs="Tahoma"/>
                <w:sz w:val="18"/>
                <w:szCs w:val="18"/>
                <w:rtl/>
              </w:rPr>
            </w:pPr>
          </w:p>
        </w:tc>
      </w:tr>
      <w:tr w:rsidR="004F19B3" w14:paraId="75F1D2F6" w14:textId="77777777" w:rsidTr="00236CC3">
        <w:trPr>
          <w:trHeight w:val="227"/>
        </w:trPr>
        <w:tc>
          <w:tcPr>
            <w:tcW w:w="1981" w:type="dxa"/>
            <w:tcBorders>
              <w:bottom w:val="single" w:sz="12" w:space="0" w:color="auto"/>
            </w:tcBorders>
            <w:vAlign w:val="bottom"/>
          </w:tcPr>
          <w:p w14:paraId="2057A462"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כ-273%</w:t>
            </w:r>
          </w:p>
        </w:tc>
        <w:tc>
          <w:tcPr>
            <w:tcW w:w="567" w:type="dxa"/>
            <w:vAlign w:val="bottom"/>
          </w:tcPr>
          <w:p w14:paraId="5D4A10DA" w14:textId="77777777" w:rsidR="00236CC3" w:rsidRPr="00D1243A" w:rsidRDefault="00236CC3" w:rsidP="00236CC3">
            <w:pPr>
              <w:tabs>
                <w:tab w:val="center" w:pos="4153"/>
                <w:tab w:val="right" w:pos="8306"/>
              </w:tabs>
              <w:spacing w:line="240" w:lineRule="auto"/>
              <w:jc w:val="left"/>
              <w:rPr>
                <w:rFonts w:ascii="Tahoma" w:hAnsi="Tahoma" w:cs="Tahoma"/>
                <w:b/>
                <w:bCs/>
                <w:spacing w:val="-10"/>
                <w:sz w:val="36"/>
                <w:szCs w:val="36"/>
              </w:rPr>
            </w:pPr>
          </w:p>
        </w:tc>
        <w:tc>
          <w:tcPr>
            <w:tcW w:w="1985" w:type="dxa"/>
            <w:tcBorders>
              <w:bottom w:val="single" w:sz="12" w:space="0" w:color="auto"/>
            </w:tcBorders>
            <w:vAlign w:val="bottom"/>
          </w:tcPr>
          <w:p w14:paraId="7D755F72"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b/>
                <w:bCs/>
                <w:spacing w:val="-10"/>
                <w:sz w:val="36"/>
                <w:szCs w:val="36"/>
                <w:rtl/>
              </w:rPr>
              <w:t>70%</w:t>
            </w:r>
            <w:r w:rsidRPr="00D1243A">
              <w:rPr>
                <w:rFonts w:ascii="Tahoma" w:hAnsi="Tahoma" w:cs="Tahoma" w:hint="cs"/>
                <w:b/>
                <w:bCs/>
                <w:spacing w:val="-10"/>
                <w:sz w:val="36"/>
                <w:szCs w:val="36"/>
                <w:rtl/>
              </w:rPr>
              <w:t xml:space="preserve"> </w:t>
            </w:r>
            <w:r w:rsidRPr="00D1243A">
              <w:rPr>
                <w:rFonts w:ascii="Tahoma" w:hAnsi="Tahoma" w:cs="Tahoma" w:hint="eastAsia"/>
                <w:b/>
                <w:bCs/>
                <w:spacing w:val="-10"/>
                <w:sz w:val="26"/>
                <w:szCs w:val="26"/>
                <w:rtl/>
              </w:rPr>
              <w:t>ירידה</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במהירות</w:t>
            </w:r>
            <w:r w:rsidRPr="00D1243A">
              <w:rPr>
                <w:rFonts w:ascii="Tahoma" w:hAnsi="Tahoma" w:cs="Tahoma" w:hint="cs"/>
                <w:b/>
                <w:bCs/>
                <w:spacing w:val="-10"/>
                <w:sz w:val="26"/>
                <w:szCs w:val="26"/>
                <w:rtl/>
              </w:rPr>
              <w:t xml:space="preserve"> הנסיעה</w:t>
            </w:r>
            <w:r w:rsidRPr="00D1243A">
              <w:rPr>
                <w:rFonts w:ascii="Tahoma" w:hAnsi="Tahoma" w:cs="Tahoma"/>
                <w:b/>
                <w:bCs/>
                <w:spacing w:val="-10"/>
                <w:sz w:val="26"/>
                <w:szCs w:val="26"/>
                <w:rtl/>
              </w:rPr>
              <w:t xml:space="preserve"> הממוצעת</w:t>
            </w:r>
          </w:p>
        </w:tc>
        <w:tc>
          <w:tcPr>
            <w:tcW w:w="567" w:type="dxa"/>
            <w:vAlign w:val="bottom"/>
          </w:tcPr>
          <w:p w14:paraId="1ADB99F8" w14:textId="77777777" w:rsidR="00236CC3" w:rsidRPr="00D1243A" w:rsidRDefault="00236CC3" w:rsidP="00236CC3">
            <w:pPr>
              <w:tabs>
                <w:tab w:val="center" w:pos="4153"/>
                <w:tab w:val="right" w:pos="8306"/>
              </w:tabs>
              <w:spacing w:line="240" w:lineRule="auto"/>
              <w:jc w:val="left"/>
              <w:rPr>
                <w:rFonts w:ascii="Tahoma" w:hAnsi="Tahoma" w:cs="Tahoma"/>
                <w:b/>
                <w:bCs/>
                <w:spacing w:val="-10"/>
                <w:sz w:val="36"/>
                <w:szCs w:val="36"/>
              </w:rPr>
            </w:pPr>
          </w:p>
        </w:tc>
        <w:tc>
          <w:tcPr>
            <w:tcW w:w="1988" w:type="dxa"/>
            <w:tcBorders>
              <w:bottom w:val="single" w:sz="12" w:space="0" w:color="auto"/>
            </w:tcBorders>
            <w:vAlign w:val="bottom"/>
          </w:tcPr>
          <w:p w14:paraId="75AE74D0"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390 </w:t>
            </w:r>
          </w:p>
          <w:p w14:paraId="40C458D5"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26"/>
                <w:szCs w:val="26"/>
              </w:rPr>
            </w:pPr>
            <w:r w:rsidRPr="00D1243A">
              <w:rPr>
                <w:rFonts w:ascii="Tahoma" w:hAnsi="Tahoma" w:cs="Tahoma" w:hint="eastAsia"/>
                <w:b/>
                <w:bCs/>
                <w:spacing w:val="-10"/>
                <w:sz w:val="26"/>
                <w:szCs w:val="26"/>
                <w:rtl/>
              </w:rPr>
              <w:t>מיליון</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ש</w:t>
            </w:r>
            <w:r w:rsidRPr="00D1243A">
              <w:rPr>
                <w:rFonts w:ascii="Tahoma" w:hAnsi="Tahoma" w:cs="Tahoma"/>
                <w:b/>
                <w:bCs/>
                <w:spacing w:val="-10"/>
                <w:sz w:val="26"/>
                <w:szCs w:val="26"/>
                <w:rtl/>
              </w:rPr>
              <w:t>"ח</w:t>
            </w:r>
          </w:p>
        </w:tc>
        <w:tc>
          <w:tcPr>
            <w:tcW w:w="564" w:type="dxa"/>
            <w:vAlign w:val="bottom"/>
          </w:tcPr>
          <w:p w14:paraId="4790B43A" w14:textId="77777777" w:rsidR="00236CC3" w:rsidRPr="00D1243A" w:rsidRDefault="00236CC3" w:rsidP="00236CC3">
            <w:pPr>
              <w:tabs>
                <w:tab w:val="center" w:pos="4153"/>
                <w:tab w:val="right" w:pos="8306"/>
              </w:tabs>
              <w:spacing w:line="240" w:lineRule="auto"/>
              <w:jc w:val="left"/>
              <w:rPr>
                <w:rFonts w:ascii="Tahoma" w:hAnsi="Tahoma" w:cs="Tahoma"/>
                <w:b/>
                <w:bCs/>
                <w:spacing w:val="-10"/>
                <w:sz w:val="36"/>
                <w:szCs w:val="36"/>
              </w:rPr>
            </w:pPr>
          </w:p>
        </w:tc>
        <w:tc>
          <w:tcPr>
            <w:tcW w:w="1990" w:type="dxa"/>
            <w:tcBorders>
              <w:bottom w:val="single" w:sz="12" w:space="0" w:color="auto"/>
            </w:tcBorders>
            <w:vAlign w:val="bottom"/>
          </w:tcPr>
          <w:p w14:paraId="155EEE8A"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15.22 ו</w:t>
            </w:r>
            <w:r w:rsidRPr="00D1243A">
              <w:rPr>
                <w:rFonts w:ascii="Tahoma" w:hAnsi="Tahoma" w:cs="Tahoma"/>
                <w:b/>
                <w:bCs/>
                <w:spacing w:val="-10"/>
                <w:sz w:val="36"/>
                <w:szCs w:val="36"/>
                <w:rtl/>
              </w:rPr>
              <w:noBreakHyphen/>
            </w:r>
            <w:r w:rsidRPr="00D1243A">
              <w:rPr>
                <w:rFonts w:ascii="Tahoma" w:hAnsi="Tahoma" w:cs="Tahoma" w:hint="cs"/>
                <w:b/>
                <w:bCs/>
                <w:spacing w:val="-10"/>
                <w:sz w:val="36"/>
                <w:szCs w:val="36"/>
                <w:rtl/>
              </w:rPr>
              <w:t xml:space="preserve">11.01 </w:t>
            </w:r>
            <w:r w:rsidRPr="00D1243A">
              <w:rPr>
                <w:rFonts w:ascii="Tahoma" w:hAnsi="Tahoma" w:cs="Tahoma" w:hint="cs"/>
                <w:b/>
                <w:bCs/>
                <w:spacing w:val="-10"/>
                <w:sz w:val="26"/>
                <w:szCs w:val="26"/>
                <w:rtl/>
              </w:rPr>
              <w:t>ש"ח</w:t>
            </w:r>
          </w:p>
        </w:tc>
      </w:tr>
      <w:tr w:rsidR="004F19B3" w14:paraId="313B5D23" w14:textId="77777777" w:rsidTr="00236CC3">
        <w:trPr>
          <w:trHeight w:val="70"/>
        </w:trPr>
        <w:tc>
          <w:tcPr>
            <w:tcW w:w="9642" w:type="dxa"/>
            <w:gridSpan w:val="7"/>
            <w:vAlign w:val="center"/>
          </w:tcPr>
          <w:p w14:paraId="5937155C" w14:textId="77777777" w:rsidR="00236CC3" w:rsidRPr="00132397" w:rsidRDefault="00236CC3" w:rsidP="00236CC3">
            <w:pPr>
              <w:tabs>
                <w:tab w:val="center" w:pos="4153"/>
                <w:tab w:val="right" w:pos="8306"/>
              </w:tabs>
              <w:rPr>
                <w:rFonts w:ascii="Tahoma" w:hAnsi="Tahoma" w:cs="Tahoma"/>
                <w:spacing w:val="-10"/>
                <w:sz w:val="18"/>
                <w:szCs w:val="18"/>
                <w:rtl/>
              </w:rPr>
            </w:pPr>
          </w:p>
        </w:tc>
      </w:tr>
      <w:tr w:rsidR="004F19B3" w14:paraId="75C49F39" w14:textId="77777777" w:rsidTr="00236CC3">
        <w:trPr>
          <w:trHeight w:val="1153"/>
        </w:trPr>
        <w:tc>
          <w:tcPr>
            <w:tcW w:w="1981" w:type="dxa"/>
          </w:tcPr>
          <w:p w14:paraId="4D70E513"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tl/>
              </w:rPr>
            </w:pPr>
            <w:r w:rsidRPr="00132397">
              <w:rPr>
                <w:rFonts w:ascii="Tahoma" w:hAnsi="Tahoma" w:cs="Tahoma"/>
                <w:sz w:val="18"/>
                <w:szCs w:val="18"/>
                <w:rtl/>
              </w:rPr>
              <w:t xml:space="preserve">קצב </w:t>
            </w:r>
            <w:r w:rsidRPr="00132397">
              <w:rPr>
                <w:rFonts w:ascii="Tahoma" w:hAnsi="Tahoma" w:cs="Tahoma" w:hint="cs"/>
                <w:sz w:val="18"/>
                <w:szCs w:val="18"/>
                <w:rtl/>
              </w:rPr>
              <w:t xml:space="preserve">הגידול המצטבר של </w:t>
            </w:r>
            <w:r w:rsidRPr="00132397">
              <w:rPr>
                <w:rFonts w:ascii="Tahoma" w:hAnsi="Tahoma" w:cs="Tahoma"/>
                <w:sz w:val="18"/>
                <w:szCs w:val="18"/>
                <w:rtl/>
              </w:rPr>
              <w:t xml:space="preserve">התנועה </w:t>
            </w:r>
            <w:r w:rsidRPr="00132397">
              <w:rPr>
                <w:rFonts w:ascii="Tahoma" w:hAnsi="Tahoma" w:cs="Tahoma" w:hint="cs"/>
                <w:sz w:val="18"/>
                <w:szCs w:val="18"/>
                <w:rtl/>
              </w:rPr>
              <w:t>מ</w:t>
            </w:r>
            <w:r w:rsidRPr="00132397">
              <w:rPr>
                <w:rFonts w:ascii="Tahoma" w:hAnsi="Tahoma" w:cs="Tahoma"/>
                <w:sz w:val="18"/>
                <w:szCs w:val="18"/>
                <w:rtl/>
              </w:rPr>
              <w:t xml:space="preserve">שנת 2003 ועד שנת </w:t>
            </w:r>
            <w:r w:rsidRPr="00132397">
              <w:rPr>
                <w:rFonts w:ascii="Tahoma" w:hAnsi="Tahoma" w:cs="Tahoma" w:hint="cs"/>
                <w:sz w:val="18"/>
                <w:szCs w:val="18"/>
                <w:rtl/>
              </w:rPr>
              <w:t>2019</w:t>
            </w:r>
            <w:r w:rsidRPr="00132397">
              <w:rPr>
                <w:rFonts w:ascii="Tahoma" w:hAnsi="Tahoma" w:cs="Tahoma"/>
                <w:sz w:val="18"/>
                <w:szCs w:val="18"/>
                <w:rtl/>
              </w:rPr>
              <w:t xml:space="preserve"> בכביש</w:t>
            </w:r>
            <w:r w:rsidRPr="00132397">
              <w:rPr>
                <w:rFonts w:ascii="Tahoma" w:hAnsi="Tahoma" w:cs="Tahoma" w:hint="cs"/>
                <w:sz w:val="18"/>
                <w:szCs w:val="18"/>
                <w:rtl/>
              </w:rPr>
              <w:t xml:space="preserve"> 6 במקטע המרכזי. עד שנת 2017 היה קצב הגידול השנתי הממוצע כ-8.8% והוא פחת החל משנת 2017 </w:t>
            </w:r>
            <w:r w:rsidRPr="00132397">
              <w:rPr>
                <w:rFonts w:ascii="Tahoma" w:hAnsi="Tahoma" w:cs="Tahoma"/>
                <w:sz w:val="18"/>
                <w:szCs w:val="18"/>
                <w:rtl/>
              </w:rPr>
              <w:t xml:space="preserve">ל-4.6% </w:t>
            </w:r>
            <w:r w:rsidRPr="00132397">
              <w:rPr>
                <w:rFonts w:ascii="Tahoma" w:hAnsi="Tahoma" w:cs="Tahoma" w:hint="cs"/>
                <w:sz w:val="18"/>
                <w:szCs w:val="18"/>
                <w:rtl/>
              </w:rPr>
              <w:t xml:space="preserve">בעיקר עקב מעבר נהגים לשעות השפל </w:t>
            </w:r>
            <w:r w:rsidRPr="00132397">
              <w:rPr>
                <w:rFonts w:ascii="Tahoma" w:hAnsi="Tahoma" w:cs="Tahoma"/>
                <w:sz w:val="18"/>
                <w:szCs w:val="18"/>
                <w:rtl/>
              </w:rPr>
              <w:t xml:space="preserve">עקב ריבוי השעות ביום שבהן יש עומסי </w:t>
            </w:r>
            <w:r w:rsidRPr="00132397">
              <w:rPr>
                <w:rFonts w:ascii="Tahoma" w:hAnsi="Tahoma" w:cs="Tahoma"/>
                <w:sz w:val="18"/>
                <w:szCs w:val="18"/>
                <w:rtl/>
              </w:rPr>
              <w:lastRenderedPageBreak/>
              <w:t>תנועה וירידה במהירות הנסיעה הממוצע</w:t>
            </w:r>
            <w:r w:rsidRPr="00132397">
              <w:rPr>
                <w:rFonts w:ascii="Tahoma" w:hAnsi="Tahoma" w:cs="Tahoma" w:hint="cs"/>
                <w:sz w:val="18"/>
                <w:szCs w:val="18"/>
                <w:rtl/>
              </w:rPr>
              <w:t>ת</w:t>
            </w:r>
          </w:p>
        </w:tc>
        <w:tc>
          <w:tcPr>
            <w:tcW w:w="567" w:type="dxa"/>
          </w:tcPr>
          <w:p w14:paraId="7F10F02D"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85" w:type="dxa"/>
          </w:tcPr>
          <w:p w14:paraId="47DAEC3A"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tl/>
              </w:rPr>
            </w:pPr>
            <w:r w:rsidRPr="00132397">
              <w:rPr>
                <w:rFonts w:ascii="Tahoma" w:hAnsi="Tahoma" w:cs="Tahoma" w:hint="cs"/>
                <w:sz w:val="18"/>
                <w:szCs w:val="18"/>
                <w:rtl/>
              </w:rPr>
              <w:t xml:space="preserve">הצפויה להתרחש בשנת 2030 בכביש 6 בקטע שבין באקה לניצני עוז ביחס למצב הקיים ללא ביצוע הרחבה של כביש 6. ביתר הקטעים שנבחנו בכביש 6 הירידה במהירות הממוצעת שצפויה, ב-3 קטעים נעה בין 70% ל-51% ובשלושה קטעים </w:t>
            </w:r>
            <w:r w:rsidRPr="00132397">
              <w:rPr>
                <w:rFonts w:ascii="Tahoma" w:hAnsi="Tahoma" w:cs="Tahoma" w:hint="cs"/>
                <w:sz w:val="18"/>
                <w:szCs w:val="18"/>
                <w:rtl/>
              </w:rPr>
              <w:lastRenderedPageBreak/>
              <w:t xml:space="preserve">אחרים בין 72% </w:t>
            </w:r>
            <w:r w:rsidRPr="00132397">
              <w:rPr>
                <w:rFonts w:ascii="Tahoma" w:hAnsi="Tahoma" w:cs="Tahoma"/>
                <w:sz w:val="18"/>
                <w:szCs w:val="18"/>
                <w:rtl/>
              </w:rPr>
              <w:br/>
            </w:r>
            <w:r w:rsidRPr="00132397">
              <w:rPr>
                <w:rFonts w:ascii="Tahoma" w:hAnsi="Tahoma" w:cs="Tahoma" w:hint="cs"/>
                <w:sz w:val="18"/>
                <w:szCs w:val="18"/>
                <w:rtl/>
              </w:rPr>
              <w:t>ל-45%</w:t>
            </w:r>
          </w:p>
          <w:p w14:paraId="34A54CE8" w14:textId="77777777" w:rsidR="00236CC3" w:rsidRPr="00132397" w:rsidRDefault="00236CC3" w:rsidP="00236CC3">
            <w:pPr>
              <w:tabs>
                <w:tab w:val="center" w:pos="4153"/>
                <w:tab w:val="right" w:pos="8306"/>
              </w:tabs>
              <w:spacing w:line="240" w:lineRule="exact"/>
              <w:ind w:right="23"/>
              <w:jc w:val="left"/>
              <w:rPr>
                <w:rFonts w:ascii="Tahoma" w:hAnsi="Tahoma" w:cs="Tahoma"/>
                <w:sz w:val="18"/>
                <w:szCs w:val="18"/>
                <w:rtl/>
              </w:rPr>
            </w:pPr>
          </w:p>
        </w:tc>
        <w:tc>
          <w:tcPr>
            <w:tcW w:w="567" w:type="dxa"/>
          </w:tcPr>
          <w:p w14:paraId="44841FF8"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88" w:type="dxa"/>
          </w:tcPr>
          <w:p w14:paraId="1BCB5612"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Pr>
            </w:pPr>
            <w:r w:rsidRPr="00132397">
              <w:rPr>
                <w:rFonts w:ascii="Tahoma" w:hAnsi="Tahoma" w:cs="Tahoma" w:hint="cs"/>
                <w:sz w:val="18"/>
                <w:szCs w:val="18"/>
                <w:rtl/>
              </w:rPr>
              <w:t>התועלת המשקית הצפויה בשנת 2030 מביצוע הרחבת כביש 6 והקמת מחלף בית נחמיה ככביש רגיל, ו-260 מיליון ש"ח בהפעלה כנתיב רב תפוסה (נר"ת)</w:t>
            </w:r>
          </w:p>
        </w:tc>
        <w:tc>
          <w:tcPr>
            <w:tcW w:w="564" w:type="dxa"/>
          </w:tcPr>
          <w:p w14:paraId="62B1B65F" w14:textId="77777777" w:rsidR="00236CC3" w:rsidRPr="00132397" w:rsidRDefault="00236CC3" w:rsidP="00236CC3">
            <w:pPr>
              <w:tabs>
                <w:tab w:val="center" w:pos="4153"/>
                <w:tab w:val="right" w:pos="8306"/>
              </w:tabs>
              <w:spacing w:line="240" w:lineRule="exact"/>
              <w:jc w:val="left"/>
              <w:rPr>
                <w:rFonts w:ascii="Tahoma" w:hAnsi="Tahoma" w:cs="Tahoma"/>
                <w:sz w:val="18"/>
                <w:szCs w:val="18"/>
                <w:rtl/>
              </w:rPr>
            </w:pPr>
          </w:p>
        </w:tc>
        <w:tc>
          <w:tcPr>
            <w:tcW w:w="1990" w:type="dxa"/>
          </w:tcPr>
          <w:p w14:paraId="56AE3F70" w14:textId="77777777" w:rsidR="00236CC3" w:rsidRPr="00132397" w:rsidRDefault="00000000" w:rsidP="00236CC3">
            <w:pPr>
              <w:tabs>
                <w:tab w:val="center" w:pos="4153"/>
                <w:tab w:val="right" w:pos="8306"/>
              </w:tabs>
              <w:spacing w:line="240" w:lineRule="exact"/>
              <w:ind w:right="23"/>
              <w:jc w:val="left"/>
              <w:rPr>
                <w:rFonts w:ascii="Tahoma" w:hAnsi="Tahoma" w:cs="Tahoma"/>
                <w:sz w:val="18"/>
                <w:szCs w:val="18"/>
              </w:rPr>
            </w:pPr>
            <w:r w:rsidRPr="00132397">
              <w:rPr>
                <w:rFonts w:ascii="Tahoma" w:hAnsi="Tahoma" w:cs="Tahoma" w:hint="cs"/>
                <w:sz w:val="18"/>
                <w:szCs w:val="18"/>
                <w:rtl/>
              </w:rPr>
              <w:t>התעריפים בקטע 18 של כביש 6 במקטע המרכזי, ללקוח מזדמן ולמנוי וידאו בהתאמה לעומת 9.27 ו- 7.94 ש"ח בלבד בכביש 6 צפון ללקוח מזדמן ולמנוי וידאו בהתאמה - פער של 64.2% ו</w:t>
            </w:r>
            <w:r w:rsidRPr="00132397">
              <w:rPr>
                <w:rFonts w:ascii="Tahoma" w:hAnsi="Tahoma" w:cs="Tahoma"/>
                <w:sz w:val="18"/>
                <w:szCs w:val="18"/>
                <w:rtl/>
              </w:rPr>
              <w:noBreakHyphen/>
            </w:r>
            <w:r w:rsidRPr="00132397">
              <w:rPr>
                <w:rFonts w:ascii="Tahoma" w:hAnsi="Tahoma" w:cs="Tahoma" w:hint="cs"/>
                <w:sz w:val="18"/>
                <w:szCs w:val="18"/>
                <w:rtl/>
              </w:rPr>
              <w:t xml:space="preserve">38.6% ללקוח מזדמן ולמנוי וידאו בהתאמה, זאת על אף הסמיכות </w:t>
            </w:r>
            <w:r w:rsidRPr="00132397">
              <w:rPr>
                <w:rFonts w:ascii="Tahoma" w:hAnsi="Tahoma" w:cs="Tahoma" w:hint="cs"/>
                <w:sz w:val="18"/>
                <w:szCs w:val="18"/>
                <w:rtl/>
              </w:rPr>
              <w:lastRenderedPageBreak/>
              <w:t>הגיאוגרפית והטופוגרפיה הדומה</w:t>
            </w:r>
          </w:p>
        </w:tc>
      </w:tr>
    </w:tbl>
    <w:p w14:paraId="131D515C" w14:textId="77777777" w:rsidR="00236CC3" w:rsidRPr="00236CC3" w:rsidRDefault="00000000" w:rsidP="00236CC3">
      <w:pPr>
        <w:spacing w:after="240" w:line="480" w:lineRule="auto"/>
        <w:ind w:left="-709"/>
        <w:rPr>
          <w:rFonts w:ascii="Tahoma" w:eastAsiaTheme="minorHAnsi" w:hAnsi="Tahoma" w:cs="Tahoma"/>
          <w:noProof/>
        </w:rPr>
      </w:pPr>
      <w:r w:rsidRPr="00236CC3">
        <w:rPr>
          <w:rFonts w:ascii="Tahoma" w:eastAsiaTheme="minorHAnsi" w:hAnsi="Tahoma" w:cs="Tahoma"/>
          <w:noProof/>
        </w:rPr>
        <w:lastRenderedPageBreak/>
        <w:drawing>
          <wp:inline distT="0" distB="0" distL="0" distR="0" wp14:anchorId="409E2264" wp14:editId="0D9A1E6A">
            <wp:extent cx="6104255" cy="438829"/>
            <wp:effectExtent l="0" t="0" r="0" b="0"/>
            <wp:docPr id="96" name="תמונה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66C6EF71" w14:textId="77777777" w:rsidR="00236CC3" w:rsidRPr="00236CC3" w:rsidRDefault="00000000" w:rsidP="00236CC3">
      <w:pPr>
        <w:spacing w:line="480" w:lineRule="auto"/>
        <w:ind w:left="-710" w:right="-567"/>
        <w:rPr>
          <w:rFonts w:eastAsiaTheme="minorHAnsi"/>
          <w:rtl/>
        </w:rPr>
      </w:pPr>
      <w:r w:rsidRPr="00236CC3">
        <w:rPr>
          <w:rFonts w:ascii="Tahoma" w:eastAsiaTheme="minorHAnsi" w:hAnsi="Tahoma" w:cs="Tahoma"/>
          <w:noProof/>
          <w:rtl/>
        </w:rPr>
        <w:drawing>
          <wp:inline distT="0" distB="0" distL="0" distR="0" wp14:anchorId="6C8D71F1" wp14:editId="0959158D">
            <wp:extent cx="2616789" cy="200650"/>
            <wp:effectExtent l="0" t="0" r="0" b="9525"/>
            <wp:docPr id="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78DCA4A7"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bookmarkStart w:id="50" w:name="_Hlk169792597"/>
      <w:bookmarkStart w:id="51" w:name="_Hlk134543097"/>
      <w:r w:rsidRPr="00236CC3">
        <w:rPr>
          <w:rFonts w:ascii="Tahoma" w:eastAsiaTheme="minorHAnsi" w:hAnsi="Tahoma" w:cs="Tahoma" w:hint="cs"/>
          <w:b/>
          <w:bCs/>
          <w:sz w:val="19"/>
          <w:szCs w:val="19"/>
          <w:rtl/>
        </w:rPr>
        <w:t xml:space="preserve">בחינת </w:t>
      </w:r>
      <w:r w:rsidRPr="00236CC3">
        <w:rPr>
          <w:rFonts w:ascii="Tahoma" w:eastAsiaTheme="minorHAnsi" w:hAnsi="Tahoma" w:cs="Tahoma" w:hint="eastAsia"/>
          <w:b/>
          <w:bCs/>
          <w:sz w:val="19"/>
          <w:szCs w:val="19"/>
          <w:rtl/>
        </w:rPr>
        <w:t>כדאיות</w:t>
      </w:r>
      <w:r w:rsidRPr="00236CC3">
        <w:rPr>
          <w:rFonts w:ascii="Tahoma" w:eastAsiaTheme="minorHAnsi" w:hAnsi="Tahoma" w:cs="Tahoma"/>
          <w:b/>
          <w:bCs/>
          <w:sz w:val="19"/>
          <w:szCs w:val="19"/>
          <w:rtl/>
        </w:rPr>
        <w:t xml:space="preserve"> שיטת </w:t>
      </w:r>
      <w:r w:rsidRPr="00236CC3">
        <w:rPr>
          <w:rFonts w:ascii="Tahoma" w:eastAsiaTheme="minorHAnsi" w:hAnsi="Tahoma" w:cs="Tahoma"/>
          <w:b/>
          <w:bCs/>
          <w:sz w:val="19"/>
          <w:szCs w:val="19"/>
        </w:rPr>
        <w:t>PPP</w:t>
      </w:r>
      <w:r w:rsidRPr="00236CC3">
        <w:rPr>
          <w:rFonts w:ascii="Tahoma" w:eastAsiaTheme="minorHAnsi" w:hAnsi="Tahoma" w:cs="Tahoma"/>
          <w:b/>
          <w:bCs/>
          <w:sz w:val="19"/>
          <w:szCs w:val="19"/>
          <w:rtl/>
        </w:rPr>
        <w:t xml:space="preserve"> אל מול מימון הקמת הכבישים מתקציב המדינה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נכון לשנת 2024 </w:t>
      </w:r>
      <w:r w:rsidRPr="00236CC3">
        <w:rPr>
          <w:rFonts w:ascii="Tahoma" w:eastAsiaTheme="minorHAnsi" w:hAnsi="Tahoma" w:cs="Tahoma" w:hint="cs"/>
          <w:sz w:val="19"/>
          <w:szCs w:val="19"/>
          <w:rtl/>
        </w:rPr>
        <w:t>ישנם 3 כבישי אגרה, ו</w:t>
      </w:r>
      <w:r w:rsidRPr="00236CC3">
        <w:rPr>
          <w:rFonts w:ascii="Tahoma" w:eastAsiaTheme="minorHAnsi" w:hAnsi="Tahoma" w:cs="Tahoma"/>
          <w:sz w:val="19"/>
          <w:szCs w:val="19"/>
          <w:rtl/>
        </w:rPr>
        <w:t>אורכם הכולל הוא כ-20</w:t>
      </w:r>
      <w:r w:rsidRPr="00236CC3">
        <w:rPr>
          <w:rFonts w:ascii="Tahoma" w:eastAsiaTheme="minorHAnsi" w:hAnsi="Tahoma" w:cs="Tahoma" w:hint="cs"/>
          <w:sz w:val="19"/>
          <w:szCs w:val="19"/>
          <w:rtl/>
        </w:rPr>
        <w:t>7</w:t>
      </w:r>
      <w:r w:rsidRPr="00236CC3">
        <w:rPr>
          <w:rFonts w:ascii="Tahoma" w:eastAsiaTheme="minorHAnsi" w:hAnsi="Tahoma" w:cs="Tahoma"/>
          <w:sz w:val="19"/>
          <w:szCs w:val="19"/>
          <w:rtl/>
        </w:rPr>
        <w:t>.5 ק"מ, מתוך כ-8,500 ק"מ של כבישי ישראל.</w:t>
      </w:r>
      <w:r w:rsidRPr="00236CC3">
        <w:rPr>
          <w:rFonts w:ascii="Tahoma" w:eastAsiaTheme="minorHAnsi" w:hAnsi="Tahoma" w:cs="Tahoma" w:hint="cs"/>
          <w:sz w:val="19"/>
          <w:szCs w:val="19"/>
          <w:rtl/>
        </w:rPr>
        <w:t xml:space="preserve"> בשנים 2019 ועד 2023, בהתאם לרשת הביטחון, קיבלה המדינה 111 ו-85 מיליון ש"ח מהזכיינים של כביש 6 במקטע המרכזי ושל מנהרות הכרמל בהתאמה, ושילמה 390 ו-170 מיליון ש"ח </w:t>
      </w:r>
      <w:r w:rsidRPr="00236CC3">
        <w:rPr>
          <w:rFonts w:ascii="Tahoma" w:eastAsiaTheme="minorHAnsi" w:hAnsi="Tahoma" w:cs="Tahoma" w:hint="eastAsia"/>
          <w:sz w:val="19"/>
          <w:szCs w:val="19"/>
          <w:rtl/>
        </w:rPr>
        <w:t>לזכיינים</w:t>
      </w:r>
      <w:r w:rsidRPr="00236CC3">
        <w:rPr>
          <w:rFonts w:ascii="Tahoma" w:eastAsiaTheme="minorHAnsi" w:hAnsi="Tahoma" w:cs="Tahoma" w:hint="cs"/>
          <w:sz w:val="19"/>
          <w:szCs w:val="19"/>
          <w:rtl/>
        </w:rPr>
        <w:t xml:space="preserve"> של כביש 6 צפון והנתיב המהיר, ובסך הכול בקיזוז התקבולים, שילמה המדינה לזכיינים באותן שנים עבור רשת הביטחון כ-363 מיליון ש"ח. עם זאת, בביקורת עלה כי </w:t>
      </w:r>
      <w:r w:rsidRPr="00236CC3">
        <w:rPr>
          <w:rFonts w:ascii="Tahoma" w:eastAsiaTheme="minorHAnsi" w:hAnsi="Tahoma" w:cs="Tahoma"/>
          <w:b/>
          <w:bCs/>
          <w:sz w:val="19"/>
          <w:szCs w:val="19"/>
          <w:rtl/>
        </w:rPr>
        <w:t xml:space="preserve">משרד התחבורה </w:t>
      </w:r>
      <w:r w:rsidRPr="00236CC3">
        <w:rPr>
          <w:rFonts w:ascii="Tahoma" w:eastAsiaTheme="minorHAnsi" w:hAnsi="Tahoma" w:cs="Tahoma" w:hint="cs"/>
          <w:b/>
          <w:bCs/>
          <w:sz w:val="19"/>
          <w:szCs w:val="19"/>
          <w:rtl/>
        </w:rPr>
        <w:t>ו</w:t>
      </w:r>
      <w:r w:rsidRPr="00236CC3">
        <w:rPr>
          <w:rFonts w:ascii="Tahoma" w:eastAsiaTheme="minorHAnsi" w:hAnsi="Tahoma" w:cs="Tahoma"/>
          <w:b/>
          <w:bCs/>
          <w:sz w:val="19"/>
          <w:szCs w:val="19"/>
          <w:rtl/>
        </w:rPr>
        <w:t xml:space="preserve">משרד האוצר לא ניתחו בדיעבד את הכדאיות המשקית מבחינת עלויות מול תועלות של מודל הקמת כבישים בשיטת </w:t>
      </w:r>
      <w:r w:rsidRPr="00236CC3">
        <w:rPr>
          <w:rFonts w:ascii="Tahoma" w:eastAsiaTheme="minorHAnsi" w:hAnsi="Tahoma" w:cs="Tahoma"/>
          <w:b/>
          <w:bCs/>
          <w:sz w:val="19"/>
          <w:szCs w:val="19"/>
        </w:rPr>
        <w:t>PPP</w:t>
      </w:r>
      <w:r w:rsidRPr="00236CC3">
        <w:rPr>
          <w:rFonts w:ascii="Tahoma" w:eastAsiaTheme="minorHAnsi" w:hAnsi="Tahoma" w:cs="Tahoma"/>
          <w:b/>
          <w:bCs/>
          <w:sz w:val="19"/>
          <w:szCs w:val="19"/>
          <w:rtl/>
        </w:rPr>
        <w:t xml:space="preserve"> לעומת הקמת כביש תקציבי, ולא בדקו </w:t>
      </w:r>
      <w:r w:rsidRPr="00236CC3">
        <w:rPr>
          <w:rFonts w:ascii="Tahoma" w:eastAsiaTheme="minorHAnsi" w:hAnsi="Tahoma" w:cs="Tahoma" w:hint="cs"/>
          <w:b/>
          <w:bCs/>
          <w:sz w:val="19"/>
          <w:szCs w:val="19"/>
          <w:rtl/>
        </w:rPr>
        <w:t xml:space="preserve">את </w:t>
      </w:r>
      <w:r w:rsidRPr="00236CC3">
        <w:rPr>
          <w:rFonts w:ascii="Tahoma" w:eastAsiaTheme="minorHAnsi" w:hAnsi="Tahoma" w:cs="Tahoma"/>
          <w:b/>
          <w:bCs/>
          <w:sz w:val="19"/>
          <w:szCs w:val="19"/>
          <w:rtl/>
        </w:rPr>
        <w:t>התועלות של פרויקטי כבישי האגרה ואם הושגו יעדיהם מבחינת הכדאיות הכללית ורמת השירות</w:t>
      </w:r>
      <w:r w:rsidRPr="00236CC3">
        <w:rPr>
          <w:rFonts w:ascii="Tahoma" w:eastAsiaTheme="minorHAnsi" w:hAnsi="Tahoma" w:cs="Tahoma"/>
          <w:sz w:val="19"/>
          <w:szCs w:val="19"/>
          <w:rtl/>
        </w:rPr>
        <w:t xml:space="preserve">, ובכלל זה השוואת הכדאיות הכלכלית שהוערכה בעת קבלת ההחלטות לעומת המצב בפועל. זאת בהתחשב בין היתר בשינויים בהסכמי הזיכיון המקוריים, בפיצוי הכספי שנדרשה המדינה לשלם כדי לאפשר את המשך ביצוע הפרויקטים, בתשלומי המדינה לזכיינים עבור </w:t>
      </w:r>
      <w:r w:rsidRPr="00236CC3">
        <w:rPr>
          <w:rFonts w:ascii="Tahoma" w:eastAsiaTheme="minorHAnsi" w:hAnsi="Tahoma" w:cs="Tahoma" w:hint="cs"/>
          <w:sz w:val="19"/>
          <w:szCs w:val="19"/>
          <w:rtl/>
        </w:rPr>
        <w:t>הבטחת</w:t>
      </w:r>
      <w:r w:rsidRPr="00236CC3">
        <w:rPr>
          <w:rFonts w:ascii="Tahoma" w:eastAsiaTheme="minorHAnsi" w:hAnsi="Tahoma" w:cs="Tahoma"/>
          <w:sz w:val="19"/>
          <w:szCs w:val="19"/>
          <w:rtl/>
        </w:rPr>
        <w:t xml:space="preserve"> הפדיון באמצעות רשת הביטחון, בגובה האגרה שנקבעה למשתמשים, ובתשלומים אחרים </w:t>
      </w:r>
      <w:r w:rsidRPr="00236CC3">
        <w:rPr>
          <w:rFonts w:ascii="Tahoma" w:eastAsiaTheme="minorHAnsi" w:hAnsi="Tahoma" w:cs="Tahoma" w:hint="cs"/>
          <w:sz w:val="19"/>
          <w:szCs w:val="19"/>
          <w:rtl/>
        </w:rPr>
        <w:t xml:space="preserve">שנקבעו </w:t>
      </w:r>
      <w:r w:rsidRPr="00236CC3">
        <w:rPr>
          <w:rFonts w:ascii="Tahoma" w:eastAsiaTheme="minorHAnsi" w:hAnsi="Tahoma" w:cs="Tahoma"/>
          <w:sz w:val="19"/>
          <w:szCs w:val="19"/>
          <w:rtl/>
        </w:rPr>
        <w:t xml:space="preserve">במסגרת תוספות להסכמי הזיכיון. </w:t>
      </w:r>
    </w:p>
    <w:bookmarkEnd w:id="50"/>
    <w:p w14:paraId="43A59C5E"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cs"/>
          <w:b/>
          <w:bCs/>
          <w:sz w:val="19"/>
          <w:szCs w:val="19"/>
          <w:rtl/>
        </w:rPr>
        <w:t>עומסי התנועה בכביש 6 בקטע המרכזי</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מנתוני יועץ התנועה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של משרד התחבורה וחברת חוצה ישראל עלה שבנובמבר 2019 היה עומס תנועה בינוני-גבוה לכיוון דרום בשעות 05:00 - 09:00 בין מחלף עירון לנחשונים, ובשעות 14:00 - 19:00 בין מחלף חורשים לנחשונים; לכיוון צפון היה עומס התנועה לכיוון צפון בשעות 07:00 - 09:00 בין מחלף בן שמן למחלף קסם, ובשעות 14:00 - 19:00 בין מחלף בן שמן לניצני עוז. נתוני יועץ התנועה הראו כי ללא הרחבה של כביש 6 תרד מהירות הנסיעה הממוצעת בכביש 6 ביחס למצב הקיים ירידה תלולה </w:t>
      </w:r>
      <w:r w:rsidRPr="00236CC3">
        <w:rPr>
          <w:rFonts w:ascii="Tahoma" w:eastAsiaTheme="minorHAnsi" w:hAnsi="Tahoma" w:cs="Tahoma"/>
          <w:b/>
          <w:bCs/>
          <w:sz w:val="19"/>
          <w:szCs w:val="19"/>
          <w:rtl/>
        </w:rPr>
        <w:t xml:space="preserve">ועד שנת 2030 תרד המהירות הממוצעת </w:t>
      </w:r>
      <w:r w:rsidRPr="00236CC3">
        <w:rPr>
          <w:rFonts w:ascii="Tahoma" w:eastAsiaTheme="minorHAnsi" w:hAnsi="Tahoma" w:cs="Tahoma" w:hint="cs"/>
          <w:b/>
          <w:bCs/>
          <w:sz w:val="19"/>
          <w:szCs w:val="19"/>
          <w:rtl/>
        </w:rPr>
        <w:t>בשלושת</w:t>
      </w:r>
      <w:r w:rsidRPr="00236CC3">
        <w:rPr>
          <w:rFonts w:ascii="Tahoma" w:eastAsiaTheme="minorHAnsi" w:hAnsi="Tahoma" w:cs="Tahoma"/>
          <w:b/>
          <w:bCs/>
          <w:sz w:val="19"/>
          <w:szCs w:val="19"/>
          <w:rtl/>
        </w:rPr>
        <w:t xml:space="preserve"> הקטעים מעירון ועד ניצני עוז בין 45 קמ"ש ל-</w:t>
      </w:r>
      <w:r w:rsidRPr="00236CC3">
        <w:rPr>
          <w:rFonts w:ascii="Tahoma" w:eastAsiaTheme="minorHAnsi" w:hAnsi="Tahoma" w:cs="Tahoma" w:hint="cs"/>
          <w:b/>
          <w:bCs/>
          <w:sz w:val="19"/>
          <w:szCs w:val="19"/>
          <w:rtl/>
        </w:rPr>
        <w:t>30</w:t>
      </w:r>
      <w:r w:rsidRPr="00236CC3">
        <w:rPr>
          <w:rFonts w:ascii="Tahoma" w:eastAsiaTheme="minorHAnsi" w:hAnsi="Tahoma" w:cs="Tahoma"/>
          <w:b/>
          <w:bCs/>
          <w:sz w:val="19"/>
          <w:szCs w:val="19"/>
          <w:rtl/>
        </w:rPr>
        <w:t xml:space="preserve"> קמ"ש - </w:t>
      </w:r>
      <w:r w:rsidRPr="00236CC3">
        <w:rPr>
          <w:rFonts w:ascii="Tahoma" w:eastAsiaTheme="minorHAnsi" w:hAnsi="Tahoma" w:cs="Tahoma" w:hint="cs"/>
          <w:b/>
          <w:bCs/>
          <w:sz w:val="19"/>
          <w:szCs w:val="19"/>
          <w:rtl/>
        </w:rPr>
        <w:t>ירידה ב</w:t>
      </w:r>
      <w:r w:rsidRPr="00236CC3">
        <w:rPr>
          <w:rFonts w:ascii="Tahoma" w:eastAsiaTheme="minorHAnsi" w:hAnsi="Tahoma" w:cs="Tahoma"/>
          <w:b/>
          <w:bCs/>
          <w:sz w:val="19"/>
          <w:szCs w:val="19"/>
          <w:rtl/>
        </w:rPr>
        <w:t>שיעור של בין 51% ל-70%</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וביתר </w:t>
      </w:r>
      <w:r w:rsidRPr="00236CC3">
        <w:rPr>
          <w:rFonts w:ascii="Tahoma" w:eastAsiaTheme="minorHAnsi" w:hAnsi="Tahoma" w:cs="Tahoma" w:hint="cs"/>
          <w:b/>
          <w:bCs/>
          <w:sz w:val="19"/>
          <w:szCs w:val="19"/>
          <w:rtl/>
        </w:rPr>
        <w:t xml:space="preserve">שלושת </w:t>
      </w:r>
      <w:r w:rsidRPr="00236CC3">
        <w:rPr>
          <w:rFonts w:ascii="Tahoma" w:eastAsiaTheme="minorHAnsi" w:hAnsi="Tahoma" w:cs="Tahoma"/>
          <w:b/>
          <w:bCs/>
          <w:sz w:val="19"/>
          <w:szCs w:val="19"/>
          <w:rtl/>
        </w:rPr>
        <w:t xml:space="preserve">הקטעים </w:t>
      </w:r>
      <w:r w:rsidRPr="00236CC3">
        <w:rPr>
          <w:rFonts w:ascii="Tahoma" w:eastAsiaTheme="minorHAnsi" w:hAnsi="Tahoma" w:cs="Tahoma" w:hint="cs"/>
          <w:b/>
          <w:bCs/>
          <w:sz w:val="19"/>
          <w:szCs w:val="19"/>
          <w:rtl/>
        </w:rPr>
        <w:t>מניצני עוז</w:t>
      </w:r>
      <w:r w:rsidRPr="00236CC3">
        <w:rPr>
          <w:rFonts w:ascii="Tahoma" w:eastAsiaTheme="minorHAnsi" w:hAnsi="Tahoma" w:cs="Tahoma"/>
          <w:b/>
          <w:bCs/>
          <w:sz w:val="19"/>
          <w:szCs w:val="19"/>
          <w:rtl/>
        </w:rPr>
        <w:t xml:space="preserve"> ועד חורשים תרד המהירות בין </w:t>
      </w:r>
      <w:r w:rsidRPr="00236CC3">
        <w:rPr>
          <w:rFonts w:ascii="Tahoma" w:eastAsiaTheme="minorHAnsi" w:hAnsi="Tahoma" w:cs="Tahoma" w:hint="cs"/>
          <w:b/>
          <w:bCs/>
          <w:sz w:val="19"/>
          <w:szCs w:val="19"/>
          <w:rtl/>
        </w:rPr>
        <w:t>30</w:t>
      </w:r>
      <w:r w:rsidRPr="00236CC3">
        <w:rPr>
          <w:rFonts w:ascii="Tahoma" w:eastAsiaTheme="minorHAnsi" w:hAnsi="Tahoma" w:cs="Tahoma"/>
          <w:b/>
          <w:bCs/>
          <w:sz w:val="19"/>
          <w:szCs w:val="19"/>
          <w:rtl/>
        </w:rPr>
        <w:t xml:space="preserve"> קמ"ש ל-14 קמ"ש - </w:t>
      </w:r>
      <w:r w:rsidRPr="00236CC3">
        <w:rPr>
          <w:rFonts w:ascii="Tahoma" w:eastAsiaTheme="minorHAnsi" w:hAnsi="Tahoma" w:cs="Tahoma" w:hint="cs"/>
          <w:b/>
          <w:bCs/>
          <w:sz w:val="19"/>
          <w:szCs w:val="19"/>
          <w:rtl/>
        </w:rPr>
        <w:t>ירידה ב</w:t>
      </w:r>
      <w:r w:rsidRPr="00236CC3">
        <w:rPr>
          <w:rFonts w:ascii="Tahoma" w:eastAsiaTheme="minorHAnsi" w:hAnsi="Tahoma" w:cs="Tahoma"/>
          <w:b/>
          <w:bCs/>
          <w:sz w:val="19"/>
          <w:szCs w:val="19"/>
          <w:rtl/>
        </w:rPr>
        <w:t>שיעור של בין 18% ל-</w:t>
      </w:r>
      <w:r w:rsidRPr="00236CC3">
        <w:rPr>
          <w:rFonts w:ascii="Tahoma" w:eastAsiaTheme="minorHAnsi" w:hAnsi="Tahoma" w:cs="Tahoma" w:hint="cs"/>
          <w:b/>
          <w:bCs/>
          <w:sz w:val="19"/>
          <w:szCs w:val="19"/>
          <w:rtl/>
        </w:rPr>
        <w:t>57</w:t>
      </w:r>
      <w:r w:rsidRPr="00236CC3">
        <w:rPr>
          <w:rFonts w:ascii="Tahoma" w:eastAsiaTheme="minorHAnsi" w:hAnsi="Tahoma" w:cs="Tahoma"/>
          <w:b/>
          <w:bCs/>
          <w:sz w:val="19"/>
          <w:szCs w:val="19"/>
          <w:rtl/>
        </w:rPr>
        <w:t>%.</w:t>
      </w:r>
      <w:r w:rsidRPr="00236CC3">
        <w:rPr>
          <w:rFonts w:ascii="Tahoma" w:eastAsiaTheme="minorHAnsi" w:hAnsi="Tahoma" w:cs="Tahoma"/>
          <w:sz w:val="19"/>
          <w:szCs w:val="19"/>
          <w:rtl/>
        </w:rPr>
        <w:t xml:space="preserve"> עוד הראו נתוני יועץ התנועה כי עד שנת 2040 תרד המהירות הממוצעת </w:t>
      </w:r>
      <w:r w:rsidRPr="00236CC3">
        <w:rPr>
          <w:rFonts w:ascii="Tahoma" w:eastAsiaTheme="minorHAnsi" w:hAnsi="Tahoma" w:cs="Tahoma" w:hint="cs"/>
          <w:sz w:val="19"/>
          <w:szCs w:val="19"/>
          <w:rtl/>
        </w:rPr>
        <w:t xml:space="preserve">בשלושת הקטעים </w:t>
      </w:r>
      <w:r w:rsidRPr="00236CC3">
        <w:rPr>
          <w:rFonts w:ascii="Tahoma" w:eastAsiaTheme="minorHAnsi" w:hAnsi="Tahoma" w:cs="Tahoma"/>
          <w:sz w:val="19"/>
          <w:szCs w:val="19"/>
          <w:rtl/>
        </w:rPr>
        <w:t>מעירון ועד ניצני עוז בין 63 קמ"ש ל-</w:t>
      </w:r>
      <w:r w:rsidRPr="00236CC3">
        <w:rPr>
          <w:rFonts w:ascii="Tahoma" w:eastAsiaTheme="minorHAnsi" w:hAnsi="Tahoma" w:cs="Tahoma" w:hint="cs"/>
          <w:sz w:val="19"/>
          <w:szCs w:val="19"/>
          <w:rtl/>
        </w:rPr>
        <w:t>30</w:t>
      </w:r>
      <w:r w:rsidRPr="00236CC3">
        <w:rPr>
          <w:rFonts w:ascii="Tahoma" w:eastAsiaTheme="minorHAnsi" w:hAnsi="Tahoma" w:cs="Tahoma"/>
          <w:sz w:val="19"/>
          <w:szCs w:val="19"/>
          <w:rtl/>
        </w:rPr>
        <w:t xml:space="preserve"> קמ"ש</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שיעור של בין </w:t>
      </w:r>
      <w:r w:rsidRPr="00236CC3">
        <w:rPr>
          <w:rFonts w:ascii="Tahoma" w:eastAsiaTheme="minorHAnsi" w:hAnsi="Tahoma" w:cs="Tahoma" w:hint="cs"/>
          <w:sz w:val="19"/>
          <w:szCs w:val="19"/>
          <w:rtl/>
        </w:rPr>
        <w:t xml:space="preserve">72% </w:t>
      </w:r>
      <w:r w:rsidRPr="00236CC3">
        <w:rPr>
          <w:rFonts w:ascii="Tahoma" w:eastAsiaTheme="minorHAnsi" w:hAnsi="Tahoma" w:cs="Tahoma"/>
          <w:sz w:val="19"/>
          <w:szCs w:val="19"/>
          <w:rtl/>
        </w:rPr>
        <w:t>ל-</w:t>
      </w:r>
      <w:r w:rsidRPr="00236CC3">
        <w:rPr>
          <w:rFonts w:ascii="Tahoma" w:eastAsiaTheme="minorHAnsi" w:hAnsi="Tahoma" w:cs="Tahoma" w:hint="cs"/>
          <w:sz w:val="19"/>
          <w:szCs w:val="19"/>
          <w:rtl/>
        </w:rPr>
        <w:t>70</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ובשלוש</w:t>
      </w:r>
      <w:r w:rsidRPr="00236CC3">
        <w:rPr>
          <w:rFonts w:ascii="Tahoma" w:eastAsiaTheme="minorHAnsi" w:hAnsi="Tahoma" w:cs="Tahoma"/>
          <w:sz w:val="19"/>
          <w:szCs w:val="19"/>
          <w:rtl/>
        </w:rPr>
        <w:t xml:space="preserve"> הקטעים הנותרים בין </w:t>
      </w:r>
      <w:r w:rsidRPr="00236CC3">
        <w:rPr>
          <w:rFonts w:ascii="Tahoma" w:eastAsiaTheme="minorHAnsi" w:hAnsi="Tahoma" w:cs="Tahoma" w:hint="cs"/>
          <w:sz w:val="19"/>
          <w:szCs w:val="19"/>
          <w:rtl/>
        </w:rPr>
        <w:t>38</w:t>
      </w:r>
      <w:r w:rsidRPr="00236CC3">
        <w:rPr>
          <w:rFonts w:ascii="Tahoma" w:eastAsiaTheme="minorHAnsi" w:hAnsi="Tahoma" w:cs="Tahoma"/>
          <w:sz w:val="19"/>
          <w:szCs w:val="19"/>
          <w:rtl/>
        </w:rPr>
        <w:t xml:space="preserve"> קמ"ש ל-35 קמ"ש שיעור</w:t>
      </w:r>
      <w:r w:rsidRPr="00236CC3">
        <w:rPr>
          <w:rFonts w:ascii="Tahoma" w:eastAsiaTheme="minorHAnsi" w:hAnsi="Tahoma" w:cs="Tahoma" w:hint="cs"/>
          <w:sz w:val="19"/>
          <w:szCs w:val="19"/>
          <w:rtl/>
        </w:rPr>
        <w:t>- ירידה בשיעור</w:t>
      </w:r>
      <w:r w:rsidRPr="00236CC3">
        <w:rPr>
          <w:rFonts w:ascii="Tahoma" w:eastAsiaTheme="minorHAnsi" w:hAnsi="Tahoma" w:cs="Tahoma"/>
          <w:sz w:val="19"/>
          <w:szCs w:val="19"/>
          <w:rtl/>
        </w:rPr>
        <w:t xml:space="preserve"> של בין </w:t>
      </w:r>
      <w:r w:rsidRPr="00236CC3">
        <w:rPr>
          <w:rFonts w:ascii="Tahoma" w:eastAsiaTheme="minorHAnsi" w:hAnsi="Tahoma" w:cs="Tahoma" w:hint="cs"/>
          <w:sz w:val="19"/>
          <w:szCs w:val="19"/>
          <w:rtl/>
        </w:rPr>
        <w:t>72</w:t>
      </w:r>
      <w:r w:rsidRPr="00236CC3">
        <w:rPr>
          <w:rFonts w:ascii="Tahoma" w:eastAsiaTheme="minorHAnsi" w:hAnsi="Tahoma" w:cs="Tahoma"/>
          <w:sz w:val="19"/>
          <w:szCs w:val="19"/>
          <w:rtl/>
        </w:rPr>
        <w:t>% ל-</w:t>
      </w:r>
      <w:r w:rsidRPr="00236CC3">
        <w:rPr>
          <w:rFonts w:ascii="Tahoma" w:eastAsiaTheme="minorHAnsi" w:hAnsi="Tahoma" w:cs="Tahoma" w:hint="cs"/>
          <w:sz w:val="19"/>
          <w:szCs w:val="19"/>
          <w:rtl/>
        </w:rPr>
        <w:t>45</w:t>
      </w:r>
      <w:r w:rsidRPr="00236CC3">
        <w:rPr>
          <w:rFonts w:ascii="Tahoma" w:eastAsiaTheme="minorHAnsi" w:hAnsi="Tahoma" w:cs="Tahoma"/>
          <w:sz w:val="19"/>
          <w:szCs w:val="19"/>
          <w:rtl/>
        </w:rPr>
        <w:t>%. נתונים אלה שהוצגו לוועדת המכרזים הבין משרדית</w:t>
      </w:r>
      <w:r>
        <w:rPr>
          <w:rFonts w:ascii="David" w:eastAsiaTheme="minorHAnsi" w:hAnsi="David"/>
          <w:shd w:val="clear" w:color="auto" w:fill="FFFFFF"/>
          <w:vertAlign w:val="superscript"/>
          <w:rtl/>
        </w:rPr>
        <w:footnoteReference w:id="4"/>
      </w:r>
      <w:r w:rsidRPr="00236CC3">
        <w:rPr>
          <w:rFonts w:ascii="Tahoma" w:eastAsiaTheme="minorHAnsi" w:hAnsi="Tahoma" w:cs="Tahoma"/>
          <w:sz w:val="19"/>
          <w:szCs w:val="19"/>
          <w:rtl/>
        </w:rPr>
        <w:t xml:space="preserve"> לפרויקטי זיכיון בתחום התחבורה, הראו שעקב </w:t>
      </w:r>
      <w:r w:rsidRPr="00236CC3">
        <w:rPr>
          <w:rFonts w:ascii="Tahoma" w:eastAsiaTheme="minorHAnsi" w:hAnsi="Tahoma" w:cs="Tahoma"/>
          <w:sz w:val="19"/>
          <w:szCs w:val="19"/>
          <w:rtl/>
        </w:rPr>
        <w:lastRenderedPageBreak/>
        <w:t>העומסים הגבוהים שבשעות שיא בוקר יורדת מהירות הנסיעה בחלק מהקטעים ל-50 ואף ל-36</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קמ"ש ובשעות </w:t>
      </w:r>
      <w:r w:rsidRPr="00236CC3">
        <w:rPr>
          <w:rFonts w:ascii="Tahoma" w:eastAsiaTheme="minorHAnsi" w:hAnsi="Tahoma" w:cs="Tahoma" w:hint="cs"/>
          <w:sz w:val="19"/>
          <w:szCs w:val="19"/>
          <w:rtl/>
        </w:rPr>
        <w:t xml:space="preserve">אחר </w:t>
      </w:r>
      <w:r w:rsidRPr="00236CC3">
        <w:rPr>
          <w:rFonts w:ascii="Tahoma" w:eastAsiaTheme="minorHAnsi" w:hAnsi="Tahoma" w:cs="Tahoma"/>
          <w:sz w:val="19"/>
          <w:szCs w:val="19"/>
          <w:rtl/>
        </w:rPr>
        <w:t>הצהרים יורדת המהירות ל-47 קמ"ש,</w:t>
      </w:r>
      <w:r w:rsidRPr="00236CC3">
        <w:rPr>
          <w:rFonts w:eastAsiaTheme="minorHAnsi"/>
          <w:rtl/>
        </w:rPr>
        <w:t xml:space="preserve"> </w:t>
      </w:r>
      <w:r w:rsidRPr="00236CC3">
        <w:rPr>
          <w:rFonts w:ascii="Tahoma" w:eastAsiaTheme="minorHAnsi" w:hAnsi="Tahoma" w:cs="Tahoma"/>
          <w:sz w:val="19"/>
          <w:szCs w:val="19"/>
          <w:rtl/>
        </w:rPr>
        <w:t>בעוד שהמהירות המותר בכביש היא</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120</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קמ"ש</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והכביש אינו פועל כמצופה מרמת שירות של כביש מהיר.</w:t>
      </w:r>
      <w:r w:rsidRPr="00236CC3">
        <w:rPr>
          <w:rFonts w:ascii="Tahoma" w:eastAsiaTheme="minorHAnsi" w:hAnsi="Tahoma" w:cs="Tahoma"/>
          <w:sz w:val="19"/>
          <w:szCs w:val="19"/>
          <w:rtl/>
        </w:rPr>
        <w:t xml:space="preserve"> לפי חישובי חוצה ישראל שהוצגו בוועדת המכרזים </w:t>
      </w:r>
      <w:r w:rsidRPr="00236CC3">
        <w:rPr>
          <w:rFonts w:ascii="Tahoma" w:eastAsiaTheme="minorHAnsi" w:hAnsi="Tahoma" w:cs="Tahoma"/>
          <w:b/>
          <w:bCs/>
          <w:sz w:val="19"/>
          <w:szCs w:val="19"/>
          <w:rtl/>
        </w:rPr>
        <w:t>הנזק השנתי מאי ביצוע ההרחבה מחושב לשנת 2030 הוא כ-</w:t>
      </w:r>
      <w:r w:rsidRPr="00236CC3">
        <w:rPr>
          <w:rFonts w:ascii="Tahoma" w:eastAsiaTheme="minorHAnsi" w:hAnsi="Tahoma" w:cs="Tahoma" w:hint="cs"/>
          <w:b/>
          <w:bCs/>
          <w:sz w:val="19"/>
          <w:szCs w:val="19"/>
          <w:rtl/>
        </w:rPr>
        <w:t>390</w:t>
      </w:r>
      <w:r w:rsidRPr="00236CC3">
        <w:rPr>
          <w:rFonts w:ascii="Tahoma" w:eastAsiaTheme="minorHAnsi" w:hAnsi="Tahoma" w:cs="Tahoma"/>
          <w:b/>
          <w:bCs/>
          <w:sz w:val="19"/>
          <w:szCs w:val="19"/>
          <w:rtl/>
        </w:rPr>
        <w:t xml:space="preserve"> מיליון ש"ח ללא </w:t>
      </w:r>
      <w:r w:rsidRPr="00236CC3">
        <w:rPr>
          <w:rFonts w:ascii="Tahoma" w:eastAsiaTheme="minorHAnsi" w:hAnsi="Tahoma" w:cs="Tahoma" w:hint="eastAsia"/>
          <w:b/>
          <w:bCs/>
          <w:sz w:val="19"/>
          <w:szCs w:val="19"/>
          <w:rtl/>
        </w:rPr>
        <w:t>נתיב</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רב</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תפוסה</w:t>
      </w:r>
      <w:r>
        <w:rPr>
          <w:rFonts w:ascii="David" w:eastAsiaTheme="minorHAnsi" w:hAnsi="David"/>
          <w:b/>
          <w:bCs/>
          <w:vertAlign w:val="superscript"/>
          <w:rtl/>
        </w:rPr>
        <w:footnoteReference w:id="5"/>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נר"ת</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 ו-</w:t>
      </w:r>
      <w:r w:rsidRPr="00236CC3">
        <w:rPr>
          <w:rFonts w:ascii="Tahoma" w:eastAsiaTheme="minorHAnsi" w:hAnsi="Tahoma" w:cs="Tahoma" w:hint="cs"/>
          <w:b/>
          <w:bCs/>
          <w:sz w:val="19"/>
          <w:szCs w:val="19"/>
          <w:rtl/>
        </w:rPr>
        <w:t>260</w:t>
      </w:r>
      <w:r w:rsidRPr="00236CC3">
        <w:rPr>
          <w:rFonts w:ascii="Tahoma" w:eastAsiaTheme="minorHAnsi" w:hAnsi="Tahoma" w:cs="Tahoma"/>
          <w:b/>
          <w:bCs/>
          <w:sz w:val="19"/>
          <w:szCs w:val="19"/>
          <w:rtl/>
        </w:rPr>
        <w:t xml:space="preserve"> מיליון ש"ח עם נר"ת.</w:t>
      </w:r>
      <w:r w:rsidRPr="00236CC3">
        <w:rPr>
          <w:rFonts w:eastAsiaTheme="minorHAnsi"/>
          <w:rtl/>
        </w:rPr>
        <w:t xml:space="preserve"> </w:t>
      </w:r>
      <w:r w:rsidRPr="00236CC3">
        <w:rPr>
          <w:rFonts w:ascii="Tahoma" w:eastAsiaTheme="minorHAnsi" w:hAnsi="Tahoma" w:cs="Tahoma"/>
          <w:sz w:val="19"/>
          <w:szCs w:val="19"/>
          <w:rtl/>
        </w:rPr>
        <w:t>נמצא כי הבדיקות והדיונים שהתקיימו בוועדת המכרזים, בנוגע להרחבת כביש 6</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שהתגבשו באוגוסט 2022 לתוספת שלישית להסכם הזיכיון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הרחבת כביש 6</w:t>
      </w:r>
      <w:r w:rsidRPr="00236CC3">
        <w:rPr>
          <w:rFonts w:ascii="Tahoma" w:eastAsiaTheme="minorHAnsi" w:hAnsi="Tahoma" w:cs="Tahoma" w:hint="cs"/>
          <w:sz w:val="19"/>
          <w:szCs w:val="19"/>
          <w:rtl/>
        </w:rPr>
        <w:t xml:space="preserve"> עד שנת 2028, </w:t>
      </w:r>
      <w:r w:rsidRPr="00236CC3">
        <w:rPr>
          <w:rFonts w:ascii="Tahoma" w:eastAsiaTheme="minorHAnsi" w:hAnsi="Tahoma" w:cs="Tahoma"/>
          <w:sz w:val="19"/>
          <w:szCs w:val="19"/>
          <w:rtl/>
        </w:rPr>
        <w:t>החלו רק בשנת 2020 אף שהעומסים הכבדים בכביש החלו כמה שנים קודם,</w:t>
      </w:r>
      <w:r w:rsidRPr="00236CC3">
        <w:rPr>
          <w:rFonts w:ascii="Tahoma" w:eastAsiaTheme="minorHAnsi" w:hAnsi="Tahoma" w:cs="Tahoma" w:hint="cs"/>
          <w:sz w:val="19"/>
          <w:szCs w:val="19"/>
          <w:rtl/>
        </w:rPr>
        <w:t xml:space="preserve"> ו</w:t>
      </w:r>
      <w:r w:rsidRPr="00236CC3">
        <w:rPr>
          <w:rFonts w:ascii="Tahoma" w:eastAsiaTheme="minorHAnsi" w:hAnsi="Tahoma" w:cs="Tahoma"/>
          <w:sz w:val="19"/>
          <w:szCs w:val="19"/>
          <w:rtl/>
        </w:rPr>
        <w:t xml:space="preserve">מבקר המדינה </w:t>
      </w:r>
      <w:r w:rsidRPr="00236CC3">
        <w:rPr>
          <w:rFonts w:ascii="Tahoma" w:eastAsiaTheme="minorHAnsi" w:hAnsi="Tahoma" w:cs="Tahoma" w:hint="cs"/>
          <w:sz w:val="19"/>
          <w:szCs w:val="19"/>
          <w:rtl/>
        </w:rPr>
        <w:t xml:space="preserve">התריע עליהם </w:t>
      </w:r>
      <w:r w:rsidRPr="00236CC3">
        <w:rPr>
          <w:rFonts w:ascii="Tahoma" w:eastAsiaTheme="minorHAnsi" w:hAnsi="Tahoma" w:cs="Tahoma"/>
          <w:sz w:val="19"/>
          <w:szCs w:val="19"/>
          <w:rtl/>
        </w:rPr>
        <w:t>לפני משרד התחבורה, משרד האוצר וחוצה ישראל.</w:t>
      </w:r>
    </w:p>
    <w:p w14:paraId="436CAC2C"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cs"/>
          <w:b/>
          <w:bCs/>
          <w:sz w:val="19"/>
          <w:szCs w:val="19"/>
          <w:rtl/>
        </w:rPr>
        <w:t>הפער בין תעריפי</w:t>
      </w:r>
      <w:r w:rsidRPr="00236CC3">
        <w:rPr>
          <w:rFonts w:ascii="Tahoma" w:eastAsiaTheme="minorHAnsi" w:hAnsi="Tahoma" w:cs="Tahoma" w:hint="cs"/>
          <w:sz w:val="19"/>
          <w:szCs w:val="19"/>
          <w:rtl/>
        </w:rPr>
        <w:t xml:space="preserve"> </w:t>
      </w:r>
      <w:r w:rsidRPr="00236CC3">
        <w:rPr>
          <w:rFonts w:ascii="Tahoma" w:eastAsiaTheme="minorHAnsi" w:hAnsi="Tahoma" w:cs="Tahoma"/>
          <w:b/>
          <w:bCs/>
          <w:sz w:val="19"/>
          <w:szCs w:val="19"/>
          <w:rtl/>
        </w:rPr>
        <w:t>כביש 6 בקטע המרכזי לעומת כביש 6 צפון</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תעריפי הנסיעה בכבישי אגרה נגזרים בין היתר מעלות ההקמה, התפעול והתחזוקה של הפרויקטים ומגובה המימון שהמדינה משקיעה בהם. בהתאם לחוק, לתקנות ולהסכם הזיכיון, ובאישור הרשות הממונה התעריף לרכב פרטי של מנוי פסקל בכביש 6 במקטע המרכזי לשלושה קטעים ומעלה, ללא קטע 18 (הקטע שבין מחלף עירון למחלף עין תות), נע בין 13.97 ל-23.8 ש"ח, לעומת התעריף של לקוח מזדמן שנע בין 22.39 ל-31.71 ש"ח (בין 62.4% ל-73.4% מהתעריף של לקוח מזדמן), ועם קטע 18 התעריף של מנוי פסקל נע בין</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20.77 ל-30.08 ש"ח, לעומת תעריף של לקוח מזדמן שנע בין 29.19 ל-38.50 (בין 71.2% ל-78.1% לתעריף של לקוח מזדמן). למנוי כביש 6 צפון אין הנחה בתעריף הבסיסי לעומת נוסע מזדמן. התעריף הממוצע לקטע בכביש 6 המרכזי גבוה מזה של כביש 6 צפון בעשרות אחוזים: לרכב פרטי הוא גבוה ב-2.82 ש"ח ו-2.30 ש"ח ללקוח מזדמן ומנוי וידאו בהתאמה (60.1% ו-57.9% בהתאמה). תעריפי קטע 18 של כביש 6 במקטע המרכזי גבוהים ב 5.95 ש"ח ו-3.07 ש"ח ללקוח מזדמן ומנוי וידאו בהתאמה, לעומת תעריפי כביש 6 צפון (64.2% ו-38.6% בהתאמה), זאת על אף הסמיכות הגיאוגרפית והטופוגרפיה הדומה של מקטעי כבישים אלה. שונות זו בתעריפים, בין כביש 6 צפון לקטע 18 ובין התעריף הממוצע לקטע בכביש 6 צפון לעומת כביש 6 במקטע המרכזי, ואי-בהירותם, עלולות ליצור אצל הנוסע, בעיקר הנוסע המזדמן, בלבול, המקשה עליו לקבל החלטות בכל הנוגע לכדאיות אם להשתמש בקטעי הכביש השונים ואם לאו. בביקורת נמצא שמשרד התחבורה ומשרד האוצר, לא שקלו את האפשרות ליצירת האחדה ופישוט של תעריפי כבישי האגרה, בין היתר באמצעות התאמת גובה המימון של המדינה לפרויקטים השונים. </w:t>
      </w:r>
    </w:p>
    <w:p w14:paraId="3B15EEA6"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eastAsia"/>
          <w:b/>
          <w:bCs/>
          <w:sz w:val="19"/>
          <w:szCs w:val="19"/>
          <w:rtl/>
        </w:rPr>
        <w:t>מבנה</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התעריפים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בכביש</w:t>
      </w:r>
      <w:r w:rsidRPr="00236CC3">
        <w:rPr>
          <w:rFonts w:ascii="Tahoma" w:eastAsiaTheme="minorHAnsi" w:hAnsi="Tahoma" w:cs="Tahoma"/>
          <w:b/>
          <w:bCs/>
          <w:sz w:val="19"/>
          <w:szCs w:val="19"/>
          <w:rtl/>
        </w:rPr>
        <w:t xml:space="preserve"> 6 </w:t>
      </w:r>
      <w:r w:rsidRPr="00236CC3">
        <w:rPr>
          <w:rFonts w:ascii="Tahoma" w:eastAsiaTheme="minorHAnsi" w:hAnsi="Tahoma" w:cs="Tahoma" w:hint="eastAsia"/>
          <w:b/>
          <w:bCs/>
          <w:sz w:val="19"/>
          <w:szCs w:val="19"/>
          <w:rtl/>
        </w:rPr>
        <w:t>בקטע</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המרכזי</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למרות העומסים ההולכים וגדלים בכביש, </w:t>
      </w:r>
      <w:r w:rsidRPr="00236CC3">
        <w:rPr>
          <w:rFonts w:ascii="Tahoma" w:eastAsiaTheme="minorHAnsi" w:hAnsi="Tahoma" w:cs="Tahoma"/>
          <w:sz w:val="19"/>
          <w:szCs w:val="19"/>
          <w:rtl/>
        </w:rPr>
        <w:t xml:space="preserve">משרד התחבורה, משרד האוצר וחוצה ישראל לא פעלו </w:t>
      </w:r>
      <w:r w:rsidRPr="00236CC3">
        <w:rPr>
          <w:rFonts w:ascii="Tahoma" w:eastAsiaTheme="minorHAnsi" w:hAnsi="Tahoma" w:cs="Tahoma" w:hint="cs"/>
          <w:sz w:val="19"/>
          <w:szCs w:val="19"/>
          <w:rtl/>
        </w:rPr>
        <w:t xml:space="preserve">בשיתוף עם הזכיין </w:t>
      </w:r>
      <w:r w:rsidRPr="00236CC3">
        <w:rPr>
          <w:rFonts w:ascii="Tahoma" w:eastAsiaTheme="minorHAnsi" w:hAnsi="Tahoma" w:cs="Tahoma"/>
          <w:sz w:val="19"/>
          <w:szCs w:val="19"/>
          <w:rtl/>
        </w:rPr>
        <w:t xml:space="preserve">לשינוי מבנה התעריפים של </w:t>
      </w:r>
      <w:r w:rsidRPr="00236CC3">
        <w:rPr>
          <w:rFonts w:ascii="Tahoma" w:eastAsiaTheme="minorHAnsi" w:hAnsi="Tahoma" w:cs="Tahoma" w:hint="cs"/>
          <w:sz w:val="19"/>
          <w:szCs w:val="19"/>
          <w:rtl/>
        </w:rPr>
        <w:t xml:space="preserve">המקטע המרכזי של </w:t>
      </w:r>
      <w:r w:rsidRPr="00236CC3">
        <w:rPr>
          <w:rFonts w:ascii="Tahoma" w:eastAsiaTheme="minorHAnsi" w:hAnsi="Tahoma" w:cs="Tahoma"/>
          <w:sz w:val="19"/>
          <w:szCs w:val="19"/>
          <w:rtl/>
        </w:rPr>
        <w:t xml:space="preserve">כביש 6 </w:t>
      </w:r>
      <w:r w:rsidRPr="00236CC3">
        <w:rPr>
          <w:rFonts w:ascii="Tahoma" w:eastAsiaTheme="minorHAnsi" w:hAnsi="Tahoma" w:cs="Tahoma" w:hint="cs"/>
          <w:sz w:val="19"/>
          <w:szCs w:val="19"/>
          <w:rtl/>
        </w:rPr>
        <w:t>לגבי רכב פרטי</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כפי שנקבע בהסכם הזיכיון המקורי, </w:t>
      </w:r>
      <w:r w:rsidRPr="00236CC3">
        <w:rPr>
          <w:rFonts w:ascii="Tahoma" w:eastAsiaTheme="minorHAnsi" w:hAnsi="Tahoma" w:cs="Tahoma"/>
          <w:sz w:val="19"/>
          <w:szCs w:val="19"/>
          <w:rtl/>
        </w:rPr>
        <w:t>כך שיהיה קשר בין רמת התעריפים לרמת השירות, על ידי קביעת מבנה תעריפים דיפרנציאלי, באופן שייצור הסטת תנועה משעות העומס לשעות השפל, ותמריץ לעמידה ברמת שירות התואמת לכביש מהיר, ובכך להקטין את הרמה וההיקף של העומסים ולשפר בכך את רמת השירות</w:t>
      </w:r>
      <w:r w:rsidRPr="00236CC3">
        <w:rPr>
          <w:rFonts w:ascii="Tahoma" w:eastAsiaTheme="minorHAnsi" w:hAnsi="Tahoma" w:cs="Tahoma" w:hint="cs"/>
          <w:sz w:val="19"/>
          <w:szCs w:val="19"/>
          <w:rtl/>
        </w:rPr>
        <w:t>.באופן דומה</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 xml:space="preserve">קיים בנתיב המהיר, בו יש תעריף </w:t>
      </w:r>
      <w:r w:rsidRPr="00236CC3">
        <w:rPr>
          <w:rFonts w:ascii="Tahoma" w:eastAsiaTheme="minorHAnsi" w:hAnsi="Tahoma" w:cs="Tahoma" w:hint="cs"/>
          <w:sz w:val="19"/>
          <w:szCs w:val="19"/>
          <w:rtl/>
        </w:rPr>
        <w:t>דינמי</w:t>
      </w:r>
      <w:r w:rsidRPr="00236CC3">
        <w:rPr>
          <w:rFonts w:ascii="Tahoma" w:eastAsiaTheme="minorHAnsi" w:hAnsi="Tahoma" w:cs="Tahoma"/>
          <w:sz w:val="19"/>
          <w:szCs w:val="19"/>
          <w:rtl/>
        </w:rPr>
        <w:t xml:space="preserve"> העולה ככל שהעומסים עולים, והמבטיח מהירות ממוצעת של 70 קמ"ש</w:t>
      </w:r>
      <w:r w:rsidRPr="00236CC3">
        <w:rPr>
          <w:rFonts w:ascii="Tahoma" w:eastAsiaTheme="minorHAnsi" w:hAnsi="Tahoma" w:cs="Tahoma" w:hint="cs"/>
          <w:sz w:val="19"/>
          <w:szCs w:val="19"/>
          <w:rtl/>
        </w:rPr>
        <w:t xml:space="preserve"> </w:t>
      </w:r>
    </w:p>
    <w:p w14:paraId="537127E7"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cs"/>
          <w:b/>
          <w:bCs/>
          <w:sz w:val="19"/>
          <w:szCs w:val="19"/>
          <w:rtl/>
        </w:rPr>
        <w:lastRenderedPageBreak/>
        <w:t>הרחבת כביש 6 בקטע המרכזי</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נמצא כי לאחר ההרחבה האחרונה בשנת 2014, מילא בעל הזיכיון את מחויבותו בעניין הרחבת הכביש, ואין לו מחויבות להרחבות העתידיות</w:t>
      </w:r>
      <w:r w:rsidRPr="00236CC3">
        <w:rPr>
          <w:rFonts w:ascii="Tahoma" w:eastAsiaTheme="minorHAnsi" w:hAnsi="Tahoma" w:cs="Tahoma" w:hint="cs"/>
          <w:sz w:val="19"/>
          <w:szCs w:val="19"/>
          <w:rtl/>
        </w:rPr>
        <w:t xml:space="preserve"> לפי הסכם הזיכיון אלא באמצעות הוראת שינוי</w:t>
      </w:r>
      <w:r w:rsidRPr="00236CC3">
        <w:rPr>
          <w:rFonts w:ascii="Tahoma" w:eastAsiaTheme="minorHAnsi" w:hAnsi="Tahoma" w:cs="Tahoma"/>
          <w:sz w:val="19"/>
          <w:szCs w:val="19"/>
          <w:rtl/>
        </w:rPr>
        <w:t>, ולכן כל הרחבה נוספת אינה חלק מחוזה הזיכיון המקורי שנחתם בשנת 1998 והיא מחייבת היערכות מיוחדת, ובכלל זה תכנון ההרחבה וקביעת היקפה; אומדן עלויות פרויקט ההרחבה; קביעת הגורם המבצע; ולוחות זמנים.</w:t>
      </w:r>
    </w:p>
    <w:p w14:paraId="37149B57"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b/>
          <w:bCs/>
          <w:sz w:val="19"/>
          <w:szCs w:val="19"/>
        </w:rPr>
      </w:pPr>
      <w:r w:rsidRPr="00236CC3">
        <w:rPr>
          <w:rFonts w:ascii="Tahoma" w:eastAsiaTheme="minorHAnsi" w:hAnsi="Tahoma" w:cs="Tahoma" w:hint="cs"/>
          <w:b/>
          <w:bCs/>
          <w:sz w:val="19"/>
          <w:szCs w:val="19"/>
          <w:rtl/>
        </w:rPr>
        <w:t xml:space="preserve">תחזוקת כביש 6 דרום </w:t>
      </w:r>
      <w:r w:rsidRPr="00236CC3">
        <w:rPr>
          <w:rFonts w:ascii="Tahoma" w:eastAsiaTheme="minorHAnsi" w:hAnsi="Tahoma" w:cs="Tahoma" w:hint="cs"/>
          <w:sz w:val="19"/>
          <w:szCs w:val="19"/>
          <w:rtl/>
        </w:rPr>
        <w:t xml:space="preserve">- לעומת יתר קטעי כביש 6 המתוחזקים על ידי הזכיינים, </w:t>
      </w:r>
      <w:r w:rsidRPr="00236CC3">
        <w:rPr>
          <w:rFonts w:ascii="Tahoma" w:eastAsiaTheme="minorHAnsi" w:hAnsi="Tahoma" w:cs="Tahoma"/>
          <w:sz w:val="19"/>
          <w:szCs w:val="19"/>
          <w:rtl/>
        </w:rPr>
        <w:t>נמצא כי עבודות התחזוקה</w:t>
      </w:r>
      <w:r w:rsidRPr="00236CC3">
        <w:rPr>
          <w:rFonts w:ascii="Tahoma" w:eastAsiaTheme="minorHAnsi" w:hAnsi="Tahoma" w:cs="Tahoma" w:hint="cs"/>
          <w:sz w:val="19"/>
          <w:szCs w:val="19"/>
          <w:rtl/>
        </w:rPr>
        <w:t xml:space="preserve"> של כביש 6 דרום מבוצעות</w:t>
      </w:r>
      <w:r w:rsidRPr="00236CC3">
        <w:rPr>
          <w:rFonts w:ascii="Tahoma" w:eastAsiaTheme="minorHAnsi" w:hAnsi="Tahoma" w:cs="Tahoma"/>
          <w:sz w:val="19"/>
          <w:szCs w:val="19"/>
          <w:rtl/>
        </w:rPr>
        <w:t xml:space="preserve"> על ידי נת"י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על פי תוכנית תחזוקה ותעדוף בהתאם לתקציב שמאשרת הממשלה, וכי קיים פער בין הסכום הנדרש לפי מודל התחזוקה שפותח בנת"י - 2.4 מיליארד ש"ח לשנה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לסכום </w:t>
      </w:r>
      <w:r w:rsidRPr="00236CC3">
        <w:rPr>
          <w:rFonts w:ascii="Tahoma" w:eastAsiaTheme="minorHAnsi" w:hAnsi="Tahoma" w:cs="Tahoma" w:hint="cs"/>
          <w:sz w:val="19"/>
          <w:szCs w:val="19"/>
          <w:rtl/>
        </w:rPr>
        <w:t>שתוקצב ו</w:t>
      </w:r>
      <w:r w:rsidRPr="00236CC3">
        <w:rPr>
          <w:rFonts w:ascii="Tahoma" w:eastAsiaTheme="minorHAnsi" w:hAnsi="Tahoma" w:cs="Tahoma"/>
          <w:sz w:val="19"/>
          <w:szCs w:val="19"/>
          <w:rtl/>
        </w:rPr>
        <w:t>שבוצע בפועל - נכון לשנת 2023 - 1.4 מיליארד ש"ח</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משכך חלק מתחזוקת הכבישים אינה ברמה הנדרשת על פי מודל התחזוקה שלה וכתוצאה מכך, </w:t>
      </w:r>
      <w:r w:rsidRPr="00236CC3">
        <w:rPr>
          <w:rFonts w:ascii="Tahoma" w:eastAsiaTheme="minorHAnsi" w:hAnsi="Tahoma" w:cs="Tahoma"/>
          <w:b/>
          <w:bCs/>
          <w:sz w:val="19"/>
          <w:szCs w:val="19"/>
          <w:rtl/>
        </w:rPr>
        <w:t>כביש 6 דרום אינו מתוחזק באותה רמה</w:t>
      </w:r>
      <w:r w:rsidRPr="00236CC3">
        <w:rPr>
          <w:rFonts w:ascii="Tahoma" w:eastAsiaTheme="minorHAnsi" w:hAnsi="Tahoma" w:cs="Tahoma" w:hint="cs"/>
          <w:b/>
          <w:bCs/>
          <w:sz w:val="19"/>
          <w:szCs w:val="19"/>
          <w:rtl/>
        </w:rPr>
        <w:t xml:space="preserve"> הנדרשת</w:t>
      </w:r>
      <w:r w:rsidRPr="00236CC3">
        <w:rPr>
          <w:rFonts w:ascii="Tahoma" w:eastAsiaTheme="minorHAnsi" w:hAnsi="Tahoma" w:cs="Tahoma"/>
          <w:b/>
          <w:bCs/>
          <w:sz w:val="19"/>
          <w:szCs w:val="19"/>
          <w:rtl/>
        </w:rPr>
        <w:t xml:space="preserve"> של כביש 6 </w:t>
      </w:r>
      <w:r w:rsidRPr="00236CC3">
        <w:rPr>
          <w:rFonts w:ascii="Tahoma" w:eastAsiaTheme="minorHAnsi" w:hAnsi="Tahoma" w:cs="Tahoma" w:hint="cs"/>
          <w:b/>
          <w:bCs/>
          <w:sz w:val="19"/>
          <w:szCs w:val="19"/>
          <w:rtl/>
        </w:rPr>
        <w:t xml:space="preserve">במקטע המרכזי </w:t>
      </w:r>
      <w:r w:rsidRPr="00236CC3">
        <w:rPr>
          <w:rFonts w:ascii="Tahoma" w:eastAsiaTheme="minorHAnsi" w:hAnsi="Tahoma" w:cs="Tahoma"/>
          <w:b/>
          <w:bCs/>
          <w:sz w:val="19"/>
          <w:szCs w:val="19"/>
          <w:rtl/>
        </w:rPr>
        <w:t>שבו משולמת אגרה.</w:t>
      </w:r>
    </w:p>
    <w:p w14:paraId="2C982AF4"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כדאיות כלכלית להחלטה שהנתיב שייסלל בפרויקט ההרחבה יופעל כנתיב רב תפוסה (נר"ת)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פרויקט ההרחבה של כביש 6 כולל הוספה של נתיב רביעי בשני הכיוונים ממחלף קסם עד מחלף עירון; הוספה של נתיב שלישי בשני הכיוונים</w:t>
      </w:r>
      <w:r w:rsidRPr="00236CC3">
        <w:rPr>
          <w:rFonts w:eastAsiaTheme="minorHAnsi"/>
          <w:rtl/>
        </w:rPr>
        <w:t xml:space="preserve"> </w:t>
      </w:r>
      <w:r w:rsidRPr="00236CC3">
        <w:rPr>
          <w:rFonts w:ascii="Tahoma" w:eastAsiaTheme="minorHAnsi" w:hAnsi="Tahoma" w:cs="Tahoma"/>
          <w:sz w:val="19"/>
          <w:szCs w:val="19"/>
          <w:rtl/>
        </w:rPr>
        <w:t>ממחלף עירון עד מחלף עין תות; ושדרוג מחלף בית נחמיה.</w:t>
      </w:r>
      <w:r w:rsidRPr="00236CC3">
        <w:rPr>
          <w:rFonts w:ascii="Tahoma" w:eastAsiaTheme="minorHAnsi" w:hAnsi="Tahoma" w:cs="Tahoma" w:hint="cs"/>
          <w:sz w:val="19"/>
          <w:szCs w:val="19"/>
          <w:rtl/>
        </w:rPr>
        <w:t xml:space="preserve"> ל</w:t>
      </w:r>
      <w:r w:rsidRPr="00236CC3">
        <w:rPr>
          <w:rFonts w:ascii="Tahoma" w:eastAsiaTheme="minorHAnsi" w:hAnsi="Tahoma" w:cs="Tahoma"/>
          <w:sz w:val="19"/>
          <w:szCs w:val="19"/>
          <w:rtl/>
        </w:rPr>
        <w:t>החלטת ועדת המכרזים</w:t>
      </w:r>
      <w:r w:rsidRPr="00236CC3">
        <w:rPr>
          <w:rFonts w:ascii="Tahoma" w:eastAsiaTheme="minorHAnsi" w:hAnsi="Tahoma" w:cs="Tahoma" w:hint="cs"/>
          <w:sz w:val="19"/>
          <w:szCs w:val="19"/>
          <w:rtl/>
        </w:rPr>
        <w:t xml:space="preserve"> הבין משרדית ממרץ </w:t>
      </w:r>
      <w:r w:rsidRPr="00236CC3">
        <w:rPr>
          <w:rFonts w:ascii="Tahoma" w:eastAsiaTheme="minorHAnsi" w:hAnsi="Tahoma" w:cs="Tahoma" w:hint="eastAsia"/>
          <w:sz w:val="19"/>
          <w:szCs w:val="19"/>
          <w:rtl/>
        </w:rPr>
        <w:t>שנת</w:t>
      </w:r>
      <w:r w:rsidRPr="00236CC3">
        <w:rPr>
          <w:rFonts w:ascii="Tahoma" w:eastAsiaTheme="minorHAnsi" w:hAnsi="Tahoma" w:cs="Tahoma" w:hint="cs"/>
          <w:sz w:val="19"/>
          <w:szCs w:val="19"/>
          <w:rtl/>
        </w:rPr>
        <w:t xml:space="preserve"> 2021</w:t>
      </w:r>
      <w:r w:rsidRPr="00236CC3">
        <w:rPr>
          <w:rFonts w:ascii="Tahoma" w:eastAsiaTheme="minorHAnsi" w:hAnsi="Tahoma" w:cs="Tahoma"/>
          <w:sz w:val="19"/>
          <w:szCs w:val="19"/>
          <w:rtl/>
        </w:rPr>
        <w:t xml:space="preserve"> שהנתיב יהיה נר"ת מיום פתיחתו אין כדאיות כלכלית, </w:t>
      </w:r>
      <w:r w:rsidRPr="00236CC3">
        <w:rPr>
          <w:rFonts w:ascii="Tahoma" w:eastAsiaTheme="minorHAnsi" w:hAnsi="Tahoma" w:cs="Tahoma" w:hint="eastAsia"/>
          <w:sz w:val="19"/>
          <w:szCs w:val="19"/>
          <w:rtl/>
        </w:rPr>
        <w:t>בהתבסס</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w:t>
      </w:r>
      <w:r w:rsidRPr="00236CC3">
        <w:rPr>
          <w:rFonts w:ascii="Tahoma" w:eastAsiaTheme="minorHAnsi" w:hAnsi="Tahoma" w:cs="Tahoma"/>
          <w:sz w:val="19"/>
          <w:szCs w:val="19"/>
          <w:rtl/>
        </w:rPr>
        <w:t xml:space="preserve"> נתוני יועץ התנועה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התועלת המשקית בשנת 2030 ללא נר"ת היא </w:t>
      </w:r>
      <w:r w:rsidRPr="00236CC3">
        <w:rPr>
          <w:rFonts w:ascii="Tahoma" w:eastAsiaTheme="minorHAnsi" w:hAnsi="Tahoma" w:cs="Tahoma" w:hint="cs"/>
          <w:sz w:val="19"/>
          <w:szCs w:val="19"/>
          <w:rtl/>
        </w:rPr>
        <w:t>390</w:t>
      </w:r>
      <w:r w:rsidRPr="00236CC3">
        <w:rPr>
          <w:rFonts w:ascii="Tahoma" w:eastAsiaTheme="minorHAnsi" w:hAnsi="Tahoma" w:cs="Tahoma"/>
          <w:sz w:val="19"/>
          <w:szCs w:val="19"/>
          <w:rtl/>
        </w:rPr>
        <w:t xml:space="preserve"> מיליון ש"ח לעומת </w:t>
      </w:r>
      <w:r w:rsidRPr="00236CC3">
        <w:rPr>
          <w:rFonts w:ascii="Tahoma" w:eastAsiaTheme="minorHAnsi" w:hAnsi="Tahoma" w:cs="Tahoma" w:hint="cs"/>
          <w:sz w:val="19"/>
          <w:szCs w:val="19"/>
          <w:rtl/>
        </w:rPr>
        <w:t>260</w:t>
      </w:r>
      <w:r w:rsidRPr="00236CC3">
        <w:rPr>
          <w:rFonts w:ascii="Tahoma" w:eastAsiaTheme="minorHAnsi" w:hAnsi="Tahoma" w:cs="Tahoma"/>
          <w:sz w:val="19"/>
          <w:szCs w:val="19"/>
          <w:rtl/>
        </w:rPr>
        <w:t xml:space="preserve"> מיליון ש"ח עם נר"ת (פער של </w:t>
      </w:r>
      <w:r w:rsidRPr="00236CC3">
        <w:rPr>
          <w:rFonts w:ascii="Tahoma" w:eastAsiaTheme="minorHAnsi" w:hAnsi="Tahoma" w:cs="Tahoma" w:hint="cs"/>
          <w:sz w:val="19"/>
          <w:szCs w:val="19"/>
          <w:rtl/>
        </w:rPr>
        <w:t>130</w:t>
      </w:r>
      <w:r w:rsidRPr="00236CC3">
        <w:rPr>
          <w:rFonts w:ascii="Tahoma" w:eastAsiaTheme="minorHAnsi" w:hAnsi="Tahoma" w:cs="Tahoma"/>
          <w:sz w:val="19"/>
          <w:szCs w:val="19"/>
          <w:rtl/>
        </w:rPr>
        <w:t xml:space="preserve"> מיליון ש"ח)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שהכדאיות להפעלת הנתיב כנר"ת היא </w:t>
      </w:r>
      <w:r w:rsidRPr="00236CC3">
        <w:rPr>
          <w:rFonts w:ascii="Tahoma" w:eastAsiaTheme="minorHAnsi" w:hAnsi="Tahoma" w:cs="Tahoma" w:hint="eastAsia"/>
          <w:sz w:val="19"/>
          <w:szCs w:val="19"/>
          <w:rtl/>
        </w:rPr>
        <w:t>רק</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החל משנת 2040. נמצא כי יש סיכון טכנולוגי הנובע מהוספת נר"ת, מאחר ובמועד הדיון בוועדת המכרזים טרם פותחה מערכת טכנולוגית שתדע להבחין בין משתמשי הנר"ת של כביש 6 הזכאים לפטור מאגרה למשתמשים המחויבים באגרה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עוד</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עלה מהדיון האמור, שבמקרה ומערכת ספירת הנוסעים של הנר"ת תיכשל ולא תעמוד ביעדיה, לא ברור כיצד יופעל הנתיב החדש ואם יהפוך מידית לנתיב רגיל, דבר שיגדיל את הכנסות הזכיין ואמור להשפיע על תקופת הארכת הזיכיון. השארת נושא מערכת ספירת הנוסעים של הנר"ת ללא פתרון מול הזכיין פותחת פתח לחילוקי דעות עם הזכיין אשר עלול ליצור עיכובים בהתקדמות הפרויקט ולפגוע בשירות לציבור ובתועלות של המדינה מהפרויקט.</w:t>
      </w:r>
    </w:p>
    <w:p w14:paraId="64B49E04"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eastAsia"/>
          <w:b/>
          <w:bCs/>
          <w:sz w:val="19"/>
          <w:szCs w:val="19"/>
          <w:rtl/>
        </w:rPr>
        <w:t>בחינת</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אופן הפעלת כביש 6 עם סיום תקופת הזיכיון</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תאריך סיום הזיכיון של חברת דרך ארץ צפוי להתארך ב-3 שנים נוספות עד שנת 2032 בשל פרויקט הרחבת הכביש. נמצא כי על אף דברי נציג אגף התקציבים דאז בוועדת המכרזים במרץ 2021, שבתום תקופת הזיכיון בשנת 2032 תופסק גביית האגרה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נכון למועד </w:t>
      </w:r>
      <w:r w:rsidRPr="00236CC3">
        <w:rPr>
          <w:rFonts w:ascii="Tahoma" w:eastAsiaTheme="minorHAnsi" w:hAnsi="Tahoma" w:cs="Tahoma" w:hint="cs"/>
          <w:sz w:val="19"/>
          <w:szCs w:val="19"/>
          <w:rtl/>
        </w:rPr>
        <w:t>תחילת</w:t>
      </w:r>
      <w:r w:rsidRPr="00236CC3">
        <w:rPr>
          <w:rFonts w:ascii="Tahoma" w:eastAsiaTheme="minorHAnsi" w:hAnsi="Tahoma" w:cs="Tahoma"/>
          <w:sz w:val="19"/>
          <w:szCs w:val="19"/>
          <w:rtl/>
        </w:rPr>
        <w:t xml:space="preserve"> הביקורת, </w:t>
      </w:r>
      <w:r w:rsidRPr="00236CC3">
        <w:rPr>
          <w:rFonts w:ascii="Tahoma" w:eastAsiaTheme="minorHAnsi" w:hAnsi="Tahoma" w:cs="Tahoma" w:hint="cs"/>
          <w:sz w:val="19"/>
          <w:szCs w:val="19"/>
          <w:rtl/>
        </w:rPr>
        <w:t>אוגוסט 2023</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לא</w:t>
      </w:r>
      <w:r w:rsidRPr="00236CC3">
        <w:rPr>
          <w:rFonts w:ascii="Tahoma" w:eastAsiaTheme="minorHAnsi" w:hAnsi="Tahoma" w:cs="Tahoma"/>
          <w:sz w:val="19"/>
          <w:szCs w:val="19"/>
          <w:rtl/>
        </w:rPr>
        <w:t xml:space="preserve"> התקיימו דיונים בחברת חוצה ישראל, במשרד התחבורה ובמשרד האוצר על אופן הפעלת כביש 6 עם סיום תקופת הזיכיון. </w:t>
      </w:r>
      <w:r w:rsidRPr="00236CC3">
        <w:rPr>
          <w:rFonts w:ascii="Tahoma" w:eastAsiaTheme="minorHAnsi" w:hAnsi="Tahoma" w:cs="Tahoma" w:hint="cs"/>
          <w:b/>
          <w:bCs/>
          <w:sz w:val="19"/>
          <w:szCs w:val="19"/>
          <w:rtl/>
        </w:rPr>
        <w:t>רק לאחר תחילת הביקורת</w:t>
      </w:r>
      <w:r w:rsidRPr="00236CC3">
        <w:rPr>
          <w:rFonts w:ascii="Tahoma" w:eastAsiaTheme="minorHAnsi" w:hAnsi="Tahoma" w:cs="Tahoma"/>
          <w:b/>
          <w:bCs/>
          <w:sz w:val="19"/>
          <w:szCs w:val="19"/>
          <w:rtl/>
        </w:rPr>
        <w:t>,</w:t>
      </w:r>
      <w:r w:rsidRPr="00236CC3">
        <w:rPr>
          <w:rFonts w:ascii="Tahoma" w:eastAsiaTheme="minorHAnsi" w:hAnsi="Tahoma" w:cs="Tahoma" w:hint="cs"/>
          <w:b/>
          <w:bCs/>
          <w:sz w:val="19"/>
          <w:szCs w:val="19"/>
          <w:rtl/>
        </w:rPr>
        <w:t xml:space="preserve"> חוצה ישראל ומשרד התחבורה החלו לבחון </w:t>
      </w:r>
      <w:r w:rsidRPr="00236CC3">
        <w:rPr>
          <w:rFonts w:ascii="Tahoma" w:eastAsiaTheme="minorHAnsi" w:hAnsi="Tahoma" w:cs="Tahoma"/>
          <w:b/>
          <w:bCs/>
          <w:sz w:val="19"/>
          <w:szCs w:val="19"/>
          <w:rtl/>
        </w:rPr>
        <w:t>4 חלופות להפעלת הכביש</w:t>
      </w:r>
      <w:r w:rsidRPr="00236CC3">
        <w:rPr>
          <w:rFonts w:ascii="Tahoma" w:eastAsiaTheme="minorHAnsi" w:hAnsi="Tahoma" w:cs="Tahoma" w:hint="cs"/>
          <w:b/>
          <w:bCs/>
          <w:sz w:val="19"/>
          <w:szCs w:val="19"/>
          <w:rtl/>
        </w:rPr>
        <w:t xml:space="preserve"> עם סיום תקופת הזיכיון</w:t>
      </w:r>
      <w:r w:rsidRPr="00236CC3">
        <w:rPr>
          <w:rFonts w:ascii="Tahoma" w:eastAsiaTheme="minorHAnsi" w:hAnsi="Tahoma" w:cs="Tahoma"/>
          <w:b/>
          <w:bCs/>
          <w:sz w:val="19"/>
          <w:szCs w:val="19"/>
          <w:rtl/>
        </w:rPr>
        <w:t>:</w:t>
      </w:r>
      <w:r w:rsidRPr="00236CC3">
        <w:rPr>
          <w:rFonts w:ascii="Tahoma" w:eastAsiaTheme="minorHAnsi" w:hAnsi="Tahoma" w:cs="Tahoma"/>
          <w:sz w:val="19"/>
          <w:szCs w:val="19"/>
          <w:rtl/>
        </w:rPr>
        <w:t xml:space="preserve"> תפעול ותחזוקה על ידי המדינה - ללא אגרה; תחזוקת הכביש על ידי זכיין תמורת תשלום תקופתי - ללא אגרה; תפעול ותחזוקת הכביש על ידי זכיין וגביית אגרה דיפרנציאלית לצורך ויסות התנועה; תפעול ותחזוקת הכביש על ידי זכיין וגביית אגרה לצורך פיתוח פרויקטים לשיפור רווחת המשתמשים</w:t>
      </w:r>
      <w:r w:rsidRPr="00236CC3">
        <w:rPr>
          <w:rFonts w:ascii="Tahoma" w:eastAsiaTheme="minorHAnsi" w:hAnsi="Tahoma" w:cs="Tahoma" w:hint="cs"/>
          <w:sz w:val="19"/>
          <w:szCs w:val="19"/>
          <w:rtl/>
        </w:rPr>
        <w:t>.</w:t>
      </w:r>
    </w:p>
    <w:p w14:paraId="001EF552" w14:textId="77777777" w:rsidR="00236CC3" w:rsidRPr="008F2D4E" w:rsidRDefault="00000000" w:rsidP="00236CC3">
      <w:pPr>
        <w:numPr>
          <w:ilvl w:val="0"/>
          <w:numId w:val="21"/>
        </w:numPr>
        <w:spacing w:after="240" w:line="288" w:lineRule="auto"/>
        <w:ind w:left="-6" w:right="-142" w:hanging="567"/>
        <w:rPr>
          <w:rFonts w:ascii="Tahoma" w:eastAsiaTheme="minorHAnsi" w:hAnsi="Tahoma" w:cs="Tahoma"/>
          <w:b/>
          <w:bCs/>
          <w:sz w:val="19"/>
          <w:szCs w:val="19"/>
        </w:rPr>
      </w:pPr>
      <w:r w:rsidRPr="00236CC3">
        <w:rPr>
          <w:rFonts w:ascii="Tahoma" w:eastAsiaTheme="minorHAnsi" w:hAnsi="Tahoma" w:cs="Tahoma" w:hint="eastAsia"/>
          <w:b/>
          <w:bCs/>
          <w:sz w:val="19"/>
          <w:szCs w:val="19"/>
          <w:rtl/>
        </w:rPr>
        <w:lastRenderedPageBreak/>
        <w:t>התעריף</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הבסיסי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לנסיעה</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במנהרות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הכרמל</w:t>
      </w:r>
      <w:r w:rsidRPr="00236CC3">
        <w:rPr>
          <w:rFonts w:ascii="Tahoma" w:eastAsiaTheme="minorHAnsi" w:hAnsi="Tahoma" w:cs="Tahoma" w:hint="cs"/>
          <w:sz w:val="19"/>
          <w:szCs w:val="19"/>
          <w:rtl/>
        </w:rPr>
        <w:t xml:space="preserve"> - התעריף </w:t>
      </w:r>
      <w:r w:rsidRPr="00236CC3">
        <w:rPr>
          <w:rFonts w:ascii="Tahoma" w:eastAsiaTheme="minorHAnsi" w:hAnsi="Tahoma" w:cs="Tahoma"/>
          <w:sz w:val="19"/>
          <w:szCs w:val="19"/>
          <w:rtl/>
        </w:rPr>
        <w:t>הבסיסי של מנהרות הכרמל התייקר</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באופן ריאלי מאז פתיחת מנהרות הכרמל לתנועה, בדצמבר 2010: לרכב פרטי בסכום של </w:t>
      </w:r>
      <w:r w:rsidRPr="00236CC3">
        <w:rPr>
          <w:rFonts w:ascii="Tahoma" w:eastAsiaTheme="minorHAnsi" w:hAnsi="Tahoma" w:cs="Tahoma" w:hint="cs"/>
          <w:sz w:val="19"/>
          <w:szCs w:val="19"/>
          <w:rtl/>
        </w:rPr>
        <w:t>4.39</w:t>
      </w:r>
      <w:r w:rsidRPr="00236CC3">
        <w:rPr>
          <w:rFonts w:ascii="Tahoma" w:eastAsiaTheme="minorHAnsi" w:hAnsi="Tahoma" w:cs="Tahoma"/>
          <w:sz w:val="19"/>
          <w:szCs w:val="19"/>
          <w:rtl/>
        </w:rPr>
        <w:t xml:space="preserve"> ש"ח; לרכב ציבורי בסכום של </w:t>
      </w:r>
      <w:r w:rsidRPr="00236CC3">
        <w:rPr>
          <w:rFonts w:ascii="Tahoma" w:eastAsiaTheme="minorHAnsi" w:hAnsi="Tahoma" w:cs="Tahoma" w:hint="cs"/>
          <w:sz w:val="19"/>
          <w:szCs w:val="19"/>
          <w:rtl/>
        </w:rPr>
        <w:t>13.29</w:t>
      </w:r>
      <w:r w:rsidRPr="00236CC3">
        <w:rPr>
          <w:rFonts w:ascii="Tahoma" w:eastAsiaTheme="minorHAnsi" w:hAnsi="Tahoma" w:cs="Tahoma"/>
          <w:sz w:val="19"/>
          <w:szCs w:val="19"/>
          <w:rtl/>
        </w:rPr>
        <w:t xml:space="preserve"> ש"ח; ולמשאית בסכום של </w:t>
      </w:r>
      <w:r w:rsidRPr="00236CC3">
        <w:rPr>
          <w:rFonts w:ascii="Tahoma" w:eastAsiaTheme="minorHAnsi" w:hAnsi="Tahoma" w:cs="Tahoma" w:hint="cs"/>
          <w:sz w:val="19"/>
          <w:szCs w:val="19"/>
          <w:rtl/>
        </w:rPr>
        <w:t>21.95</w:t>
      </w:r>
      <w:r w:rsidRPr="00236CC3">
        <w:rPr>
          <w:rFonts w:ascii="Tahoma" w:eastAsiaTheme="minorHAnsi" w:hAnsi="Tahoma" w:cs="Tahoma"/>
          <w:sz w:val="19"/>
          <w:szCs w:val="19"/>
          <w:rtl/>
        </w:rPr>
        <w:t xml:space="preserve"> ש"ח (גידול ריאלי של </w:t>
      </w:r>
      <w:r w:rsidRPr="00236CC3">
        <w:rPr>
          <w:rFonts w:ascii="Tahoma" w:eastAsiaTheme="minorHAnsi" w:hAnsi="Tahoma" w:cs="Tahoma" w:hint="cs"/>
          <w:sz w:val="19"/>
          <w:szCs w:val="19"/>
          <w:rtl/>
        </w:rPr>
        <w:t>65.3</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66.3</w:t>
      </w:r>
      <w:r w:rsidRPr="00236CC3">
        <w:rPr>
          <w:rFonts w:ascii="Tahoma" w:eastAsiaTheme="minorHAnsi" w:hAnsi="Tahoma" w:cs="Tahoma"/>
          <w:sz w:val="19"/>
          <w:szCs w:val="19"/>
          <w:rtl/>
        </w:rPr>
        <w:t>% ו-</w:t>
      </w:r>
      <w:r w:rsidRPr="00236CC3">
        <w:rPr>
          <w:rFonts w:ascii="Tahoma" w:eastAsiaTheme="minorHAnsi" w:hAnsi="Tahoma" w:cs="Tahoma" w:hint="cs"/>
          <w:sz w:val="19"/>
          <w:szCs w:val="19"/>
          <w:rtl/>
        </w:rPr>
        <w:t>65.3</w:t>
      </w:r>
      <w:r w:rsidRPr="00236CC3">
        <w:rPr>
          <w:rFonts w:ascii="Tahoma" w:eastAsiaTheme="minorHAnsi" w:hAnsi="Tahoma" w:cs="Tahoma"/>
          <w:sz w:val="19"/>
          <w:szCs w:val="19"/>
          <w:rtl/>
        </w:rPr>
        <w:t xml:space="preserve">% בהתאמה). זאת על אף הפחתת התעריף ומימוש ההנחה שנקבעה בתוספת להסכם הזיכיון מדצמבר 2017 ושמומנה על ידי המדינה במאות מיליוני ש"ח. </w:t>
      </w:r>
      <w:r w:rsidRPr="00236CC3">
        <w:rPr>
          <w:rFonts w:ascii="Tahoma" w:eastAsiaTheme="minorHAnsi" w:hAnsi="Tahoma" w:cs="Tahoma" w:hint="cs"/>
          <w:sz w:val="19"/>
          <w:szCs w:val="19"/>
          <w:rtl/>
        </w:rPr>
        <w:t>התייקרות ריאלית זו נובעת מכך ש</w:t>
      </w:r>
      <w:r w:rsidRPr="00236CC3">
        <w:rPr>
          <w:rFonts w:ascii="Tahoma" w:eastAsiaTheme="minorHAnsi" w:hAnsi="Tahoma" w:cs="Tahoma"/>
          <w:sz w:val="19"/>
          <w:szCs w:val="19"/>
          <w:rtl/>
        </w:rPr>
        <w:t>בנוסף להצמדה למדד</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התעדכן התעריף 3 פעמים בשמונה השנים הראשונות להפעלת המנהרות ממחיר בסיס של 5 ש"ח למחיר של 8 ש"ח</w:t>
      </w:r>
      <w:r w:rsidRPr="00236CC3">
        <w:rPr>
          <w:rFonts w:ascii="Tahoma" w:eastAsiaTheme="minorHAnsi" w:hAnsi="Tahoma" w:cs="Tahoma" w:hint="cs"/>
          <w:sz w:val="19"/>
          <w:szCs w:val="19"/>
          <w:rtl/>
        </w:rPr>
        <w:t xml:space="preserve"> (גידול של 60%), וביחד עם ההצמדה למדד היה שיעור ההתייקרות גבוה בכ-65% משיעור הפחתת התעריף ומימוש ההנחה שניתנו בתוספת להסכם הזיכיון מדצמבר 2017. </w:t>
      </w:r>
      <w:r w:rsidRPr="00236CC3">
        <w:rPr>
          <w:rFonts w:ascii="Tahoma" w:eastAsiaTheme="minorHAnsi" w:hAnsi="Tahoma" w:cs="Tahoma"/>
          <w:sz w:val="19"/>
          <w:szCs w:val="19"/>
          <w:rtl/>
        </w:rPr>
        <w:t xml:space="preserve">מנתוני חברת חוצה ישראל עולה </w:t>
      </w:r>
      <w:r w:rsidRPr="00236CC3">
        <w:rPr>
          <w:rFonts w:ascii="Tahoma" w:eastAsiaTheme="minorHAnsi" w:hAnsi="Tahoma" w:cs="Tahoma" w:hint="cs"/>
          <w:sz w:val="19"/>
          <w:szCs w:val="19"/>
          <w:rtl/>
        </w:rPr>
        <w:t xml:space="preserve">שיותר מ-95% </w:t>
      </w:r>
      <w:r w:rsidRPr="00236CC3">
        <w:rPr>
          <w:rFonts w:ascii="Tahoma" w:eastAsiaTheme="minorHAnsi" w:hAnsi="Tahoma" w:cs="Tahoma"/>
          <w:sz w:val="19"/>
          <w:szCs w:val="19"/>
          <w:rtl/>
        </w:rPr>
        <w:t>ממשתמשי המנהרות נוסעים</w:t>
      </w:r>
      <w:r w:rsidRPr="00236CC3">
        <w:rPr>
          <w:rFonts w:ascii="Tahoma" w:eastAsiaTheme="minorHAnsi" w:hAnsi="Tahoma" w:cs="Tahoma" w:hint="cs"/>
          <w:sz w:val="19"/>
          <w:szCs w:val="19"/>
          <w:rtl/>
        </w:rPr>
        <w:t xml:space="preserve"> ברכב פרטי וכ-11% הם נוסעים מזדמנים.</w:t>
      </w:r>
      <w:r w:rsidRPr="00236CC3">
        <w:rPr>
          <w:rFonts w:ascii="Tahoma" w:eastAsiaTheme="minorHAnsi" w:hAnsi="Tahoma" w:cs="Tahoma"/>
          <w:sz w:val="19"/>
          <w:szCs w:val="19"/>
          <w:rtl/>
        </w:rPr>
        <w:t xml:space="preserve"> נוסעים </w:t>
      </w:r>
      <w:r w:rsidRPr="00236CC3">
        <w:rPr>
          <w:rFonts w:ascii="Tahoma" w:eastAsiaTheme="minorHAnsi" w:hAnsi="Tahoma" w:cs="Tahoma" w:hint="cs"/>
          <w:sz w:val="19"/>
          <w:szCs w:val="19"/>
          <w:rtl/>
        </w:rPr>
        <w:t xml:space="preserve">המשתמשים במנהרות </w:t>
      </w:r>
      <w:r w:rsidRPr="00236CC3">
        <w:rPr>
          <w:rFonts w:ascii="Tahoma" w:eastAsiaTheme="minorHAnsi" w:hAnsi="Tahoma" w:cs="Tahoma"/>
          <w:sz w:val="19"/>
          <w:szCs w:val="19"/>
          <w:rtl/>
        </w:rPr>
        <w:t xml:space="preserve">הלוך ושוב ומשלמים לשני קטעים </w:t>
      </w:r>
      <w:r w:rsidRPr="00236CC3">
        <w:rPr>
          <w:rFonts w:ascii="Tahoma" w:eastAsiaTheme="minorHAnsi" w:hAnsi="Tahoma" w:cs="Tahoma" w:hint="cs"/>
          <w:sz w:val="19"/>
          <w:szCs w:val="19"/>
          <w:rtl/>
        </w:rPr>
        <w:t>40.60</w:t>
      </w:r>
      <w:r w:rsidRPr="00236CC3">
        <w:rPr>
          <w:rFonts w:ascii="Tahoma" w:eastAsiaTheme="minorHAnsi" w:hAnsi="Tahoma" w:cs="Tahoma"/>
          <w:sz w:val="19"/>
          <w:szCs w:val="19"/>
          <w:rtl/>
        </w:rPr>
        <w:t xml:space="preserve"> ש״ח ליום ו-</w:t>
      </w:r>
      <w:r w:rsidRPr="00236CC3">
        <w:rPr>
          <w:rFonts w:ascii="Tahoma" w:eastAsiaTheme="minorHAnsi" w:hAnsi="Tahoma" w:cs="Tahoma" w:hint="cs"/>
          <w:sz w:val="19"/>
          <w:szCs w:val="19"/>
          <w:rtl/>
        </w:rPr>
        <w:t>893.32</w:t>
      </w:r>
      <w:r w:rsidRPr="00236CC3">
        <w:rPr>
          <w:rFonts w:ascii="Tahoma" w:eastAsiaTheme="minorHAnsi" w:hAnsi="Tahoma" w:cs="Tahoma"/>
          <w:sz w:val="19"/>
          <w:szCs w:val="19"/>
          <w:rtl/>
        </w:rPr>
        <w:t xml:space="preserve"> ש"ח בחודש (22 ימים</w:t>
      </w:r>
      <w:r w:rsidRPr="00236CC3">
        <w:rPr>
          <w:rFonts w:ascii="Tahoma" w:eastAsiaTheme="minorHAnsi" w:hAnsi="Tahoma" w:cs="Tahoma" w:hint="cs"/>
          <w:sz w:val="19"/>
          <w:szCs w:val="19"/>
          <w:rtl/>
        </w:rPr>
        <w:t xml:space="preserve"> לפי תעריף למנוי</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זוהי הוצאה משמעותית</w:t>
      </w:r>
      <w:r w:rsidRPr="00236CC3">
        <w:rPr>
          <w:rFonts w:ascii="Tahoma" w:eastAsiaTheme="minorHAnsi" w:hAnsi="Tahoma" w:cs="Tahoma"/>
          <w:sz w:val="19"/>
          <w:szCs w:val="19"/>
          <w:rtl/>
        </w:rPr>
        <w:t xml:space="preserve"> שעלול</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למנוע ממשתמשים פוטנציאלים לנסוע במנהרות. מנתוני חוצה ישראל עולה ששיעור ניצול הקיבולת בשעות השיא נע בין 70% ל-77%. נמצא כי על אף ההנחות יש במנהרות הכרמל עודף קיבולת לא מנוצל, שנע בשעות העומס בין 23% ל-30%, וייתכן שהדבר נובע מהגידול הריאלי של תעריפי הנסיעה. בעבודת יועץ תנועה מספטמבר 2015 עבור חוצה ישראל, הומלץ על שינוי מבנה האגרה באופן שיווסת את התנועה במנהרות בין שעות השיא לשפל, יאפשר ניצול טוב יותר של המנהרות, ייתן יתרון למשתמשים קבועים, ויגדיל ב-30% נסיעות של משתמשים בתדירות בינונית. מעבודה של יועץ תנועה עבור חוצה ישראל, מינואר 2023, עולה </w:t>
      </w:r>
      <w:r w:rsidRPr="008F2D4E">
        <w:rPr>
          <w:rFonts w:ascii="Tahoma" w:eastAsiaTheme="minorHAnsi" w:hAnsi="Tahoma" w:cs="Tahoma"/>
          <w:b/>
          <w:bCs/>
          <w:sz w:val="19"/>
          <w:szCs w:val="19"/>
          <w:rtl/>
        </w:rPr>
        <w:t>שהאגרה עדיין מהווה חסם עיקרי לשימוש גובר במנהרות, וכי אגרה של 3.2 ש"ח לק"מ למנויים נתפסת כיקרה גם בהשוואה לכבישי אגרה אחרים בארץ</w:t>
      </w:r>
      <w:r w:rsidRPr="008F2D4E">
        <w:rPr>
          <w:rFonts w:ascii="Tahoma" w:eastAsiaTheme="minorHAnsi" w:hAnsi="Tahoma" w:cs="Tahoma" w:hint="cs"/>
          <w:b/>
          <w:bCs/>
          <w:sz w:val="19"/>
          <w:szCs w:val="19"/>
          <w:rtl/>
        </w:rPr>
        <w:t xml:space="preserve"> </w:t>
      </w:r>
      <w:r w:rsidRPr="008F2D4E">
        <w:rPr>
          <w:rFonts w:ascii="Tahoma" w:eastAsiaTheme="minorHAnsi" w:hAnsi="Tahoma" w:cs="Tahoma"/>
          <w:b/>
          <w:bCs/>
          <w:sz w:val="19"/>
          <w:szCs w:val="19"/>
          <w:rtl/>
        </w:rPr>
        <w:t xml:space="preserve">- </w:t>
      </w:r>
      <w:r w:rsidRPr="008F2D4E">
        <w:rPr>
          <w:rFonts w:ascii="Tahoma" w:eastAsiaTheme="minorHAnsi" w:hAnsi="Tahoma" w:cs="Tahoma"/>
          <w:b/>
          <w:bCs/>
          <w:sz w:val="19"/>
          <w:szCs w:val="19"/>
          <w:rtl/>
        </w:rPr>
        <w:br/>
      </w:r>
      <w:r w:rsidRPr="008F2D4E">
        <w:rPr>
          <w:rFonts w:ascii="Tahoma" w:eastAsiaTheme="minorHAnsi" w:hAnsi="Tahoma" w:cs="Tahoma" w:hint="cs"/>
          <w:b/>
          <w:bCs/>
          <w:sz w:val="19"/>
          <w:szCs w:val="19"/>
          <w:rtl/>
        </w:rPr>
        <w:t>0.4 - 1.2</w:t>
      </w:r>
      <w:r w:rsidRPr="008F2D4E">
        <w:rPr>
          <w:rFonts w:ascii="Tahoma" w:eastAsiaTheme="minorHAnsi" w:hAnsi="Tahoma" w:cs="Tahoma"/>
          <w:b/>
          <w:bCs/>
          <w:sz w:val="19"/>
          <w:szCs w:val="19"/>
          <w:rtl/>
        </w:rPr>
        <w:t xml:space="preserve"> ש"ח לק"מ בחוצה צפון, 0.44 </w:t>
      </w:r>
      <w:r w:rsidRPr="008F2D4E">
        <w:rPr>
          <w:rFonts w:ascii="Tahoma" w:eastAsiaTheme="minorHAnsi" w:hAnsi="Tahoma" w:cs="Tahoma" w:hint="cs"/>
          <w:b/>
          <w:bCs/>
          <w:sz w:val="19"/>
          <w:szCs w:val="19"/>
          <w:rtl/>
        </w:rPr>
        <w:t xml:space="preserve">ש"ח לק"מ </w:t>
      </w:r>
      <w:r w:rsidRPr="008F2D4E">
        <w:rPr>
          <w:rFonts w:ascii="Tahoma" w:eastAsiaTheme="minorHAnsi" w:hAnsi="Tahoma" w:cs="Tahoma"/>
          <w:b/>
          <w:bCs/>
          <w:sz w:val="19"/>
          <w:szCs w:val="19"/>
          <w:rtl/>
        </w:rPr>
        <w:t xml:space="preserve">בקטע 18 של כביש 6 ועד 0.7 ש"ח </w:t>
      </w:r>
      <w:r w:rsidRPr="008F2D4E">
        <w:rPr>
          <w:rFonts w:ascii="Tahoma" w:eastAsiaTheme="minorHAnsi" w:hAnsi="Tahoma" w:cs="Tahoma" w:hint="cs"/>
          <w:b/>
          <w:bCs/>
          <w:sz w:val="19"/>
          <w:szCs w:val="19"/>
          <w:rtl/>
        </w:rPr>
        <w:t xml:space="preserve">לק"מ </w:t>
      </w:r>
      <w:r w:rsidRPr="008F2D4E">
        <w:rPr>
          <w:rFonts w:ascii="Tahoma" w:eastAsiaTheme="minorHAnsi" w:hAnsi="Tahoma" w:cs="Tahoma"/>
          <w:b/>
          <w:bCs/>
          <w:sz w:val="19"/>
          <w:szCs w:val="19"/>
          <w:rtl/>
        </w:rPr>
        <w:t>בכביש</w:t>
      </w:r>
      <w:r w:rsidRPr="008F2D4E">
        <w:rPr>
          <w:rFonts w:ascii="Tahoma" w:eastAsiaTheme="minorHAnsi" w:hAnsi="Tahoma" w:cs="Tahoma" w:hint="cs"/>
          <w:b/>
          <w:bCs/>
          <w:sz w:val="19"/>
          <w:szCs w:val="19"/>
          <w:rtl/>
        </w:rPr>
        <w:t> </w:t>
      </w:r>
      <w:r w:rsidRPr="008F2D4E">
        <w:rPr>
          <w:rFonts w:ascii="Tahoma" w:eastAsiaTheme="minorHAnsi" w:hAnsi="Tahoma" w:cs="Tahoma"/>
          <w:b/>
          <w:bCs/>
          <w:sz w:val="19"/>
          <w:szCs w:val="19"/>
          <w:rtl/>
        </w:rPr>
        <w:t>6</w:t>
      </w:r>
      <w:r w:rsidRPr="008F2D4E">
        <w:rPr>
          <w:rFonts w:ascii="Tahoma" w:eastAsiaTheme="minorHAnsi" w:hAnsi="Tahoma" w:cs="Tahoma" w:hint="cs"/>
          <w:b/>
          <w:bCs/>
          <w:sz w:val="19"/>
          <w:szCs w:val="19"/>
          <w:rtl/>
        </w:rPr>
        <w:t>.</w:t>
      </w:r>
    </w:p>
    <w:p w14:paraId="3EB5F38D"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eastAsia"/>
          <w:b/>
          <w:bCs/>
          <w:sz w:val="19"/>
          <w:szCs w:val="19"/>
          <w:rtl/>
        </w:rPr>
        <w:t>בחינת</w:t>
      </w:r>
      <w:r w:rsidRPr="00236CC3">
        <w:rPr>
          <w:rFonts w:ascii="Tahoma" w:eastAsiaTheme="minorHAnsi" w:hAnsi="Tahoma" w:cs="Tahoma" w:hint="cs"/>
          <w:b/>
          <w:bCs/>
          <w:sz w:val="19"/>
          <w:szCs w:val="19"/>
          <w:rtl/>
        </w:rPr>
        <w:t xml:space="preserve"> נחיצותם של קווי שאטל נוספים במוקדי תעסוקה במטרופולין תל אביב</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נמצא שיעד השאטל הנוסף </w:t>
      </w:r>
      <w:r w:rsidRPr="00236CC3">
        <w:rPr>
          <w:rFonts w:ascii="Tahoma" w:eastAsiaTheme="minorHAnsi" w:hAnsi="Tahoma" w:cs="Tahoma" w:hint="cs"/>
          <w:sz w:val="19"/>
          <w:szCs w:val="19"/>
          <w:rtl/>
        </w:rPr>
        <w:t xml:space="preserve">מחניון הנתיב המהיר </w:t>
      </w:r>
      <w:r w:rsidRPr="00236CC3">
        <w:rPr>
          <w:rFonts w:ascii="Tahoma" w:eastAsiaTheme="minorHAnsi" w:hAnsi="Tahoma" w:cs="Tahoma"/>
          <w:sz w:val="19"/>
          <w:szCs w:val="19"/>
          <w:rtl/>
        </w:rPr>
        <w:t>לאזור רוטשילד בתל אביב נקבע על ידי חברת חוצה ישראל על סמך סקר שביצעה בפברואר 2018 באמצעות יועץ סקרים ותנועה</w:t>
      </w:r>
      <w:r w:rsidRPr="00236CC3">
        <w:rPr>
          <w:rFonts w:ascii="Tahoma" w:eastAsiaTheme="minorHAnsi" w:hAnsi="Tahoma" w:cs="Tahoma" w:hint="cs"/>
          <w:sz w:val="19"/>
          <w:szCs w:val="19"/>
          <w:rtl/>
        </w:rPr>
        <w:t xml:space="preserve">, ועד אפריל 2024 </w:t>
      </w:r>
      <w:bookmarkStart w:id="52" w:name="_Hlk175481537"/>
      <w:r w:rsidRPr="00236CC3">
        <w:rPr>
          <w:rFonts w:ascii="Tahoma" w:eastAsiaTheme="minorHAnsi" w:hAnsi="Tahoma" w:cs="Tahoma" w:hint="cs"/>
          <w:sz w:val="19"/>
          <w:szCs w:val="19"/>
          <w:rtl/>
        </w:rPr>
        <w:t>לא בוצעו סקרים סדורים נוספים</w:t>
      </w:r>
      <w:bookmarkEnd w:id="52"/>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כמו כן, </w:t>
      </w:r>
      <w:r w:rsidRPr="00236CC3">
        <w:rPr>
          <w:rFonts w:ascii="Tahoma" w:eastAsiaTheme="minorHAnsi" w:hAnsi="Tahoma" w:cs="Tahoma"/>
          <w:sz w:val="19"/>
          <w:szCs w:val="19"/>
          <w:rtl/>
        </w:rPr>
        <w:t>חברת חוצה ישראל אינה מתמחה בעריכת סקרים ובקביעת מסלולים ויעדים של קווי אוטובוס ושאטלים, והבדיקה שנעשתה התמקדה רק בשאטל רוטשילד ולא נבדקה נחיצות של קווי שאטלים למוקדי תעסוקה נוספים במטרופולין תל אביב. עוד נמצא שבחוזה הזיכיון נקבע שעל הזכיין להוסיף קו שאטל נוסף בלבד ולא הובאה בחשבון האפשרות שיהיה צורך להפעיל בעתיד קווים נוספים בהתחשב בהתפתחויות ובצרכים העתידיים, בגידול האוכלוסייה, בהפעלת הרכבת הקלה ועוד</w:t>
      </w:r>
      <w:r w:rsidRPr="00236CC3">
        <w:rPr>
          <w:rFonts w:ascii="Tahoma" w:eastAsiaTheme="minorHAnsi" w:hAnsi="Tahoma" w:cs="Tahoma" w:hint="cs"/>
          <w:sz w:val="19"/>
          <w:szCs w:val="19"/>
          <w:rtl/>
        </w:rPr>
        <w:t>, אלא בהוראת שינוי לחוזה הזיכיון הקיים המצריך ניהול משא ומתן עם הזכיין</w:t>
      </w:r>
      <w:r w:rsidRPr="00236CC3">
        <w:rPr>
          <w:rFonts w:ascii="Tahoma" w:eastAsiaTheme="minorHAnsi" w:hAnsi="Tahoma" w:cs="Tahoma"/>
          <w:sz w:val="19"/>
          <w:szCs w:val="19"/>
          <w:rtl/>
        </w:rPr>
        <w:t xml:space="preserve">. נמצא עוד שנכון ליוני 2024 אן בידי חברת חוצה ישראל מידע </w:t>
      </w:r>
      <w:r w:rsidRPr="00236CC3">
        <w:rPr>
          <w:rFonts w:ascii="Tahoma" w:eastAsiaTheme="minorHAnsi" w:hAnsi="Tahoma" w:cs="Tahoma" w:hint="cs"/>
          <w:sz w:val="19"/>
          <w:szCs w:val="19"/>
          <w:rtl/>
        </w:rPr>
        <w:t xml:space="preserve">שוטף </w:t>
      </w:r>
      <w:r w:rsidRPr="00236CC3">
        <w:rPr>
          <w:rFonts w:ascii="Tahoma" w:eastAsiaTheme="minorHAnsi" w:hAnsi="Tahoma" w:cs="Tahoma"/>
          <w:sz w:val="19"/>
          <w:szCs w:val="19"/>
          <w:rtl/>
        </w:rPr>
        <w:t>על תפוסת השאטלים.</w:t>
      </w:r>
    </w:p>
    <w:p w14:paraId="654D3ADE" w14:textId="77777777" w:rsidR="00236CC3" w:rsidRPr="00236CC3" w:rsidRDefault="00000000" w:rsidP="00236CC3">
      <w:pPr>
        <w:numPr>
          <w:ilvl w:val="0"/>
          <w:numId w:val="21"/>
        </w:numPr>
        <w:spacing w:after="120" w:line="288" w:lineRule="auto"/>
        <w:ind w:left="-6" w:right="-142" w:hanging="567"/>
        <w:rPr>
          <w:rFonts w:ascii="Tahoma" w:eastAsiaTheme="minorHAnsi" w:hAnsi="Tahoma" w:cs="Tahoma"/>
          <w:sz w:val="19"/>
          <w:szCs w:val="19"/>
        </w:rPr>
      </w:pPr>
      <w:r w:rsidRPr="00236CC3">
        <w:rPr>
          <w:rFonts w:ascii="Tahoma" w:eastAsiaTheme="minorHAnsi" w:hAnsi="Tahoma" w:cs="Tahoma" w:hint="cs"/>
          <w:b/>
          <w:bCs/>
          <w:sz w:val="19"/>
          <w:szCs w:val="19"/>
          <w:rtl/>
        </w:rPr>
        <w:t xml:space="preserve">רמת השירות לציבור מצד הזכיינים - </w:t>
      </w:r>
      <w:r w:rsidRPr="00236CC3">
        <w:rPr>
          <w:rFonts w:ascii="Tahoma" w:eastAsiaTheme="minorHAnsi" w:hAnsi="Tahoma" w:cs="Tahoma" w:hint="cs"/>
          <w:sz w:val="19"/>
          <w:szCs w:val="19"/>
          <w:rtl/>
        </w:rPr>
        <w:t>חברת חוצה ישראל כרשות ממונה</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ביצעה סקרי לקוח סמוי במוקדי שירות הלקוחות של זכייני כביש 6 במקטע המרכזי, כביש 6 צפון ובמנהרות הכרמל. כמו כן ביצעה חוצה ישראל סקר נוסעים בקרב משתמשי השאטלים בנתיב המהיר. להלן ממצאים שעלו בסקרים שנעשו על ידי חוצה ישראל:</w:t>
      </w:r>
    </w:p>
    <w:p w14:paraId="5ED84C49" w14:textId="77777777" w:rsidR="00236CC3" w:rsidRPr="00236CC3" w:rsidRDefault="00000000" w:rsidP="00236CC3">
      <w:pPr>
        <w:numPr>
          <w:ilvl w:val="0"/>
          <w:numId w:val="26"/>
        </w:numPr>
        <w:spacing w:after="120" w:line="288" w:lineRule="auto"/>
        <w:ind w:left="516" w:right="-142" w:hanging="505"/>
        <w:rPr>
          <w:rFonts w:ascii="Tahoma" w:eastAsiaTheme="minorHAnsi" w:hAnsi="Tahoma" w:cs="Tahoma"/>
          <w:sz w:val="19"/>
          <w:szCs w:val="19"/>
        </w:rPr>
      </w:pPr>
      <w:bookmarkStart w:id="53" w:name="_Hlk169784359"/>
      <w:r w:rsidRPr="00236CC3">
        <w:rPr>
          <w:rFonts w:ascii="Tahoma" w:eastAsiaTheme="minorHAnsi" w:hAnsi="Tahoma" w:cs="Tahoma" w:hint="cs"/>
          <w:b/>
          <w:bCs/>
          <w:sz w:val="19"/>
          <w:szCs w:val="19"/>
          <w:rtl/>
        </w:rPr>
        <w:lastRenderedPageBreak/>
        <w:t>השירות של מוקד הלקוחות של כביש 6 המקטע המרכזי</w:t>
      </w:r>
      <w:r w:rsidRPr="00236CC3">
        <w:rPr>
          <w:rFonts w:ascii="Tahoma" w:eastAsiaTheme="minorHAnsi" w:hAnsi="Tahoma" w:cs="Tahoma" w:hint="cs"/>
          <w:sz w:val="19"/>
          <w:szCs w:val="19"/>
          <w:rtl/>
        </w:rPr>
        <w:t xml:space="preserve"> </w:t>
      </w:r>
      <w:bookmarkEnd w:id="53"/>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נמצא כי בהתאם לסקר לקוח סמוי, על מוקד שירות הלקוחות של דרך ארץ המפעילה את כביש 6 במקטע המרכזי, שביצעה חוצה ישראל בחודשים מאי-יולי 2022</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זמן ההמתנה הממוצע והחציוני לנציג שירות היה 3:40 דקות ו-3:11 דקות בהתאמה, וב-15 מקרים זמן ההמתנה עלה על שבע דקות. במכתב מאוקטובר 2022 למנכ"ל הזכיין הוצגו זמני ההמתנה הממוצעים בכל אחד מימי השבוע (ימים א'-ו'), אך לא הוצגה התפלגות זמני ההמתנה של 200 השיחות שנערכו, שמהם אפשר ללמוד בכמה מקרים עלו זמני ההמתנה על שבע דקות ובכמה מקרים היו זמני ההמתנה בין שש לשבע דקות וכו', דבר שהיה מאפשר לחשב את שיעור המקרים שבהם היה זמן ההמתנה ממושך ביותר. כמו כן, במכתב האמור לא צוין מה זמן ההמתנה המרבי הנדרש מהזכיין עד לקבלת מענה מנציג אנושי. עלה כי אין בהסכם הזיכיון בין המדינה לזכיין הגדרה של זמן ההמתנה המרבי.</w:t>
      </w:r>
    </w:p>
    <w:p w14:paraId="2AF36D1B" w14:textId="77777777" w:rsidR="00236CC3" w:rsidRPr="00236CC3" w:rsidRDefault="00000000" w:rsidP="00236CC3">
      <w:pPr>
        <w:numPr>
          <w:ilvl w:val="0"/>
          <w:numId w:val="26"/>
        </w:numPr>
        <w:spacing w:after="120" w:line="288" w:lineRule="auto"/>
        <w:ind w:left="516" w:right="-142" w:hanging="505"/>
        <w:rPr>
          <w:rFonts w:ascii="Tahoma" w:eastAsiaTheme="minorHAnsi" w:hAnsi="Tahoma" w:cs="Tahoma"/>
          <w:sz w:val="19"/>
          <w:szCs w:val="19"/>
        </w:rPr>
      </w:pPr>
      <w:r w:rsidRPr="00236CC3">
        <w:rPr>
          <w:rFonts w:ascii="Tahoma" w:eastAsiaTheme="minorHAnsi" w:hAnsi="Tahoma" w:cs="Tahoma" w:hint="cs"/>
          <w:b/>
          <w:bCs/>
          <w:sz w:val="19"/>
          <w:szCs w:val="19"/>
          <w:rtl/>
        </w:rPr>
        <w:t>ה</w:t>
      </w:r>
      <w:r w:rsidRPr="00236CC3">
        <w:rPr>
          <w:rFonts w:ascii="Tahoma" w:eastAsiaTheme="minorHAnsi" w:hAnsi="Tahoma" w:cs="Tahoma"/>
          <w:b/>
          <w:bCs/>
          <w:sz w:val="19"/>
          <w:szCs w:val="19"/>
          <w:rtl/>
        </w:rPr>
        <w:t>שירות של מוקד הלקוחות של מנהרות הכרמל</w:t>
      </w:r>
      <w:r w:rsidRPr="00236CC3">
        <w:rPr>
          <w:rFonts w:ascii="Tahoma" w:eastAsiaTheme="minorHAnsi" w:hAnsi="Tahoma" w:cs="Tahoma"/>
          <w:sz w:val="19"/>
          <w:szCs w:val="19"/>
          <w:rtl/>
        </w:rPr>
        <w:t xml:space="preserve"> - נמצא בסקר כי בשנת 2023 עלה הזמן הממוצע למענה של נציג שירות לעומת 2018 ב-44 שניות - מ 1:26 דקות ל-2:10 דקות ולעומת שנת 2021 ב</w:t>
      </w:r>
      <w:r w:rsidRPr="00236CC3">
        <w:rPr>
          <w:rFonts w:ascii="Tahoma" w:eastAsiaTheme="minorHAnsi" w:hAnsi="Tahoma" w:cs="Tahoma"/>
          <w:sz w:val="19"/>
          <w:szCs w:val="19"/>
          <w:rtl/>
        </w:rPr>
        <w:noBreakHyphen/>
        <w:t>48 שניות- מ-1:22 דקות ל-2:10 דקות. נוסף על כך, בשנת 2023 היה שיעור הממתינים למענה מעל שתי דקות כ-69%, לעומת 16% ו-4% בשנים 2018 ו 2021, בהתאמה.</w:t>
      </w:r>
      <w:r w:rsidRPr="00236CC3">
        <w:rPr>
          <w:rFonts w:eastAsiaTheme="minorHAnsi"/>
          <w:rtl/>
        </w:rPr>
        <w:t xml:space="preserve"> </w:t>
      </w:r>
      <w:r w:rsidRPr="00236CC3">
        <w:rPr>
          <w:rFonts w:ascii="Tahoma" w:eastAsiaTheme="minorHAnsi" w:hAnsi="Tahoma" w:cs="Tahoma"/>
          <w:sz w:val="19"/>
          <w:szCs w:val="19"/>
          <w:rtl/>
        </w:rPr>
        <w:t>נמצא כי בשנת 2023 פחתה רמת השירות לעומת שנת 2018, דבר שבא לידי ביטוי בין היתר בעלייה של כ-51% בזמן הממוצע למענה של נציג שירות ובעלייה בשיעור הממתינים למענה מעל לשתי דקות, מ-16% בשנת 2018 ל-69% בשנת 2023.</w:t>
      </w:r>
      <w:r w:rsidRPr="00236CC3">
        <w:rPr>
          <w:rFonts w:ascii="Tahoma" w:eastAsiaTheme="minorHAnsi" w:hAnsi="Tahoma" w:cs="Tahoma" w:hint="cs"/>
          <w:sz w:val="19"/>
          <w:szCs w:val="19"/>
          <w:rtl/>
        </w:rPr>
        <w:t xml:space="preserve"> </w:t>
      </w:r>
    </w:p>
    <w:p w14:paraId="57AD5D74" w14:textId="77777777" w:rsidR="00236CC3" w:rsidRPr="00236CC3" w:rsidRDefault="00000000" w:rsidP="00236CC3">
      <w:pPr>
        <w:numPr>
          <w:ilvl w:val="0"/>
          <w:numId w:val="26"/>
        </w:numPr>
        <w:spacing w:after="240" w:line="288" w:lineRule="auto"/>
        <w:ind w:left="516" w:right="-142" w:hanging="505"/>
        <w:rPr>
          <w:rFonts w:ascii="Tahoma" w:eastAsiaTheme="minorHAnsi" w:hAnsi="Tahoma" w:cs="Tahoma"/>
          <w:sz w:val="19"/>
          <w:szCs w:val="19"/>
        </w:rPr>
      </w:pPr>
      <w:r w:rsidRPr="00236CC3">
        <w:rPr>
          <w:rFonts w:ascii="Tahoma" w:eastAsiaTheme="minorHAnsi" w:hAnsi="Tahoma" w:cs="Tahoma" w:hint="cs"/>
          <w:b/>
          <w:bCs/>
          <w:sz w:val="19"/>
          <w:szCs w:val="19"/>
          <w:rtl/>
        </w:rPr>
        <w:t>שירות השאטלים מחניון הנתיב המהיר</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על פי סקר נוסעים שערכה חברת חוצה ישראל </w:t>
      </w:r>
      <w:r w:rsidRPr="00236CC3">
        <w:rPr>
          <w:rFonts w:ascii="Tahoma" w:eastAsiaTheme="minorHAnsi" w:hAnsi="Tahoma" w:cs="Tahoma" w:hint="cs"/>
          <w:sz w:val="19"/>
          <w:szCs w:val="19"/>
          <w:rtl/>
        </w:rPr>
        <w:t xml:space="preserve">בשנת 2023 </w:t>
      </w:r>
      <w:r w:rsidRPr="00236CC3">
        <w:rPr>
          <w:rFonts w:ascii="Tahoma" w:eastAsiaTheme="minorHAnsi" w:hAnsi="Tahoma" w:cs="Tahoma"/>
          <w:sz w:val="19"/>
          <w:szCs w:val="19"/>
          <w:rtl/>
        </w:rPr>
        <w:t xml:space="preserve">בקרב משתמשי השאטלים מחניון הנתיב המהיר עלה ששיעור הנוסעים מדי יום פחת במידה ניכרת בהשוואה לשנים קודמות והייתה ירידה של כ-34% במספר הנוסעים הממוצע ליום בהשוואה לשנת 2016; ושיעור המשתמשים בשירות מדי יום ביומו ירד </w:t>
      </w:r>
      <w:r w:rsidRPr="00236CC3">
        <w:rPr>
          <w:rFonts w:ascii="Tahoma" w:eastAsiaTheme="minorHAnsi" w:hAnsi="Tahoma" w:cs="Tahoma" w:hint="cs"/>
          <w:sz w:val="19"/>
          <w:szCs w:val="19"/>
          <w:rtl/>
        </w:rPr>
        <w:t>ב</w:t>
      </w:r>
      <w:r w:rsidRPr="00236CC3">
        <w:rPr>
          <w:rFonts w:ascii="Tahoma" w:eastAsiaTheme="minorHAnsi" w:hAnsi="Tahoma" w:cs="Tahoma"/>
          <w:sz w:val="19"/>
          <w:szCs w:val="19"/>
          <w:rtl/>
        </w:rPr>
        <w:t>יותר מ-50% ל-14%. נמצא שמאז 2015 ישנה ירידה בשימוש בשאטלים, בעיקר בקו השאטל לקריה בתל אביב, שהשימוש בו ירד מ-1,239 ל-760 נוסעים ליום בשעות 06:30 - 09:30 (כ-39%). בקו השאטל לבורסה ירד השימוש מאז שנת 2015 ועד שנת 2020 מ</w:t>
      </w:r>
      <w:r w:rsidRPr="00236CC3">
        <w:rPr>
          <w:rFonts w:ascii="Tahoma" w:eastAsiaTheme="minorHAnsi" w:hAnsi="Tahoma" w:cs="Tahoma"/>
          <w:sz w:val="19"/>
          <w:szCs w:val="19"/>
          <w:rtl/>
        </w:rPr>
        <w:noBreakHyphen/>
        <w:t>823 ל-327 נוסעים ליום באותן שעות (כ-60%), ומאז ועד 2023 ישנה עלייה מ-327 ועד 525 נוסעים (כ-61%), אך היקף השימוש בשאטל לבורסה עדיין נמוך ב-298 נוסעים בין השעות 06:30 - 09:30 (כ-36%) לעומת שנת 2015. בסקר האמור כמחצית מהנוסעים הוסיפו הערות כלליות הנוגעות בעיקר לצורך בהוספת תחנות (בעיקר בשל סגירת תחנת השלום באופן זמני עקב עבודות) ולהוספת חיווי</w:t>
      </w:r>
      <w:r w:rsidRPr="00236CC3">
        <w:rPr>
          <w:rFonts w:ascii="Tahoma" w:eastAsiaTheme="minorHAnsi" w:hAnsi="Tahoma" w:cs="Tahoma" w:hint="cs"/>
          <w:sz w:val="19"/>
          <w:szCs w:val="19"/>
          <w:rtl/>
        </w:rPr>
        <w:t xml:space="preserve"> על מיקום השאטל וזמני הגעה ביישומון.</w:t>
      </w:r>
    </w:p>
    <w:p w14:paraId="30E71145" w14:textId="77777777" w:rsidR="00236CC3" w:rsidRPr="00236CC3" w:rsidRDefault="00000000" w:rsidP="00236CC3">
      <w:pPr>
        <w:numPr>
          <w:ilvl w:val="0"/>
          <w:numId w:val="21"/>
        </w:numPr>
        <w:spacing w:after="120" w:line="288" w:lineRule="auto"/>
        <w:ind w:left="-6" w:right="-142" w:hanging="567"/>
        <w:rPr>
          <w:rFonts w:ascii="Tahoma" w:eastAsiaTheme="minorHAnsi" w:hAnsi="Tahoma" w:cs="Tahoma"/>
          <w:sz w:val="19"/>
          <w:szCs w:val="19"/>
        </w:rPr>
      </w:pPr>
      <w:r w:rsidRPr="00236CC3">
        <w:rPr>
          <w:rFonts w:ascii="Tahoma" w:eastAsiaTheme="minorHAnsi" w:hAnsi="Tahoma" w:cs="Tahoma" w:hint="eastAsia"/>
          <w:b/>
          <w:bCs/>
          <w:sz w:val="19"/>
          <w:szCs w:val="19"/>
          <w:rtl/>
        </w:rPr>
        <w:t>הטיפול</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בנהגים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שהגישו</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ערר</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על</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הודעת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חיוב</w:t>
      </w:r>
      <w:r w:rsidRPr="00236CC3">
        <w:rPr>
          <w:rFonts w:ascii="Tahoma" w:eastAsiaTheme="minorHAnsi" w:hAnsi="Tahoma" w:cs="Tahoma"/>
          <w:sz w:val="19"/>
          <w:szCs w:val="19"/>
          <w:rtl/>
        </w:rPr>
        <w:t xml:space="preserve"> </w:t>
      </w:r>
    </w:p>
    <w:p w14:paraId="2B8E4DA6" w14:textId="77777777" w:rsidR="00236CC3" w:rsidRPr="00236CC3" w:rsidRDefault="00000000" w:rsidP="00236CC3">
      <w:pPr>
        <w:numPr>
          <w:ilvl w:val="0"/>
          <w:numId w:val="26"/>
        </w:numPr>
        <w:spacing w:after="120" w:line="288" w:lineRule="auto"/>
        <w:ind w:left="516" w:right="-142" w:hanging="505"/>
        <w:rPr>
          <w:rFonts w:ascii="Tahoma" w:eastAsiaTheme="minorHAnsi" w:hAnsi="Tahoma" w:cs="Tahoma"/>
          <w:sz w:val="19"/>
          <w:szCs w:val="19"/>
        </w:rPr>
      </w:pPr>
      <w:r w:rsidRPr="00236CC3">
        <w:rPr>
          <w:rFonts w:ascii="Tahoma" w:eastAsiaTheme="minorHAnsi" w:hAnsi="Tahoma" w:cs="Tahoma" w:hint="eastAsia"/>
          <w:b/>
          <w:bCs/>
          <w:sz w:val="19"/>
          <w:szCs w:val="19"/>
          <w:rtl/>
        </w:rPr>
        <w:t>טענות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לאי</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קבלת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החיוב</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בדואר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מרבית העוררים טענו </w:t>
      </w:r>
      <w:r w:rsidRPr="00236CC3">
        <w:rPr>
          <w:rFonts w:ascii="Tahoma" w:eastAsiaTheme="minorHAnsi" w:hAnsi="Tahoma" w:cs="Tahoma" w:hint="cs"/>
          <w:sz w:val="19"/>
          <w:szCs w:val="19"/>
          <w:rtl/>
        </w:rPr>
        <w:t xml:space="preserve">בפני ועדות הערר </w:t>
      </w:r>
      <w:r w:rsidRPr="00236CC3">
        <w:rPr>
          <w:rFonts w:ascii="Tahoma" w:eastAsiaTheme="minorHAnsi" w:hAnsi="Tahoma" w:cs="Tahoma"/>
          <w:sz w:val="19"/>
          <w:szCs w:val="19"/>
          <w:rtl/>
        </w:rPr>
        <w:t xml:space="preserve">שלא קיבלו את הודעת החיוב בדואר. במקטע המרכזי של כביש 6 גדל מספרם מ-399 בשנת 2000 ל-500 ב-2023 (עלייה של כ-25.3%), וחלקם היחסי בכלל העררים עלה מכ 60.2% בשנת 2020 לכ-77.9% בשנת 2023. בכביש 6 צפון עלה מספר העררים בשנים 2020 - 2022 פי שלושה, מ-296 ל-896 עררים (עלייה של כ-203%), ובשנת 2023 ירד מספר העררים ל 595 (ירידה של כ-33.5%), אך ביחס לשנת 2020 זו עדיין עלייה של כ-101%. </w:t>
      </w:r>
    </w:p>
    <w:p w14:paraId="0D459B05" w14:textId="77777777" w:rsidR="00236CC3" w:rsidRPr="00236CC3" w:rsidRDefault="00000000" w:rsidP="00236CC3">
      <w:pPr>
        <w:numPr>
          <w:ilvl w:val="0"/>
          <w:numId w:val="26"/>
        </w:numPr>
        <w:spacing w:after="240" w:line="288" w:lineRule="auto"/>
        <w:ind w:left="516" w:right="-142" w:hanging="505"/>
        <w:rPr>
          <w:rFonts w:ascii="Tahoma" w:eastAsiaTheme="minorHAnsi" w:hAnsi="Tahoma" w:cs="Tahoma"/>
          <w:sz w:val="19"/>
          <w:szCs w:val="19"/>
        </w:rPr>
      </w:pPr>
      <w:r w:rsidRPr="00236CC3">
        <w:rPr>
          <w:rFonts w:ascii="Tahoma" w:eastAsiaTheme="minorHAnsi" w:hAnsi="Tahoma" w:cs="Tahoma" w:hint="eastAsia"/>
          <w:b/>
          <w:bCs/>
          <w:sz w:val="19"/>
          <w:szCs w:val="19"/>
          <w:rtl/>
        </w:rPr>
        <w:lastRenderedPageBreak/>
        <w:t>עררים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פתוחים</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שלא</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טופלו</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נמצא כי החל משנת 2021 מספר העררים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הפתוחים שלא טופלו, של כל אחד מכבישי האגרה נמצא במגמת עלייה ועלה מ-88 תיקים ל-475 תיקים - עלייה של כ-440% (יותר מפי 5)</w:t>
      </w:r>
      <w:r w:rsidRPr="00236CC3">
        <w:rPr>
          <w:rFonts w:ascii="Tahoma" w:eastAsiaTheme="minorHAnsi" w:hAnsi="Tahoma" w:cs="Tahoma"/>
          <w:sz w:val="19"/>
          <w:szCs w:val="19"/>
        </w:rPr>
        <w:t>.</w:t>
      </w:r>
      <w:r w:rsidRPr="00236CC3">
        <w:rPr>
          <w:rFonts w:ascii="Tahoma" w:eastAsiaTheme="minorHAnsi" w:hAnsi="Tahoma" w:cs="Tahoma"/>
          <w:sz w:val="19"/>
          <w:szCs w:val="19"/>
          <w:rtl/>
        </w:rPr>
        <w:t xml:space="preserve"> עוד נמצא כי על פי נתוני מזכירות ועדות הערר שמנהלת הרשות הממונה, ועדת הערר של הנתיב המהיר אינה פועלת מחודש מרץ 2021 עקב אי-מינוי יושב ראש ונציג ציבור. ועדת הערר של מנהרות הכרמל אינה פועלת מחודש יולי 2023 עקב אי-מינוי יושב ראש</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ועדת הערר של כביש 6 צפון לא פעלה במשך כשמונה חודשים בשנת 2022 עקב אי-מינוי יושב ראש לוועד</w:t>
      </w:r>
      <w:r w:rsidRPr="00236CC3">
        <w:rPr>
          <w:rFonts w:ascii="Tahoma" w:eastAsiaTheme="minorHAnsi" w:hAnsi="Tahoma" w:cs="Tahoma" w:hint="cs"/>
          <w:sz w:val="19"/>
          <w:szCs w:val="19"/>
          <w:rtl/>
        </w:rPr>
        <w:t>ה.</w:t>
      </w:r>
    </w:p>
    <w:p w14:paraId="4258CDC2"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Pr>
      </w:pPr>
      <w:r w:rsidRPr="00236CC3">
        <w:rPr>
          <w:rFonts w:ascii="Tahoma" w:eastAsiaTheme="minorHAnsi" w:hAnsi="Tahoma" w:cs="Tahoma" w:hint="eastAsia"/>
          <w:b/>
          <w:bCs/>
          <w:sz w:val="19"/>
          <w:szCs w:val="19"/>
          <w:rtl/>
        </w:rPr>
        <w:t>גביית</w:t>
      </w:r>
      <w:r w:rsidRPr="00236CC3">
        <w:rPr>
          <w:rFonts w:ascii="Tahoma" w:eastAsiaTheme="minorHAnsi" w:hAnsi="Tahoma" w:cs="Tahoma"/>
          <w:b/>
          <w:bCs/>
          <w:sz w:val="19"/>
          <w:szCs w:val="19"/>
          <w:rtl/>
        </w:rPr>
        <w:t xml:space="preserve"> </w:t>
      </w:r>
      <w:r w:rsidRPr="00236CC3">
        <w:rPr>
          <w:rFonts w:ascii="Tahoma" w:eastAsiaTheme="minorHAnsi" w:hAnsi="Tahoma" w:cs="Tahoma" w:hint="eastAsia"/>
          <w:b/>
          <w:bCs/>
          <w:sz w:val="19"/>
          <w:szCs w:val="19"/>
          <w:rtl/>
        </w:rPr>
        <w:t>חובות</w:t>
      </w:r>
      <w:r w:rsidRPr="00236CC3">
        <w:rPr>
          <w:rFonts w:ascii="Tahoma" w:eastAsiaTheme="minorHAnsi" w:hAnsi="Tahoma" w:cs="Tahoma"/>
          <w:b/>
          <w:bCs/>
          <w:sz w:val="19"/>
          <w:szCs w:val="19"/>
          <w:rtl/>
        </w:rPr>
        <w:t xml:space="preserve"> - </w:t>
      </w:r>
      <w:r w:rsidRPr="00236CC3">
        <w:rPr>
          <w:rFonts w:ascii="Tahoma" w:eastAsiaTheme="minorHAnsi" w:hAnsi="Tahoma" w:cs="Tahoma"/>
          <w:sz w:val="19"/>
          <w:szCs w:val="19"/>
          <w:rtl/>
        </w:rPr>
        <w:t xml:space="preserve">לגביית </w:t>
      </w:r>
      <w:r w:rsidRPr="00236CC3">
        <w:rPr>
          <w:rFonts w:ascii="Tahoma" w:eastAsiaTheme="minorHAnsi" w:hAnsi="Tahoma" w:cs="Tahoma" w:hint="cs"/>
          <w:sz w:val="19"/>
          <w:szCs w:val="19"/>
          <w:rtl/>
        </w:rPr>
        <w:t>חובות של נהגים</w:t>
      </w:r>
      <w:r w:rsidRPr="00236CC3">
        <w:rPr>
          <w:rFonts w:ascii="Tahoma" w:eastAsiaTheme="minorHAnsi" w:hAnsi="Tahoma" w:cs="Tahoma"/>
          <w:sz w:val="19"/>
          <w:szCs w:val="19"/>
          <w:rtl/>
        </w:rPr>
        <w:t xml:space="preserve"> פעלו הזכיינים בין היתר בדרך של פתיחת תיק הוצאה לפועל גם על חובות של שקלים בודדים שתפחו למאות שקלים. באוגוסט 2022 נחתם בין המדינה לזכיין כביש 6 בקטע המרכזי הסכם הקלה ולפיו בחובות נמוכים יפתח הזכיין תיקים בהוצאה לפועל רק בחלוף שלושים ימים מיידוע החייבים ורק לאחר קבלת אינדיקציה שהחייב קיבל את הודעת החיוב. הסכם הקלה זה חל רק על החייבים של זכיין כביש 6 במקטע המרכזי, אך לא על החייבים של הזכיינים ביתר כבישי האגרה שלגביהם חוב קטן של 10 ש"ח יכול לצמוח ל-500 ואף 600 ש"ח.</w:t>
      </w:r>
    </w:p>
    <w:p w14:paraId="63DA5521" w14:textId="77777777" w:rsidR="00236CC3" w:rsidRPr="00236CC3" w:rsidRDefault="00000000" w:rsidP="00236CC3">
      <w:pPr>
        <w:numPr>
          <w:ilvl w:val="0"/>
          <w:numId w:val="21"/>
        </w:numPr>
        <w:spacing w:after="240" w:line="288" w:lineRule="auto"/>
        <w:ind w:left="-6" w:right="-142" w:hanging="567"/>
        <w:rPr>
          <w:rFonts w:ascii="Tahoma" w:eastAsiaTheme="minorHAnsi" w:hAnsi="Tahoma" w:cs="Tahoma"/>
          <w:sz w:val="19"/>
          <w:szCs w:val="19"/>
          <w:rtl/>
        </w:rPr>
      </w:pPr>
      <w:r w:rsidRPr="00236CC3">
        <w:rPr>
          <w:rFonts w:ascii="Tahoma" w:eastAsiaTheme="minorHAnsi" w:hAnsi="Tahoma" w:cs="Tahoma"/>
          <w:b/>
          <w:bCs/>
          <w:sz w:val="19"/>
          <w:szCs w:val="19"/>
          <w:rtl/>
        </w:rPr>
        <w:t>דיוני הפקת לקחים</w:t>
      </w:r>
      <w:r w:rsidRPr="00236CC3">
        <w:rPr>
          <w:rFonts w:ascii="Tahoma" w:eastAsiaTheme="minorHAnsi" w:hAnsi="Tahoma" w:cs="Tahoma"/>
          <w:sz w:val="19"/>
          <w:szCs w:val="19"/>
          <w:rtl/>
        </w:rPr>
        <w:t xml:space="preserve"> - בחינת התאמתם של פרויקטים תשתיתיים</w:t>
      </w:r>
      <w:r w:rsidRPr="00236CC3">
        <w:rPr>
          <w:rFonts w:ascii="Tahoma" w:eastAsiaTheme="minorHAnsi" w:hAnsi="Tahoma" w:cs="Tahoma" w:hint="cs"/>
          <w:sz w:val="19"/>
          <w:szCs w:val="19"/>
          <w:rtl/>
        </w:rPr>
        <w:t xml:space="preserve"> לשיטת </w:t>
      </w:r>
      <w:r w:rsidRPr="00236CC3">
        <w:rPr>
          <w:rFonts w:ascii="Tahoma" w:eastAsiaTheme="minorHAnsi" w:hAnsi="Tahoma" w:cs="Tahoma" w:hint="cs"/>
          <w:sz w:val="19"/>
          <w:szCs w:val="19"/>
        </w:rPr>
        <w:t>PPP</w:t>
      </w:r>
      <w:r w:rsidRPr="00236CC3">
        <w:rPr>
          <w:rFonts w:ascii="Tahoma" w:eastAsiaTheme="minorHAnsi" w:hAnsi="Tahoma" w:cs="Tahoma"/>
          <w:sz w:val="19"/>
          <w:szCs w:val="19"/>
          <w:rtl/>
        </w:rPr>
        <w:t>, ובכלל זה כבישי אגרה, מצריכה ממקבלי ההחלטות מטעם המדינה ניסיון וידע רב בתחומים רבים. עקב מורכבות הפרויקטים, תפעולם וניהולם השוטף נדרשים מקבלי ההחלטות</w:t>
      </w:r>
      <w:r w:rsidRPr="00236CC3">
        <w:rPr>
          <w:rFonts w:ascii="Tahoma" w:eastAsiaTheme="minorHAnsi" w:hAnsi="Tahoma" w:cs="Tahoma" w:hint="cs"/>
          <w:sz w:val="19"/>
          <w:szCs w:val="19"/>
          <w:rtl/>
        </w:rPr>
        <w:t xml:space="preserve"> לעשות</w:t>
      </w:r>
      <w:r w:rsidRPr="00236CC3">
        <w:rPr>
          <w:rFonts w:ascii="Tahoma" w:eastAsiaTheme="minorHAnsi" w:hAnsi="Tahoma" w:cs="Tahoma"/>
          <w:sz w:val="19"/>
          <w:szCs w:val="19"/>
          <w:rtl/>
        </w:rPr>
        <w:t xml:space="preserve"> בכל פרויקט לעשות תהליך</w:t>
      </w:r>
      <w:r w:rsidRPr="00236CC3">
        <w:rPr>
          <w:rFonts w:ascii="Tahoma" w:eastAsiaTheme="minorHAnsi" w:hAnsi="Tahoma" w:cs="Tahoma" w:hint="cs"/>
          <w:sz w:val="19"/>
          <w:szCs w:val="19"/>
          <w:rtl/>
        </w:rPr>
        <w:t xml:space="preserve"> סדור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יסודי של הפקת לקחים והסקת מסקנות ו</w:t>
      </w:r>
      <w:r w:rsidRPr="00236CC3">
        <w:rPr>
          <w:rFonts w:ascii="Tahoma" w:eastAsiaTheme="minorHAnsi" w:hAnsi="Tahoma" w:cs="Tahoma" w:hint="cs"/>
          <w:sz w:val="19"/>
          <w:szCs w:val="19"/>
          <w:rtl/>
        </w:rPr>
        <w:t xml:space="preserve">גיבוש </w:t>
      </w:r>
      <w:r w:rsidRPr="00236CC3">
        <w:rPr>
          <w:rFonts w:ascii="Tahoma" w:eastAsiaTheme="minorHAnsi" w:hAnsi="Tahoma" w:cs="Tahoma"/>
          <w:sz w:val="19"/>
          <w:szCs w:val="19"/>
          <w:rtl/>
        </w:rPr>
        <w:t xml:space="preserve">המלצות אופרטיביות לשם יישומן בפרויקטים העתידיים </w:t>
      </w:r>
      <w:r w:rsidRPr="00236CC3">
        <w:rPr>
          <w:rFonts w:ascii="Tahoma" w:eastAsiaTheme="minorHAnsi" w:hAnsi="Tahoma" w:cs="Tahoma" w:hint="cs"/>
          <w:sz w:val="19"/>
          <w:szCs w:val="19"/>
          <w:rtl/>
        </w:rPr>
        <w:t xml:space="preserve">ולשם </w:t>
      </w:r>
      <w:r w:rsidRPr="00236CC3">
        <w:rPr>
          <w:rFonts w:ascii="Tahoma" w:eastAsiaTheme="minorHAnsi" w:hAnsi="Tahoma" w:cs="Tahoma"/>
          <w:sz w:val="19"/>
          <w:szCs w:val="19"/>
          <w:rtl/>
        </w:rPr>
        <w:t>טיוב התהליכים בהכנת המכרזים ובביצוע הפרויקט</w:t>
      </w:r>
      <w:r w:rsidRPr="00236CC3">
        <w:rPr>
          <w:rFonts w:ascii="Tahoma" w:eastAsiaTheme="minorHAnsi" w:hAnsi="Tahoma" w:cs="Tahoma" w:hint="cs"/>
          <w:sz w:val="19"/>
          <w:szCs w:val="19"/>
          <w:rtl/>
        </w:rPr>
        <w:t>ים</w:t>
      </w:r>
      <w:r w:rsidRPr="00236CC3">
        <w:rPr>
          <w:rFonts w:ascii="Tahoma" w:eastAsiaTheme="minorHAnsi" w:hAnsi="Tahoma" w:cs="Tahoma"/>
          <w:sz w:val="19"/>
          <w:szCs w:val="19"/>
          <w:rtl/>
        </w:rPr>
        <w:t>. עלה בביקורת כי לא נמצאו במשרד האוצר ובמשרד התחבורה מסמכים המעידים כי התקיימו דיוני הפקת לקחים והסקת מסקנות מהפרויקטים הקיימים לצורך יישום הלקחים בפרויקטים עתידיים.</w:t>
      </w:r>
      <w:bookmarkEnd w:id="51"/>
    </w:p>
    <w:p w14:paraId="4A00C208" w14:textId="77777777" w:rsidR="00236CC3" w:rsidRPr="00236CC3" w:rsidRDefault="00000000" w:rsidP="00236CC3">
      <w:pPr>
        <w:spacing w:after="160" w:line="480" w:lineRule="auto"/>
        <w:ind w:left="-284" w:right="-142" w:hanging="454"/>
        <w:rPr>
          <w:rFonts w:ascii="Tahoma" w:eastAsiaTheme="minorHAnsi" w:hAnsi="Tahoma" w:cs="Tahoma"/>
          <w:sz w:val="19"/>
          <w:szCs w:val="19"/>
          <w:rtl/>
        </w:rPr>
      </w:pPr>
      <w:r w:rsidRPr="00236CC3">
        <w:rPr>
          <w:rFonts w:ascii="Tahoma" w:eastAsiaTheme="minorHAnsi" w:hAnsi="Tahoma" w:cs="Tahoma" w:hint="cs"/>
          <w:noProof/>
          <w:sz w:val="19"/>
          <w:szCs w:val="19"/>
          <w:rtl/>
        </w:rPr>
        <w:drawing>
          <wp:inline distT="0" distB="0" distL="0" distR="0" wp14:anchorId="399C8463" wp14:editId="448F8C5A">
            <wp:extent cx="2710450" cy="207831"/>
            <wp:effectExtent l="0" t="0" r="0" b="1905"/>
            <wp:docPr id="97" name="תמונה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1A208E17" w14:textId="77777777" w:rsidR="00236CC3" w:rsidRPr="00236CC3" w:rsidRDefault="00000000" w:rsidP="00236CC3">
      <w:pPr>
        <w:spacing w:line="288" w:lineRule="auto"/>
        <w:ind w:right="-142"/>
        <w:rPr>
          <w:rFonts w:ascii="Tahoma" w:eastAsiaTheme="minorHAnsi" w:hAnsi="Tahoma" w:cs="Tahoma"/>
          <w:sz w:val="19"/>
          <w:szCs w:val="19"/>
          <w:rtl/>
        </w:rPr>
      </w:pPr>
      <w:r w:rsidRPr="00236CC3">
        <w:rPr>
          <w:rFonts w:ascii="Tahoma" w:eastAsiaTheme="minorHAnsi" w:hAnsi="Tahoma" w:cs="Tahoma" w:hint="cs"/>
          <w:b/>
          <w:bCs/>
          <w:sz w:val="19"/>
          <w:szCs w:val="19"/>
          <w:rtl/>
        </w:rPr>
        <w:t xml:space="preserve">חלוקת סיכונים בהרחבת כביש 6 (במקטעים 18-14) - </w:t>
      </w:r>
      <w:r w:rsidRPr="00236CC3">
        <w:rPr>
          <w:rFonts w:ascii="Tahoma" w:eastAsiaTheme="minorHAnsi" w:hAnsi="Tahoma" w:cs="Tahoma" w:hint="cs"/>
          <w:sz w:val="19"/>
          <w:szCs w:val="19"/>
          <w:rtl/>
        </w:rPr>
        <w:t xml:space="preserve">משרד מבקר המדינה מציין לחיוב את חלוקת הסיכונים בין הזכיין למדינה ואת גידור הסיכונים הטמונים בפרויקט הרחבת כביש 6 במקטעים 18-14 שנעשו בצורה ניאותה. זאת, בין היתר בשל הניסיון הרב של חברת חוצה ישראל כרשות ממונה בניהול פרויקטים מסוג זה, ובזכות שכבה ניהולית יציבה בעלת ניסיון רב, המוכיחה את החשיבות של רציפות ניהולית וזיכרון ארגוני. </w:t>
      </w:r>
    </w:p>
    <w:p w14:paraId="6DF7D262" w14:textId="77777777" w:rsidR="00236CC3" w:rsidRPr="00236CC3" w:rsidRDefault="00236CC3" w:rsidP="00236CC3">
      <w:pPr>
        <w:spacing w:line="288" w:lineRule="auto"/>
        <w:ind w:right="-142"/>
        <w:rPr>
          <w:rFonts w:ascii="Tahoma" w:eastAsiaTheme="minorHAnsi" w:hAnsi="Tahoma" w:cs="Tahoma"/>
          <w:sz w:val="19"/>
          <w:szCs w:val="19"/>
          <w:rtl/>
          <w:lang w:eastAsia="he-IL"/>
        </w:rPr>
      </w:pPr>
    </w:p>
    <w:p w14:paraId="574EE51F" w14:textId="77777777" w:rsidR="00236CC3" w:rsidRPr="008F2D4E" w:rsidRDefault="00000000" w:rsidP="00236CC3">
      <w:pPr>
        <w:spacing w:line="288" w:lineRule="auto"/>
        <w:ind w:left="-286" w:right="-142"/>
        <w:rPr>
          <w:rFonts w:ascii="Tahoma" w:eastAsiaTheme="minorHAnsi" w:hAnsi="Tahoma" w:cs="Tahoma"/>
          <w:sz w:val="19"/>
          <w:szCs w:val="19"/>
          <w:rtl/>
          <w:lang w:eastAsia="he-IL"/>
        </w:rPr>
      </w:pPr>
      <w:r w:rsidRPr="00236CC3">
        <w:rPr>
          <w:rFonts w:ascii="Tahoma" w:eastAsiaTheme="minorHAnsi" w:hAnsi="Tahoma" w:cs="Tahoma"/>
          <w:b/>
          <w:bCs/>
          <w:sz w:val="19"/>
          <w:szCs w:val="19"/>
          <w:rtl/>
          <w:lang w:eastAsia="he-IL"/>
        </w:rPr>
        <w:t xml:space="preserve">מבקר המדינה </w:t>
      </w:r>
      <w:r w:rsidRPr="00236CC3">
        <w:rPr>
          <w:rFonts w:ascii="Tahoma" w:eastAsiaTheme="minorHAnsi" w:hAnsi="Tahoma" w:cs="Tahoma" w:hint="cs"/>
          <w:b/>
          <w:bCs/>
          <w:sz w:val="19"/>
          <w:szCs w:val="19"/>
          <w:rtl/>
          <w:lang w:eastAsia="he-IL"/>
        </w:rPr>
        <w:t xml:space="preserve">מתניהו אנגלמן </w:t>
      </w:r>
      <w:r w:rsidRPr="00236CC3">
        <w:rPr>
          <w:rFonts w:ascii="Tahoma" w:eastAsiaTheme="minorHAnsi" w:hAnsi="Tahoma" w:cs="Tahoma"/>
          <w:b/>
          <w:bCs/>
          <w:sz w:val="19"/>
          <w:szCs w:val="19"/>
          <w:rtl/>
          <w:lang w:eastAsia="he-IL"/>
        </w:rPr>
        <w:t xml:space="preserve">ממליץ </w:t>
      </w:r>
      <w:r w:rsidRPr="008F2D4E">
        <w:rPr>
          <w:rFonts w:ascii="Tahoma" w:eastAsiaTheme="minorHAnsi" w:hAnsi="Tahoma" w:cs="Tahoma"/>
          <w:sz w:val="19"/>
          <w:szCs w:val="19"/>
          <w:rtl/>
          <w:lang w:eastAsia="he-IL"/>
        </w:rPr>
        <w:t xml:space="preserve">למשרד התחבורה, למשרד האוצר ולחוצה ישראל לנתח את הכדאיות הכלכלית </w:t>
      </w:r>
      <w:r w:rsidRPr="008F2D4E">
        <w:rPr>
          <w:rFonts w:ascii="Tahoma" w:eastAsiaTheme="minorHAnsi" w:hAnsi="Tahoma" w:cs="Tahoma" w:hint="cs"/>
          <w:sz w:val="19"/>
          <w:szCs w:val="19"/>
          <w:rtl/>
          <w:lang w:eastAsia="he-IL"/>
        </w:rPr>
        <w:t xml:space="preserve">בפועל </w:t>
      </w:r>
      <w:r w:rsidRPr="008F2D4E">
        <w:rPr>
          <w:rFonts w:ascii="Tahoma" w:eastAsiaTheme="minorHAnsi" w:hAnsi="Tahoma" w:cs="Tahoma"/>
          <w:sz w:val="19"/>
          <w:szCs w:val="19"/>
          <w:rtl/>
          <w:lang w:eastAsia="he-IL"/>
        </w:rPr>
        <w:t xml:space="preserve">של </w:t>
      </w:r>
      <w:r w:rsidRPr="008F2D4E">
        <w:rPr>
          <w:rFonts w:ascii="Tahoma" w:eastAsiaTheme="minorHAnsi" w:hAnsi="Tahoma" w:cs="Tahoma" w:hint="cs"/>
          <w:sz w:val="19"/>
          <w:szCs w:val="19"/>
          <w:rtl/>
          <w:lang w:eastAsia="he-IL"/>
        </w:rPr>
        <w:t xml:space="preserve">כבישים שהוקמו בעבר </w:t>
      </w:r>
      <w:r w:rsidRPr="008F2D4E">
        <w:rPr>
          <w:rFonts w:ascii="Tahoma" w:eastAsiaTheme="minorHAnsi" w:hAnsi="Tahoma" w:cs="Tahoma"/>
          <w:sz w:val="19"/>
          <w:szCs w:val="19"/>
          <w:rtl/>
          <w:lang w:eastAsia="he-IL"/>
        </w:rPr>
        <w:t xml:space="preserve">בשיטת </w:t>
      </w:r>
      <w:r w:rsidRPr="008F2D4E">
        <w:rPr>
          <w:rFonts w:ascii="Tahoma" w:eastAsiaTheme="minorHAnsi" w:hAnsi="Tahoma" w:cs="Tahoma"/>
          <w:sz w:val="19"/>
          <w:szCs w:val="19"/>
          <w:lang w:eastAsia="he-IL"/>
        </w:rPr>
        <w:t>PPP</w:t>
      </w:r>
      <w:r w:rsidRPr="008F2D4E">
        <w:rPr>
          <w:rFonts w:ascii="Tahoma" w:eastAsiaTheme="minorHAnsi" w:hAnsi="Tahoma" w:cs="Tahoma"/>
          <w:sz w:val="19"/>
          <w:szCs w:val="19"/>
          <w:rtl/>
          <w:lang w:eastAsia="he-IL"/>
        </w:rPr>
        <w:t xml:space="preserve"> לעומת הקמת כבישים </w:t>
      </w:r>
      <w:r w:rsidRPr="008F2D4E">
        <w:rPr>
          <w:rFonts w:ascii="Tahoma" w:eastAsiaTheme="minorHAnsi" w:hAnsi="Tahoma" w:cs="Tahoma" w:hint="cs"/>
          <w:sz w:val="19"/>
          <w:szCs w:val="19"/>
          <w:rtl/>
          <w:lang w:eastAsia="he-IL"/>
        </w:rPr>
        <w:t>במימון</w:t>
      </w:r>
      <w:r w:rsidRPr="008F2D4E">
        <w:rPr>
          <w:rFonts w:ascii="Tahoma" w:eastAsiaTheme="minorHAnsi" w:hAnsi="Tahoma" w:cs="Tahoma"/>
          <w:sz w:val="19"/>
          <w:szCs w:val="19"/>
          <w:rtl/>
          <w:lang w:eastAsia="he-IL"/>
        </w:rPr>
        <w:t xml:space="preserve"> תקציבי, לשם היערכות מתאימה לקראת פרויקטים דומים בעתיד; לעקוב באופן שוטף אחר עומסי התנועה, אחר תנועת כלי הרכב, מהירות הנסיעה ופרמטרים נוספים ולפעול ליישום פתרונות אופטימליים לבעיה זו בפרק זמן קצר ככל הניתן; להשלים את הרחבת כביש 6 במועד שנקבע; לבחון את סוגיית הנר"ת</w:t>
      </w:r>
      <w:r w:rsidRPr="008F2D4E">
        <w:rPr>
          <w:rFonts w:ascii="Tahoma" w:eastAsiaTheme="minorHAnsi" w:hAnsi="Tahoma" w:cs="Tahoma" w:hint="cs"/>
          <w:sz w:val="19"/>
          <w:szCs w:val="19"/>
          <w:rtl/>
          <w:lang w:eastAsia="he-IL"/>
        </w:rPr>
        <w:t xml:space="preserve">. </w:t>
      </w:r>
      <w:r w:rsidRPr="008F2D4E">
        <w:rPr>
          <w:rFonts w:ascii="Tahoma" w:eastAsiaTheme="minorHAnsi" w:hAnsi="Tahoma" w:cs="Tahoma"/>
          <w:sz w:val="19"/>
          <w:szCs w:val="19"/>
          <w:rtl/>
          <w:lang w:eastAsia="he-IL"/>
        </w:rPr>
        <w:t>מבקר המדינה ממליץ עוד לחברת חוצה ישראל</w:t>
      </w:r>
      <w:r w:rsidRPr="008F2D4E">
        <w:rPr>
          <w:rFonts w:ascii="Tahoma" w:eastAsiaTheme="minorHAnsi" w:hAnsi="Tahoma" w:cs="Tahoma" w:hint="cs"/>
          <w:sz w:val="19"/>
          <w:szCs w:val="19"/>
          <w:rtl/>
          <w:lang w:eastAsia="he-IL"/>
        </w:rPr>
        <w:t>,</w:t>
      </w:r>
      <w:r w:rsidRPr="008F2D4E">
        <w:rPr>
          <w:rFonts w:ascii="Tahoma" w:eastAsiaTheme="minorHAnsi" w:hAnsi="Tahoma" w:cs="Tahoma"/>
          <w:sz w:val="19"/>
          <w:szCs w:val="19"/>
          <w:rtl/>
          <w:lang w:eastAsia="he-IL"/>
        </w:rPr>
        <w:t xml:space="preserve"> למשרד התחבורה</w:t>
      </w:r>
      <w:r w:rsidRPr="008F2D4E">
        <w:rPr>
          <w:rFonts w:ascii="Tahoma" w:eastAsiaTheme="minorHAnsi" w:hAnsi="Tahoma" w:cs="Tahoma" w:hint="cs"/>
          <w:sz w:val="19"/>
          <w:szCs w:val="19"/>
          <w:rtl/>
          <w:lang w:eastAsia="he-IL"/>
        </w:rPr>
        <w:t xml:space="preserve"> ולמשרד האוצר </w:t>
      </w:r>
      <w:r w:rsidRPr="008F2D4E">
        <w:rPr>
          <w:rFonts w:ascii="Tahoma" w:eastAsiaTheme="minorHAnsi" w:hAnsi="Tahoma" w:cs="Tahoma"/>
          <w:sz w:val="19"/>
          <w:szCs w:val="19"/>
          <w:rtl/>
          <w:lang w:eastAsia="he-IL"/>
        </w:rPr>
        <w:t>לבחון ולשקול את האפשרות ליצירת מבנה תעריפים אחיד</w:t>
      </w:r>
      <w:r w:rsidRPr="008F2D4E">
        <w:rPr>
          <w:rFonts w:ascii="Tahoma" w:eastAsiaTheme="minorHAnsi" w:hAnsi="Tahoma" w:cs="Tahoma" w:hint="cs"/>
          <w:sz w:val="19"/>
          <w:szCs w:val="19"/>
          <w:rtl/>
          <w:lang w:eastAsia="he-IL"/>
        </w:rPr>
        <w:t>,</w:t>
      </w:r>
      <w:r w:rsidRPr="008F2D4E">
        <w:rPr>
          <w:rFonts w:ascii="Tahoma" w:eastAsiaTheme="minorHAnsi" w:hAnsi="Tahoma" w:cs="Tahoma"/>
          <w:sz w:val="19"/>
          <w:szCs w:val="19"/>
          <w:rtl/>
          <w:lang w:eastAsia="he-IL"/>
        </w:rPr>
        <w:t xml:space="preserve"> עקבי ולא תנודתי שיהיה לו קשר לסוג הרכב, סוג המנוי ומרחק הנסיעה, זאת כדי למנוע פערים ניכרים בתעריפי הנסיעה ולאפשר לנוסעים שקיפות שתאפשר להם לקבל החלטות מתאימות </w:t>
      </w:r>
      <w:r w:rsidRPr="008F2D4E">
        <w:rPr>
          <w:rFonts w:ascii="Tahoma" w:eastAsiaTheme="minorHAnsi" w:hAnsi="Tahoma" w:cs="Tahoma"/>
          <w:sz w:val="19"/>
          <w:szCs w:val="19"/>
          <w:rtl/>
          <w:lang w:eastAsia="he-IL"/>
        </w:rPr>
        <w:lastRenderedPageBreak/>
        <w:t xml:space="preserve">יותר, כל זאת לנוכח הצפי של הצטרפות זכיינים נוספים, עם ביצוע הארכות לכביש 6; לפעול לגיבוש מבנה תעריפים דיפרנציאלי </w:t>
      </w:r>
      <w:r w:rsidRPr="008F2D4E">
        <w:rPr>
          <w:rFonts w:ascii="Tahoma" w:eastAsiaTheme="minorHAnsi" w:hAnsi="Tahoma" w:cs="Tahoma" w:hint="cs"/>
          <w:sz w:val="19"/>
          <w:szCs w:val="19"/>
          <w:rtl/>
          <w:lang w:eastAsia="he-IL"/>
        </w:rPr>
        <w:t xml:space="preserve">לרכב פרטי </w:t>
      </w:r>
      <w:r w:rsidRPr="008F2D4E">
        <w:rPr>
          <w:rFonts w:ascii="Tahoma" w:eastAsiaTheme="minorHAnsi" w:hAnsi="Tahoma" w:cs="Tahoma"/>
          <w:sz w:val="19"/>
          <w:szCs w:val="19"/>
          <w:rtl/>
          <w:lang w:eastAsia="he-IL"/>
        </w:rPr>
        <w:t>שיהיה תואם לרמת השירות הניתנת בכביש 6 ובאופן שיקטין את רמת העומסים בכביש, ולהגיע מבעוד מועד, בטרם סיום ההרחבה</w:t>
      </w:r>
      <w:r w:rsidRPr="008F2D4E">
        <w:rPr>
          <w:rFonts w:ascii="Tahoma" w:eastAsiaTheme="minorHAnsi" w:hAnsi="Tahoma" w:cs="Tahoma" w:hint="cs"/>
          <w:sz w:val="19"/>
          <w:szCs w:val="19"/>
          <w:rtl/>
          <w:lang w:eastAsia="he-IL"/>
        </w:rPr>
        <w:t>,</w:t>
      </w:r>
      <w:r w:rsidRPr="008F2D4E">
        <w:rPr>
          <w:rFonts w:ascii="Tahoma" w:eastAsiaTheme="minorHAnsi" w:hAnsi="Tahoma" w:cs="Tahoma"/>
          <w:sz w:val="19"/>
          <w:szCs w:val="19"/>
          <w:rtl/>
          <w:lang w:eastAsia="he-IL"/>
        </w:rPr>
        <w:t xml:space="preserve"> להסכמה עם הזכיין כך שעם סיום ההרחבה ייושם מבנה תעריפים דיפרנציאלי התואם לרמת השירות.</w:t>
      </w:r>
    </w:p>
    <w:p w14:paraId="08B8C948" w14:textId="77777777" w:rsidR="00236CC3" w:rsidRDefault="00236CC3" w:rsidP="00236CC3">
      <w:pPr>
        <w:spacing w:line="288" w:lineRule="auto"/>
        <w:ind w:left="-851" w:right="-567"/>
        <w:rPr>
          <w:rFonts w:ascii="Tahoma" w:eastAsiaTheme="minorHAnsi" w:hAnsi="Tahoma" w:cs="Tahoma"/>
          <w:sz w:val="19"/>
          <w:szCs w:val="19"/>
          <w:rtl/>
        </w:rPr>
      </w:pPr>
    </w:p>
    <w:p w14:paraId="340E7BAA" w14:textId="77777777" w:rsidR="008F2D4E" w:rsidRPr="00236CC3" w:rsidRDefault="008F2D4E" w:rsidP="00236CC3">
      <w:pPr>
        <w:spacing w:line="288" w:lineRule="auto"/>
        <w:ind w:left="-851" w:right="-567"/>
        <w:rPr>
          <w:rFonts w:ascii="Tahoma" w:eastAsiaTheme="minorHAnsi" w:hAnsi="Tahoma" w:cs="Tahoma"/>
          <w:sz w:val="19"/>
          <w:szCs w:val="19"/>
          <w:rtl/>
        </w:rPr>
      </w:pPr>
    </w:p>
    <w:p w14:paraId="2AAAFE8D" w14:textId="77777777" w:rsidR="00236CC3" w:rsidRPr="00236CC3" w:rsidRDefault="00236CC3" w:rsidP="00236CC3">
      <w:pPr>
        <w:spacing w:line="288" w:lineRule="auto"/>
        <w:ind w:left="-851" w:right="-567"/>
        <w:rPr>
          <w:rFonts w:ascii="Tahoma" w:eastAsiaTheme="minorHAnsi" w:hAnsi="Tahoma" w:cs="Tahoma"/>
          <w:sz w:val="19"/>
          <w:szCs w:val="19"/>
          <w:rtl/>
        </w:rPr>
      </w:pP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55B26E8D" w14:textId="77777777" w:rsidTr="00236CC3">
        <w:tc>
          <w:tcPr>
            <w:tcW w:w="9783" w:type="dxa"/>
          </w:tcPr>
          <w:p w14:paraId="7CF4403C" w14:textId="77777777" w:rsidR="00236CC3" w:rsidRPr="00AD2D9C" w:rsidRDefault="00000000" w:rsidP="00AD2D9C">
            <w:pPr>
              <w:pStyle w:val="1"/>
              <w:jc w:val="left"/>
              <w:rPr>
                <w:rFonts w:ascii="Tahoma" w:hAnsi="Tahoma" w:cs="Tahoma"/>
                <w:sz w:val="40"/>
                <w:szCs w:val="40"/>
                <w:rtl/>
              </w:rPr>
            </w:pPr>
            <w:bookmarkStart w:id="54" w:name="_Toc179710264"/>
            <w:r w:rsidRPr="00AD2D9C">
              <w:rPr>
                <w:rFonts w:ascii="Tahoma" w:hAnsi="Tahoma" w:cs="Tahoma"/>
                <w:sz w:val="40"/>
                <w:szCs w:val="40"/>
                <w:rtl/>
              </w:rPr>
              <w:t>ענף המוניות בישראל</w:t>
            </w:r>
            <w:bookmarkEnd w:id="54"/>
          </w:p>
          <w:p w14:paraId="415135E8" w14:textId="77777777" w:rsidR="00236CC3" w:rsidRPr="00236CC3" w:rsidRDefault="00236CC3" w:rsidP="00236CC3">
            <w:pPr>
              <w:tabs>
                <w:tab w:val="center" w:pos="4153"/>
                <w:tab w:val="right" w:pos="8306"/>
              </w:tabs>
              <w:spacing w:line="240" w:lineRule="auto"/>
              <w:jc w:val="left"/>
              <w:rPr>
                <w:rtl/>
              </w:rPr>
            </w:pPr>
          </w:p>
          <w:p w14:paraId="638DE5B6" w14:textId="77777777" w:rsidR="00236CC3" w:rsidRPr="00236CC3" w:rsidRDefault="00236CC3" w:rsidP="00236CC3">
            <w:pPr>
              <w:tabs>
                <w:tab w:val="center" w:pos="4153"/>
                <w:tab w:val="right" w:pos="8306"/>
              </w:tabs>
              <w:spacing w:line="240" w:lineRule="auto"/>
              <w:ind w:left="-851"/>
              <w:jc w:val="left"/>
              <w:rPr>
                <w:rtl/>
              </w:rPr>
            </w:pPr>
          </w:p>
        </w:tc>
      </w:tr>
    </w:tbl>
    <w:p w14:paraId="39480598" w14:textId="77777777" w:rsidR="00236CC3" w:rsidRPr="00236CC3" w:rsidRDefault="00000000" w:rsidP="00236CC3">
      <w:pPr>
        <w:ind w:left="-851"/>
        <w:rPr>
          <w:rFonts w:eastAsiaTheme="minorHAnsi"/>
          <w:rtl/>
        </w:rPr>
      </w:pPr>
      <w:r w:rsidRPr="00236CC3">
        <w:rPr>
          <w:rFonts w:ascii="Tahoma" w:eastAsiaTheme="minorHAnsi" w:hAnsi="Tahoma" w:cs="Tahoma"/>
          <w:noProof/>
          <w:rtl/>
        </w:rPr>
        <w:drawing>
          <wp:inline distT="0" distB="0" distL="0" distR="0" wp14:anchorId="52082FFC" wp14:editId="1F25C7D7">
            <wp:extent cx="1674111" cy="381000"/>
            <wp:effectExtent l="0" t="0" r="254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14:paraId="1B0B610D" w14:textId="77777777" w:rsidR="00236CC3" w:rsidRPr="00236CC3" w:rsidRDefault="00236CC3" w:rsidP="00236CC3">
      <w:pPr>
        <w:ind w:left="-710"/>
        <w:rPr>
          <w:rFonts w:eastAsiaTheme="minorHAnsi"/>
          <w:rtl/>
        </w:rPr>
      </w:pPr>
    </w:p>
    <w:tbl>
      <w:tblPr>
        <w:tblStyle w:val="41"/>
        <w:tblpPr w:leftFromText="180" w:rightFromText="180" w:vertAnchor="text" w:tblpXSpec="center" w:tblpY="1"/>
        <w:tblOverlap w:val="never"/>
        <w:bidiVisual/>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580"/>
        <w:gridCol w:w="2032"/>
        <w:gridCol w:w="394"/>
        <w:gridCol w:w="2268"/>
        <w:gridCol w:w="406"/>
        <w:gridCol w:w="2142"/>
        <w:gridCol w:w="9"/>
      </w:tblGrid>
      <w:tr w:rsidR="004F19B3" w14:paraId="7657237D" w14:textId="77777777" w:rsidTr="00236CC3">
        <w:trPr>
          <w:trHeight w:val="283"/>
        </w:trPr>
        <w:tc>
          <w:tcPr>
            <w:tcW w:w="2023" w:type="dxa"/>
            <w:tcBorders>
              <w:bottom w:val="single" w:sz="12" w:space="0" w:color="auto"/>
            </w:tcBorders>
            <w:shd w:val="clear" w:color="auto" w:fill="auto"/>
            <w:vAlign w:val="bottom"/>
          </w:tcPr>
          <w:p w14:paraId="1E96F87B"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72 </w:t>
            </w:r>
            <w:r w:rsidRPr="00D1243A">
              <w:rPr>
                <w:rFonts w:ascii="Tahoma" w:hAnsi="Tahoma" w:cs="Tahoma" w:hint="eastAsia"/>
                <w:b/>
                <w:bCs/>
                <w:spacing w:val="-10"/>
                <w:sz w:val="26"/>
                <w:szCs w:val="26"/>
                <w:rtl/>
              </w:rPr>
              <w:t>מיליון</w:t>
            </w:r>
            <w:r w:rsidRPr="00D1243A">
              <w:rPr>
                <w:rFonts w:ascii="Tahoma" w:hAnsi="Tahoma" w:cs="Tahoma" w:hint="cs"/>
                <w:b/>
                <w:bCs/>
                <w:spacing w:val="-10"/>
                <w:sz w:val="36"/>
                <w:szCs w:val="36"/>
                <w:rtl/>
              </w:rPr>
              <w:t xml:space="preserve"> </w:t>
            </w:r>
          </w:p>
        </w:tc>
        <w:tc>
          <w:tcPr>
            <w:tcW w:w="580" w:type="dxa"/>
          </w:tcPr>
          <w:p w14:paraId="20C74879" w14:textId="77777777" w:rsidR="00236CC3" w:rsidRPr="00236CC3" w:rsidRDefault="00236CC3" w:rsidP="00236CC3">
            <w:pPr>
              <w:tabs>
                <w:tab w:val="center" w:pos="4153"/>
                <w:tab w:val="right" w:pos="8306"/>
              </w:tabs>
              <w:spacing w:after="60" w:line="240" w:lineRule="auto"/>
              <w:rPr>
                <w:rFonts w:ascii="Tahoma" w:hAnsi="Tahoma" w:cs="Tahoma"/>
                <w:spacing w:val="-10"/>
              </w:rPr>
            </w:pPr>
          </w:p>
        </w:tc>
        <w:tc>
          <w:tcPr>
            <w:tcW w:w="2032" w:type="dxa"/>
            <w:tcBorders>
              <w:bottom w:val="single" w:sz="12" w:space="0" w:color="auto"/>
            </w:tcBorders>
            <w:vAlign w:val="bottom"/>
          </w:tcPr>
          <w:p w14:paraId="18340FDE"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25,050 </w:t>
            </w:r>
          </w:p>
        </w:tc>
        <w:tc>
          <w:tcPr>
            <w:tcW w:w="394" w:type="dxa"/>
          </w:tcPr>
          <w:p w14:paraId="20517D2F" w14:textId="77777777" w:rsidR="00236CC3" w:rsidRPr="00236CC3" w:rsidRDefault="00236CC3" w:rsidP="00236CC3">
            <w:pPr>
              <w:tabs>
                <w:tab w:val="center" w:pos="4153"/>
                <w:tab w:val="right" w:pos="8306"/>
              </w:tabs>
              <w:spacing w:after="60" w:line="240" w:lineRule="auto"/>
              <w:rPr>
                <w:rFonts w:ascii="Tahoma" w:hAnsi="Tahoma" w:cs="Tahoma"/>
                <w:spacing w:val="-10"/>
              </w:rPr>
            </w:pPr>
          </w:p>
        </w:tc>
        <w:tc>
          <w:tcPr>
            <w:tcW w:w="2268" w:type="dxa"/>
            <w:tcBorders>
              <w:bottom w:val="single" w:sz="12" w:space="0" w:color="auto"/>
            </w:tcBorders>
            <w:vAlign w:val="bottom"/>
          </w:tcPr>
          <w:p w14:paraId="713C3D20"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70%</w:t>
            </w:r>
          </w:p>
        </w:tc>
        <w:tc>
          <w:tcPr>
            <w:tcW w:w="406" w:type="dxa"/>
          </w:tcPr>
          <w:p w14:paraId="2F01F8A6" w14:textId="77777777" w:rsidR="00236CC3" w:rsidRPr="00236CC3" w:rsidRDefault="00236CC3" w:rsidP="00236CC3">
            <w:pPr>
              <w:tabs>
                <w:tab w:val="center" w:pos="4153"/>
                <w:tab w:val="right" w:pos="8306"/>
              </w:tabs>
              <w:spacing w:after="60" w:line="240" w:lineRule="auto"/>
              <w:rPr>
                <w:rFonts w:ascii="Tahoma" w:hAnsi="Tahoma" w:cs="Tahoma"/>
                <w:spacing w:val="-10"/>
              </w:rPr>
            </w:pPr>
          </w:p>
        </w:tc>
        <w:tc>
          <w:tcPr>
            <w:tcW w:w="2151" w:type="dxa"/>
            <w:gridSpan w:val="2"/>
            <w:tcBorders>
              <w:bottom w:val="single" w:sz="12" w:space="0" w:color="auto"/>
            </w:tcBorders>
            <w:vAlign w:val="bottom"/>
          </w:tcPr>
          <w:p w14:paraId="79ACD43D"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5,136 </w:t>
            </w:r>
            <w:r w:rsidRPr="00D1243A">
              <w:rPr>
                <w:rFonts w:ascii="Tahoma" w:hAnsi="Tahoma" w:cs="Tahoma" w:hint="eastAsia"/>
                <w:b/>
                <w:bCs/>
                <w:spacing w:val="-10"/>
                <w:sz w:val="26"/>
                <w:szCs w:val="26"/>
                <w:rtl/>
              </w:rPr>
              <w:t>ש</w:t>
            </w:r>
            <w:r w:rsidRPr="00D1243A">
              <w:rPr>
                <w:rFonts w:ascii="Tahoma" w:hAnsi="Tahoma" w:cs="Tahoma"/>
                <w:b/>
                <w:bCs/>
                <w:spacing w:val="-10"/>
                <w:sz w:val="26"/>
                <w:szCs w:val="26"/>
                <w:rtl/>
              </w:rPr>
              <w:t>"ח</w:t>
            </w:r>
          </w:p>
        </w:tc>
      </w:tr>
      <w:tr w:rsidR="004F19B3" w14:paraId="0797C3D2" w14:textId="77777777" w:rsidTr="00236CC3">
        <w:trPr>
          <w:gridAfter w:val="1"/>
          <w:wAfter w:w="9" w:type="dxa"/>
          <w:trHeight w:val="85"/>
        </w:trPr>
        <w:tc>
          <w:tcPr>
            <w:tcW w:w="9845" w:type="dxa"/>
            <w:gridSpan w:val="7"/>
            <w:shd w:val="clear" w:color="auto" w:fill="auto"/>
            <w:vAlign w:val="center"/>
          </w:tcPr>
          <w:p w14:paraId="07F97204" w14:textId="77777777" w:rsidR="00236CC3" w:rsidRPr="00236CC3" w:rsidRDefault="00236CC3" w:rsidP="00236CC3">
            <w:pPr>
              <w:tabs>
                <w:tab w:val="center" w:pos="4153"/>
                <w:tab w:val="right" w:pos="8306"/>
              </w:tabs>
              <w:spacing w:line="240" w:lineRule="auto"/>
              <w:rPr>
                <w:rFonts w:ascii="Tahoma" w:hAnsi="Tahoma" w:cs="Tahoma"/>
                <w:spacing w:val="-10"/>
                <w:sz w:val="6"/>
                <w:szCs w:val="6"/>
                <w:rtl/>
              </w:rPr>
            </w:pPr>
          </w:p>
        </w:tc>
      </w:tr>
      <w:tr w:rsidR="004F19B3" w14:paraId="283089C0" w14:textId="77777777" w:rsidTr="00236CC3">
        <w:trPr>
          <w:trHeight w:val="1155"/>
        </w:trPr>
        <w:tc>
          <w:tcPr>
            <w:tcW w:w="2023" w:type="dxa"/>
          </w:tcPr>
          <w:p w14:paraId="644003E3" w14:textId="77777777" w:rsidR="00236CC3" w:rsidRPr="00236CC3" w:rsidRDefault="00000000" w:rsidP="00236CC3">
            <w:pPr>
              <w:tabs>
                <w:tab w:val="center" w:pos="4153"/>
                <w:tab w:val="right" w:pos="8306"/>
              </w:tabs>
              <w:spacing w:line="240" w:lineRule="auto"/>
              <w:jc w:val="left"/>
              <w:rPr>
                <w:rFonts w:ascii="Tahoma" w:hAnsi="Tahoma" w:cs="Tahoma"/>
                <w:sz w:val="19"/>
                <w:szCs w:val="19"/>
                <w:rtl/>
                <w:lang w:eastAsia="he-IL"/>
              </w:rPr>
            </w:pPr>
            <w:r w:rsidRPr="00236CC3">
              <w:rPr>
                <w:rFonts w:ascii="Tahoma" w:hAnsi="Tahoma" w:cs="Tahoma" w:hint="cs"/>
                <w:sz w:val="19"/>
                <w:szCs w:val="19"/>
                <w:rtl/>
              </w:rPr>
              <w:t>נסיעות במוניות מיוחדות בשנת 2017, לפי</w:t>
            </w:r>
            <w:r w:rsidRPr="00236CC3">
              <w:rPr>
                <w:rFonts w:ascii="Tahoma" w:hAnsi="Tahoma" w:cs="Tahoma"/>
                <w:sz w:val="19"/>
                <w:szCs w:val="19"/>
                <w:rtl/>
              </w:rPr>
              <w:t xml:space="preserve"> הערכת משרד התחבורה</w:t>
            </w:r>
          </w:p>
          <w:p w14:paraId="06E208F0"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p w14:paraId="287DA120"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p w14:paraId="769B1C77"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580" w:type="dxa"/>
          </w:tcPr>
          <w:p w14:paraId="37A00B40"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032" w:type="dxa"/>
          </w:tcPr>
          <w:p w14:paraId="11DC6035" w14:textId="77777777" w:rsidR="00236CC3" w:rsidRPr="00236CC3" w:rsidRDefault="00000000" w:rsidP="00236CC3">
            <w:pPr>
              <w:tabs>
                <w:tab w:val="center" w:pos="4153"/>
                <w:tab w:val="right" w:pos="8306"/>
              </w:tabs>
              <w:spacing w:line="240" w:lineRule="auto"/>
              <w:jc w:val="left"/>
              <w:rPr>
                <w:rFonts w:ascii="Tahoma" w:eastAsia="Times New Roman" w:hAnsi="Tahoma" w:cs="Tahoma"/>
                <w:sz w:val="19"/>
                <w:szCs w:val="19"/>
                <w:rtl/>
                <w:lang w:eastAsia="he-IL"/>
              </w:rPr>
            </w:pPr>
            <w:r w:rsidRPr="00236CC3">
              <w:rPr>
                <w:rFonts w:ascii="Tahoma" w:eastAsia="Times New Roman" w:hAnsi="Tahoma" w:cs="Tahoma"/>
                <w:sz w:val="19"/>
                <w:szCs w:val="19"/>
                <w:rtl/>
                <w:lang w:eastAsia="he-IL"/>
              </w:rPr>
              <w:t xml:space="preserve">מספר </w:t>
            </w:r>
            <w:r w:rsidRPr="00236CC3">
              <w:rPr>
                <w:rFonts w:ascii="Tahoma" w:eastAsia="Times New Roman" w:hAnsi="Tahoma" w:cs="Tahoma" w:hint="eastAsia"/>
                <w:sz w:val="19"/>
                <w:szCs w:val="19"/>
                <w:rtl/>
                <w:lang w:eastAsia="he-IL"/>
              </w:rPr>
              <w:t>הרישיונות</w:t>
            </w:r>
            <w:r w:rsidRPr="00236CC3">
              <w:rPr>
                <w:rFonts w:ascii="Tahoma" w:eastAsia="Times New Roman" w:hAnsi="Tahoma" w:cs="Tahoma" w:hint="cs"/>
                <w:sz w:val="19"/>
                <w:szCs w:val="19"/>
                <w:rtl/>
                <w:lang w:eastAsia="he-IL"/>
              </w:rPr>
              <w:t xml:space="preserve"> </w:t>
            </w:r>
            <w:r w:rsidRPr="00236CC3">
              <w:rPr>
                <w:rFonts w:ascii="Tahoma" w:eastAsia="Times New Roman" w:hAnsi="Tahoma" w:cs="Tahoma"/>
                <w:sz w:val="19"/>
                <w:szCs w:val="19"/>
                <w:rtl/>
                <w:lang w:eastAsia="he-IL"/>
              </w:rPr>
              <w:t>להפעלת מונית בישראל בסוף שנת 2023</w:t>
            </w:r>
          </w:p>
          <w:p w14:paraId="4E638F72"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394" w:type="dxa"/>
          </w:tcPr>
          <w:p w14:paraId="5C82D91C"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268" w:type="dxa"/>
          </w:tcPr>
          <w:p w14:paraId="22CFF911"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eastAsia="Times New Roman" w:hAnsi="Tahoma" w:cs="Tahoma" w:hint="cs"/>
                <w:sz w:val="19"/>
                <w:szCs w:val="19"/>
                <w:rtl/>
                <w:lang w:eastAsia="he-IL"/>
              </w:rPr>
              <w:t>מתלונות הציבור בשנים 2019 - 2023 שהוגשו לרשות הארצית לתחבורה הציבורית (</w:t>
            </w:r>
            <w:r w:rsidRPr="00236CC3">
              <w:rPr>
                <w:rFonts w:ascii="Tahoma" w:eastAsia="Times New Roman" w:hAnsi="Tahoma" w:cs="Tahoma"/>
                <w:sz w:val="19"/>
                <w:szCs w:val="19"/>
                <w:rtl/>
                <w:lang w:eastAsia="he-IL"/>
              </w:rPr>
              <w:t>4,668 מ</w:t>
            </w:r>
            <w:r w:rsidRPr="00236CC3">
              <w:rPr>
                <w:rFonts w:ascii="Tahoma" w:eastAsia="Times New Roman" w:hAnsi="Tahoma" w:cs="Tahoma" w:hint="cs"/>
                <w:sz w:val="19"/>
                <w:szCs w:val="19"/>
                <w:rtl/>
                <w:lang w:eastAsia="he-IL"/>
              </w:rPr>
              <w:t>-</w:t>
            </w:r>
            <w:r w:rsidRPr="00236CC3">
              <w:rPr>
                <w:rFonts w:ascii="Tahoma" w:eastAsia="Times New Roman" w:hAnsi="Tahoma" w:cs="Tahoma"/>
                <w:sz w:val="19"/>
                <w:szCs w:val="19"/>
                <w:rtl/>
                <w:lang w:eastAsia="he-IL"/>
              </w:rPr>
              <w:t xml:space="preserve">6,641 </w:t>
            </w:r>
            <w:r w:rsidRPr="00236CC3">
              <w:rPr>
                <w:rFonts w:ascii="Tahoma" w:eastAsia="Times New Roman" w:hAnsi="Tahoma" w:cs="Tahoma" w:hint="cs"/>
                <w:sz w:val="19"/>
                <w:szCs w:val="19"/>
                <w:rtl/>
                <w:lang w:eastAsia="he-IL"/>
              </w:rPr>
              <w:t xml:space="preserve">תלונות) </w:t>
            </w:r>
            <w:r w:rsidRPr="00236CC3">
              <w:rPr>
                <w:rFonts w:ascii="Tahoma" w:eastAsia="Times New Roman" w:hAnsi="Tahoma" w:cs="Tahoma"/>
                <w:sz w:val="19"/>
                <w:szCs w:val="19"/>
                <w:rtl/>
                <w:lang w:eastAsia="he-IL"/>
              </w:rPr>
              <w:t>ה</w:t>
            </w:r>
            <w:r w:rsidRPr="00236CC3">
              <w:rPr>
                <w:rFonts w:ascii="Tahoma" w:eastAsia="Times New Roman" w:hAnsi="Tahoma" w:cs="Tahoma" w:hint="cs"/>
                <w:sz w:val="19"/>
                <w:szCs w:val="19"/>
                <w:rtl/>
                <w:lang w:eastAsia="he-IL"/>
              </w:rPr>
              <w:t>יו</w:t>
            </w:r>
            <w:r w:rsidRPr="00236CC3">
              <w:rPr>
                <w:rFonts w:ascii="Tahoma" w:eastAsia="Times New Roman" w:hAnsi="Tahoma" w:cs="Tahoma"/>
                <w:sz w:val="19"/>
                <w:szCs w:val="19"/>
                <w:rtl/>
                <w:lang w:eastAsia="he-IL"/>
              </w:rPr>
              <w:t xml:space="preserve"> תלונות הנוגעות להפקעת מחיר (</w:t>
            </w:r>
            <w:r w:rsidRPr="00236CC3">
              <w:rPr>
                <w:rFonts w:ascii="Tahoma" w:eastAsia="Times New Roman" w:hAnsi="Tahoma" w:cs="Tahoma" w:hint="cs"/>
                <w:sz w:val="19"/>
                <w:szCs w:val="19"/>
                <w:rtl/>
                <w:lang w:eastAsia="he-IL"/>
              </w:rPr>
              <w:t xml:space="preserve">1,761 תלונות, </w:t>
            </w:r>
            <w:r w:rsidRPr="00236CC3">
              <w:rPr>
                <w:rFonts w:ascii="Tahoma" w:eastAsia="Times New Roman" w:hAnsi="Tahoma" w:cs="Tahoma"/>
                <w:sz w:val="19"/>
                <w:szCs w:val="19"/>
                <w:rtl/>
                <w:lang w:eastAsia="he-IL"/>
              </w:rPr>
              <w:t>26.5%), אי</w:t>
            </w:r>
            <w:r w:rsidRPr="00236CC3">
              <w:rPr>
                <w:rFonts w:ascii="Tahoma" w:eastAsia="Times New Roman" w:hAnsi="Tahoma" w:cs="Tahoma" w:hint="cs"/>
                <w:sz w:val="19"/>
                <w:szCs w:val="19"/>
                <w:rtl/>
                <w:lang w:eastAsia="he-IL"/>
              </w:rPr>
              <w:t>-</w:t>
            </w:r>
            <w:r w:rsidRPr="00236CC3">
              <w:rPr>
                <w:rFonts w:ascii="Tahoma" w:eastAsia="Times New Roman" w:hAnsi="Tahoma" w:cs="Tahoma"/>
                <w:sz w:val="19"/>
                <w:szCs w:val="19"/>
                <w:rtl/>
                <w:lang w:eastAsia="he-IL"/>
              </w:rPr>
              <w:t>הפעלת מונה (</w:t>
            </w:r>
            <w:r w:rsidRPr="00236CC3">
              <w:rPr>
                <w:rFonts w:ascii="Tahoma" w:eastAsia="Times New Roman" w:hAnsi="Tahoma" w:cs="Tahoma" w:hint="cs"/>
                <w:sz w:val="19"/>
                <w:szCs w:val="19"/>
                <w:rtl/>
                <w:lang w:eastAsia="he-IL"/>
              </w:rPr>
              <w:t xml:space="preserve">1,448 תלונות, </w:t>
            </w:r>
            <w:r w:rsidRPr="00236CC3">
              <w:rPr>
                <w:rFonts w:ascii="Tahoma" w:eastAsia="Times New Roman" w:hAnsi="Tahoma" w:cs="Tahoma"/>
                <w:sz w:val="19"/>
                <w:szCs w:val="19"/>
                <w:rtl/>
                <w:lang w:eastAsia="he-IL"/>
              </w:rPr>
              <w:t>21.8%)</w:t>
            </w:r>
            <w:r w:rsidRPr="00236CC3">
              <w:rPr>
                <w:rFonts w:ascii="Tahoma" w:eastAsia="Times New Roman" w:hAnsi="Tahoma" w:cs="Tahoma" w:hint="cs"/>
                <w:sz w:val="19"/>
                <w:szCs w:val="19"/>
                <w:rtl/>
                <w:lang w:eastAsia="he-IL"/>
              </w:rPr>
              <w:t>,</w:t>
            </w:r>
            <w:r w:rsidRPr="00236CC3">
              <w:rPr>
                <w:rFonts w:ascii="Tahoma" w:eastAsia="Times New Roman" w:hAnsi="Tahoma" w:cs="Tahoma"/>
                <w:sz w:val="19"/>
                <w:szCs w:val="19"/>
                <w:rtl/>
                <w:lang w:eastAsia="he-IL"/>
              </w:rPr>
              <w:t xml:space="preserve"> </w:t>
            </w:r>
            <w:r w:rsidRPr="00236CC3">
              <w:rPr>
                <w:rFonts w:ascii="Tahoma" w:eastAsia="Times New Roman" w:hAnsi="Tahoma" w:cs="Tahoma" w:hint="eastAsia"/>
                <w:sz w:val="19"/>
                <w:szCs w:val="19"/>
                <w:rtl/>
                <w:lang w:eastAsia="he-IL"/>
              </w:rPr>
              <w:t>ו</w:t>
            </w:r>
            <w:r w:rsidRPr="00236CC3">
              <w:rPr>
                <w:rFonts w:ascii="Tahoma" w:eastAsia="Times New Roman" w:hAnsi="Tahoma" w:cs="Tahoma"/>
                <w:sz w:val="19"/>
                <w:szCs w:val="19"/>
                <w:rtl/>
                <w:lang w:eastAsia="he-IL"/>
              </w:rPr>
              <w:t xml:space="preserve">התנהגות </w:t>
            </w:r>
            <w:r w:rsidRPr="00236CC3">
              <w:rPr>
                <w:rFonts w:ascii="Tahoma" w:eastAsia="Times New Roman" w:hAnsi="Tahoma" w:cs="Tahoma" w:hint="cs"/>
                <w:sz w:val="19"/>
                <w:szCs w:val="19"/>
                <w:rtl/>
                <w:lang w:eastAsia="he-IL"/>
              </w:rPr>
              <w:t>ה</w:t>
            </w:r>
            <w:r w:rsidRPr="00236CC3">
              <w:rPr>
                <w:rFonts w:ascii="Tahoma" w:eastAsia="Times New Roman" w:hAnsi="Tahoma" w:cs="Tahoma"/>
                <w:sz w:val="19"/>
                <w:szCs w:val="19"/>
                <w:rtl/>
                <w:lang w:eastAsia="he-IL"/>
              </w:rPr>
              <w:t>נהג (</w:t>
            </w:r>
            <w:r w:rsidRPr="00236CC3">
              <w:rPr>
                <w:rFonts w:ascii="Tahoma" w:eastAsia="Times New Roman" w:hAnsi="Tahoma" w:cs="Tahoma" w:hint="cs"/>
                <w:sz w:val="19"/>
                <w:szCs w:val="19"/>
                <w:rtl/>
                <w:lang w:eastAsia="he-IL"/>
              </w:rPr>
              <w:t xml:space="preserve">1,459 תלונות, </w:t>
            </w:r>
            <w:r w:rsidRPr="00236CC3">
              <w:rPr>
                <w:rFonts w:ascii="Tahoma" w:eastAsia="Times New Roman" w:hAnsi="Tahoma" w:cs="Tahoma"/>
                <w:sz w:val="19"/>
                <w:szCs w:val="19"/>
                <w:rtl/>
                <w:lang w:eastAsia="he-IL"/>
              </w:rPr>
              <w:t>22%)</w:t>
            </w:r>
          </w:p>
        </w:tc>
        <w:tc>
          <w:tcPr>
            <w:tcW w:w="406" w:type="dxa"/>
          </w:tcPr>
          <w:p w14:paraId="1F92B840"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51" w:type="dxa"/>
            <w:gridSpan w:val="2"/>
          </w:tcPr>
          <w:p w14:paraId="5AB33622"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hAnsi="Tahoma" w:cs="Tahoma"/>
                <w:sz w:val="19"/>
                <w:szCs w:val="19"/>
                <w:rtl/>
              </w:rPr>
              <w:t xml:space="preserve">תוספת </w:t>
            </w:r>
            <w:r w:rsidRPr="00236CC3">
              <w:rPr>
                <w:rFonts w:ascii="Tahoma" w:hAnsi="Tahoma" w:cs="Tahoma" w:hint="cs"/>
                <w:sz w:val="19"/>
                <w:szCs w:val="19"/>
                <w:rtl/>
              </w:rPr>
              <w:t>ה</w:t>
            </w:r>
            <w:r w:rsidRPr="00236CC3">
              <w:rPr>
                <w:rFonts w:ascii="Tahoma" w:hAnsi="Tahoma" w:cs="Tahoma"/>
                <w:sz w:val="19"/>
                <w:szCs w:val="19"/>
                <w:rtl/>
              </w:rPr>
              <w:t>עלות</w:t>
            </w:r>
            <w:r w:rsidRPr="00236CC3">
              <w:rPr>
                <w:rFonts w:ascii="Tahoma" w:hAnsi="Tahoma" w:cs="Tahoma" w:hint="cs"/>
                <w:sz w:val="19"/>
                <w:szCs w:val="19"/>
                <w:rtl/>
              </w:rPr>
              <w:t xml:space="preserve"> המצטברת</w:t>
            </w:r>
            <w:r w:rsidRPr="00236CC3">
              <w:rPr>
                <w:rFonts w:ascii="Tahoma" w:hAnsi="Tahoma" w:cs="Tahoma"/>
                <w:sz w:val="19"/>
                <w:szCs w:val="19"/>
                <w:rtl/>
              </w:rPr>
              <w:t xml:space="preserve"> </w:t>
            </w:r>
            <w:r w:rsidRPr="00236CC3">
              <w:rPr>
                <w:rFonts w:ascii="Tahoma" w:hAnsi="Tahoma" w:cs="Tahoma" w:hint="cs"/>
                <w:sz w:val="19"/>
                <w:szCs w:val="19"/>
                <w:rtl/>
              </w:rPr>
              <w:t xml:space="preserve">שבה נשאו </w:t>
            </w:r>
            <w:r w:rsidRPr="00236CC3">
              <w:rPr>
                <w:rFonts w:ascii="Tahoma" w:hAnsi="Tahoma" w:cs="Tahoma"/>
                <w:sz w:val="19"/>
                <w:szCs w:val="19"/>
                <w:rtl/>
              </w:rPr>
              <w:t>נהגי המוניות בשנים 2020 - 2023</w:t>
            </w:r>
            <w:r w:rsidRPr="00236CC3">
              <w:rPr>
                <w:rFonts w:ascii="Tahoma" w:hAnsi="Tahoma" w:cs="Tahoma" w:hint="cs"/>
                <w:sz w:val="19"/>
                <w:szCs w:val="19"/>
                <w:rtl/>
              </w:rPr>
              <w:t>,</w:t>
            </w:r>
            <w:r w:rsidRPr="00236CC3">
              <w:rPr>
                <w:rFonts w:ascii="Tahoma" w:hAnsi="Tahoma" w:cs="Tahoma"/>
                <w:sz w:val="19"/>
                <w:szCs w:val="19"/>
                <w:rtl/>
              </w:rPr>
              <w:t xml:space="preserve"> בלי שהדבר </w:t>
            </w:r>
            <w:r w:rsidRPr="00236CC3">
              <w:rPr>
                <w:rFonts w:ascii="Tahoma" w:hAnsi="Tahoma" w:cs="Tahoma" w:hint="cs"/>
                <w:sz w:val="19"/>
                <w:szCs w:val="19"/>
                <w:rtl/>
              </w:rPr>
              <w:t>ה</w:t>
            </w:r>
            <w:r w:rsidRPr="00236CC3">
              <w:rPr>
                <w:rFonts w:ascii="Tahoma" w:hAnsi="Tahoma" w:cs="Tahoma"/>
                <w:sz w:val="19"/>
                <w:szCs w:val="19"/>
                <w:rtl/>
              </w:rPr>
              <w:t>תבטא בתעריפי הנסיעה</w:t>
            </w:r>
            <w:r w:rsidRPr="00236CC3">
              <w:rPr>
                <w:rFonts w:ascii="Tahoma" w:hAnsi="Tahoma" w:cs="Tahoma" w:hint="cs"/>
                <w:sz w:val="19"/>
                <w:szCs w:val="19"/>
                <w:rtl/>
              </w:rPr>
              <w:t>,</w:t>
            </w:r>
            <w:r w:rsidRPr="00236CC3">
              <w:rPr>
                <w:rFonts w:ascii="Tahoma" w:hAnsi="Tahoma" w:cs="Tahoma"/>
                <w:sz w:val="19"/>
                <w:szCs w:val="19"/>
                <w:rtl/>
              </w:rPr>
              <w:t xml:space="preserve"> זאת בשל </w:t>
            </w:r>
            <w:r w:rsidRPr="00236CC3">
              <w:rPr>
                <w:rFonts w:ascii="Tahoma" w:hAnsi="Tahoma" w:cs="Tahoma" w:hint="cs"/>
                <w:sz w:val="19"/>
                <w:szCs w:val="19"/>
                <w:rtl/>
              </w:rPr>
              <w:t>ה</w:t>
            </w:r>
            <w:r w:rsidRPr="00236CC3">
              <w:rPr>
                <w:rFonts w:ascii="Tahoma" w:hAnsi="Tahoma" w:cs="Tahoma"/>
                <w:sz w:val="19"/>
                <w:szCs w:val="19"/>
                <w:rtl/>
              </w:rPr>
              <w:t xml:space="preserve">הפרש בין מחיר הסולר שחושב במסגרת קביעת </w:t>
            </w:r>
            <w:r w:rsidRPr="00236CC3">
              <w:rPr>
                <w:rFonts w:ascii="Tahoma" w:hAnsi="Tahoma" w:cs="Tahoma" w:hint="cs"/>
                <w:sz w:val="19"/>
                <w:szCs w:val="19"/>
                <w:rtl/>
              </w:rPr>
              <w:t>תעריף הנסיעה</w:t>
            </w:r>
            <w:r w:rsidRPr="00236CC3">
              <w:rPr>
                <w:rFonts w:ascii="Tahoma" w:hAnsi="Tahoma" w:cs="Tahoma"/>
                <w:sz w:val="19"/>
                <w:szCs w:val="19"/>
                <w:rtl/>
              </w:rPr>
              <w:t xml:space="preserve"> הממשלתי לבין מחיר הסולר על פי </w:t>
            </w:r>
            <w:r w:rsidRPr="00236CC3">
              <w:rPr>
                <w:rFonts w:ascii="Tahoma" w:hAnsi="Tahoma" w:cs="Tahoma" w:hint="cs"/>
                <w:sz w:val="19"/>
                <w:szCs w:val="19"/>
                <w:rtl/>
              </w:rPr>
              <w:t xml:space="preserve">נתוני </w:t>
            </w:r>
            <w:r w:rsidRPr="00236CC3">
              <w:rPr>
                <w:rFonts w:ascii="Tahoma" w:hAnsi="Tahoma" w:cs="Tahoma"/>
                <w:sz w:val="19"/>
                <w:szCs w:val="19"/>
                <w:rtl/>
              </w:rPr>
              <w:t>ה</w:t>
            </w:r>
            <w:r w:rsidRPr="00236CC3">
              <w:rPr>
                <w:rFonts w:ascii="Tahoma" w:hAnsi="Tahoma" w:cs="Tahoma" w:hint="cs"/>
                <w:sz w:val="19"/>
                <w:szCs w:val="19"/>
                <w:rtl/>
              </w:rPr>
              <w:t>לשכה המרכזית לסטטיסטיקה (ה</w:t>
            </w:r>
            <w:r w:rsidRPr="00236CC3">
              <w:rPr>
                <w:rFonts w:ascii="Tahoma" w:hAnsi="Tahoma" w:cs="Tahoma"/>
                <w:sz w:val="19"/>
                <w:szCs w:val="19"/>
                <w:rtl/>
              </w:rPr>
              <w:t>למ"ס</w:t>
            </w:r>
            <w:r w:rsidRPr="00236CC3">
              <w:rPr>
                <w:rFonts w:ascii="Tahoma" w:hAnsi="Tahoma" w:cs="Tahoma" w:hint="cs"/>
                <w:sz w:val="19"/>
                <w:szCs w:val="19"/>
                <w:rtl/>
              </w:rPr>
              <w:t>)</w:t>
            </w:r>
          </w:p>
        </w:tc>
      </w:tr>
      <w:tr w:rsidR="004F19B3" w14:paraId="577623B7" w14:textId="77777777" w:rsidTr="00236CC3">
        <w:trPr>
          <w:trHeight w:val="227"/>
        </w:trPr>
        <w:tc>
          <w:tcPr>
            <w:tcW w:w="2023" w:type="dxa"/>
            <w:tcBorders>
              <w:bottom w:val="single" w:sz="12" w:space="0" w:color="auto"/>
            </w:tcBorders>
            <w:shd w:val="clear" w:color="auto" w:fill="auto"/>
            <w:vAlign w:val="bottom"/>
          </w:tcPr>
          <w:p w14:paraId="69214498"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19"/>
                <w:szCs w:val="19"/>
              </w:rPr>
            </w:pPr>
            <w:r w:rsidRPr="00D1243A">
              <w:rPr>
                <w:rFonts w:ascii="Tahoma" w:hAnsi="Tahoma" w:cs="Tahoma" w:hint="cs"/>
                <w:b/>
                <w:bCs/>
                <w:spacing w:val="-10"/>
                <w:sz w:val="36"/>
                <w:szCs w:val="36"/>
                <w:rtl/>
              </w:rPr>
              <w:t xml:space="preserve">3 </w:t>
            </w:r>
            <w:r w:rsidRPr="00D1243A">
              <w:rPr>
                <w:rFonts w:ascii="Tahoma" w:hAnsi="Tahoma" w:cs="Tahoma" w:hint="eastAsia"/>
                <w:b/>
                <w:bCs/>
                <w:spacing w:val="-10"/>
                <w:sz w:val="26"/>
                <w:szCs w:val="26"/>
                <w:rtl/>
              </w:rPr>
              <w:t>פקחים</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בלבד</w:t>
            </w:r>
          </w:p>
        </w:tc>
        <w:tc>
          <w:tcPr>
            <w:tcW w:w="580" w:type="dxa"/>
            <w:shd w:val="clear" w:color="auto" w:fill="auto"/>
            <w:vAlign w:val="bottom"/>
          </w:tcPr>
          <w:p w14:paraId="3C515DC0" w14:textId="77777777" w:rsidR="00236CC3" w:rsidRPr="00236CC3" w:rsidRDefault="00236CC3" w:rsidP="00236CC3">
            <w:pPr>
              <w:tabs>
                <w:tab w:val="center" w:pos="4153"/>
                <w:tab w:val="right" w:pos="8306"/>
              </w:tabs>
              <w:spacing w:after="60" w:line="240" w:lineRule="auto"/>
              <w:jc w:val="left"/>
              <w:rPr>
                <w:rFonts w:ascii="Tahoma" w:hAnsi="Tahoma" w:cs="Tahoma"/>
                <w:spacing w:val="-10"/>
                <w:sz w:val="19"/>
                <w:szCs w:val="19"/>
              </w:rPr>
            </w:pPr>
          </w:p>
        </w:tc>
        <w:tc>
          <w:tcPr>
            <w:tcW w:w="2032" w:type="dxa"/>
            <w:tcBorders>
              <w:bottom w:val="single" w:sz="12" w:space="0" w:color="auto"/>
            </w:tcBorders>
            <w:shd w:val="clear" w:color="auto" w:fill="auto"/>
            <w:vAlign w:val="bottom"/>
          </w:tcPr>
          <w:p w14:paraId="1886631F"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Pr>
            </w:pPr>
            <w:r w:rsidRPr="00D1243A">
              <w:rPr>
                <w:rFonts w:ascii="Tahoma" w:hAnsi="Tahoma" w:cs="Tahoma"/>
                <w:b/>
                <w:bCs/>
                <w:spacing w:val="-10"/>
                <w:sz w:val="36"/>
                <w:szCs w:val="36"/>
                <w:rtl/>
              </w:rPr>
              <w:t xml:space="preserve">59 </w:t>
            </w:r>
            <w:r w:rsidRPr="00D1243A">
              <w:rPr>
                <w:rFonts w:ascii="Tahoma" w:hAnsi="Tahoma" w:cs="Tahoma" w:hint="eastAsia"/>
                <w:b/>
                <w:bCs/>
                <w:spacing w:val="-10"/>
                <w:sz w:val="26"/>
                <w:szCs w:val="26"/>
                <w:rtl/>
              </w:rPr>
              <w:t>מוניות</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שירות</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בלבד</w:t>
            </w:r>
          </w:p>
        </w:tc>
        <w:tc>
          <w:tcPr>
            <w:tcW w:w="394" w:type="dxa"/>
            <w:shd w:val="clear" w:color="auto" w:fill="auto"/>
            <w:vAlign w:val="bottom"/>
          </w:tcPr>
          <w:p w14:paraId="769563F7" w14:textId="77777777" w:rsidR="00236CC3" w:rsidRPr="00236CC3" w:rsidRDefault="00236CC3" w:rsidP="00236CC3">
            <w:pPr>
              <w:tabs>
                <w:tab w:val="center" w:pos="4153"/>
                <w:tab w:val="right" w:pos="8306"/>
              </w:tabs>
              <w:spacing w:after="60" w:line="240" w:lineRule="auto"/>
              <w:jc w:val="left"/>
              <w:rPr>
                <w:rFonts w:ascii="Tahoma" w:hAnsi="Tahoma" w:cs="Tahoma"/>
                <w:spacing w:val="-10"/>
                <w:sz w:val="19"/>
                <w:szCs w:val="19"/>
              </w:rPr>
            </w:pPr>
          </w:p>
        </w:tc>
        <w:tc>
          <w:tcPr>
            <w:tcW w:w="2268" w:type="dxa"/>
            <w:tcBorders>
              <w:bottom w:val="single" w:sz="12" w:space="0" w:color="auto"/>
            </w:tcBorders>
            <w:shd w:val="clear" w:color="auto" w:fill="auto"/>
            <w:vAlign w:val="bottom"/>
          </w:tcPr>
          <w:p w14:paraId="5C28F46A"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b/>
                <w:bCs/>
                <w:spacing w:val="-10"/>
                <w:sz w:val="36"/>
                <w:szCs w:val="36"/>
                <w:rtl/>
              </w:rPr>
              <w:t xml:space="preserve">152 </w:t>
            </w:r>
            <w:r w:rsidRPr="00D1243A">
              <w:rPr>
                <w:rFonts w:ascii="Tahoma" w:hAnsi="Tahoma" w:cs="Tahoma" w:hint="eastAsia"/>
                <w:b/>
                <w:bCs/>
                <w:spacing w:val="-10"/>
                <w:sz w:val="26"/>
                <w:szCs w:val="26"/>
                <w:rtl/>
              </w:rPr>
              <w:t>כתבי</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אישום</w:t>
            </w:r>
            <w:r w:rsidRPr="00D1243A">
              <w:rPr>
                <w:rFonts w:ascii="Tahoma" w:hAnsi="Tahoma" w:cs="Tahoma"/>
                <w:b/>
                <w:bCs/>
                <w:spacing w:val="-10"/>
                <w:sz w:val="26"/>
                <w:szCs w:val="26"/>
                <w:rtl/>
              </w:rPr>
              <w:t xml:space="preserve"> </w:t>
            </w:r>
            <w:r w:rsidRPr="00D1243A">
              <w:rPr>
                <w:rFonts w:ascii="Tahoma" w:hAnsi="Tahoma" w:cs="Tahoma" w:hint="eastAsia"/>
                <w:b/>
                <w:bCs/>
                <w:spacing w:val="-10"/>
                <w:sz w:val="26"/>
                <w:szCs w:val="26"/>
                <w:rtl/>
              </w:rPr>
              <w:t>בלבד</w:t>
            </w:r>
          </w:p>
        </w:tc>
        <w:tc>
          <w:tcPr>
            <w:tcW w:w="406" w:type="dxa"/>
            <w:shd w:val="clear" w:color="auto" w:fill="auto"/>
            <w:vAlign w:val="bottom"/>
          </w:tcPr>
          <w:p w14:paraId="2A355FC0" w14:textId="77777777" w:rsidR="00236CC3" w:rsidRPr="00236CC3" w:rsidRDefault="00236CC3" w:rsidP="00236CC3">
            <w:pPr>
              <w:tabs>
                <w:tab w:val="center" w:pos="4153"/>
                <w:tab w:val="right" w:pos="8306"/>
              </w:tabs>
              <w:spacing w:after="60" w:line="240" w:lineRule="auto"/>
              <w:jc w:val="left"/>
              <w:rPr>
                <w:rFonts w:ascii="Tahoma" w:hAnsi="Tahoma" w:cs="Tahoma"/>
                <w:spacing w:val="-10"/>
                <w:sz w:val="19"/>
                <w:szCs w:val="19"/>
              </w:rPr>
            </w:pPr>
          </w:p>
        </w:tc>
        <w:tc>
          <w:tcPr>
            <w:tcW w:w="2151" w:type="dxa"/>
            <w:gridSpan w:val="2"/>
            <w:tcBorders>
              <w:bottom w:val="single" w:sz="12" w:space="0" w:color="auto"/>
            </w:tcBorders>
            <w:shd w:val="clear" w:color="auto" w:fill="auto"/>
            <w:vAlign w:val="bottom"/>
          </w:tcPr>
          <w:p w14:paraId="5CA70909" w14:textId="77777777" w:rsidR="00236CC3" w:rsidRPr="00236CC3" w:rsidRDefault="00236CC3" w:rsidP="00236CC3">
            <w:pPr>
              <w:tabs>
                <w:tab w:val="center" w:pos="4153"/>
                <w:tab w:val="right" w:pos="8306"/>
              </w:tabs>
              <w:spacing w:after="60" w:line="240" w:lineRule="auto"/>
              <w:jc w:val="left"/>
              <w:rPr>
                <w:rFonts w:ascii="Tahoma" w:hAnsi="Tahoma" w:cs="Tahoma"/>
                <w:spacing w:val="-10"/>
                <w:sz w:val="36"/>
                <w:szCs w:val="36"/>
                <w:rtl/>
              </w:rPr>
            </w:pPr>
          </w:p>
          <w:p w14:paraId="0F1298A1"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19"/>
                <w:szCs w:val="19"/>
                <w:rtl/>
              </w:rPr>
            </w:pPr>
            <w:r w:rsidRPr="00D1243A">
              <w:rPr>
                <w:rFonts w:ascii="Tahoma" w:hAnsi="Tahoma" w:cs="Tahoma"/>
                <w:b/>
                <w:bCs/>
                <w:spacing w:val="-10"/>
                <w:sz w:val="36"/>
                <w:szCs w:val="36"/>
                <w:rtl/>
              </w:rPr>
              <w:t>165</w:t>
            </w:r>
          </w:p>
        </w:tc>
      </w:tr>
      <w:tr w:rsidR="004F19B3" w14:paraId="75D36C25" w14:textId="77777777" w:rsidTr="00236CC3">
        <w:trPr>
          <w:gridAfter w:val="1"/>
          <w:wAfter w:w="9" w:type="dxa"/>
          <w:trHeight w:val="70"/>
        </w:trPr>
        <w:tc>
          <w:tcPr>
            <w:tcW w:w="9845" w:type="dxa"/>
            <w:gridSpan w:val="7"/>
            <w:vAlign w:val="center"/>
          </w:tcPr>
          <w:p w14:paraId="6A450B67" w14:textId="77777777" w:rsidR="00236CC3" w:rsidRPr="00236CC3" w:rsidRDefault="00236CC3" w:rsidP="00236CC3">
            <w:pPr>
              <w:tabs>
                <w:tab w:val="center" w:pos="4153"/>
                <w:tab w:val="right" w:pos="8306"/>
              </w:tabs>
              <w:spacing w:line="240" w:lineRule="auto"/>
              <w:rPr>
                <w:rFonts w:ascii="Tahoma" w:hAnsi="Tahoma" w:cs="Tahoma"/>
                <w:spacing w:val="-10"/>
                <w:sz w:val="19"/>
                <w:szCs w:val="19"/>
                <w:rtl/>
              </w:rPr>
            </w:pPr>
          </w:p>
        </w:tc>
      </w:tr>
      <w:tr w:rsidR="004F19B3" w14:paraId="7E2E178A" w14:textId="77777777" w:rsidTr="00236CC3">
        <w:trPr>
          <w:trHeight w:val="1626"/>
        </w:trPr>
        <w:tc>
          <w:tcPr>
            <w:tcW w:w="2023" w:type="dxa"/>
          </w:tcPr>
          <w:p w14:paraId="4AE8BFB3"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במשרה מלאה ועוד 2 פקחים-חוקרים </w:t>
            </w:r>
            <w:r w:rsidRPr="00236CC3">
              <w:rPr>
                <w:rFonts w:ascii="Tahoma" w:hAnsi="Tahoma" w:cs="Tahoma"/>
                <w:sz w:val="19"/>
                <w:szCs w:val="19"/>
                <w:rtl/>
              </w:rPr>
              <w:t>מפעיל אגף פיקוח</w:t>
            </w:r>
            <w:r w:rsidRPr="00236CC3">
              <w:rPr>
                <w:rFonts w:ascii="Tahoma" w:hAnsi="Tahoma" w:cs="Tahoma" w:hint="cs"/>
                <w:sz w:val="19"/>
                <w:szCs w:val="19"/>
                <w:rtl/>
              </w:rPr>
              <w:t xml:space="preserve"> במשרד התחבורה</w:t>
            </w:r>
            <w:r w:rsidRPr="00236CC3">
              <w:rPr>
                <w:rFonts w:ascii="Tahoma" w:hAnsi="Tahoma" w:cs="Tahoma"/>
                <w:sz w:val="19"/>
                <w:szCs w:val="19"/>
                <w:rtl/>
              </w:rPr>
              <w:t xml:space="preserve"> </w:t>
            </w:r>
            <w:r w:rsidRPr="00236CC3">
              <w:rPr>
                <w:rFonts w:ascii="Tahoma" w:hAnsi="Tahoma" w:cs="Tahoma" w:hint="cs"/>
                <w:sz w:val="19"/>
                <w:szCs w:val="19"/>
                <w:rtl/>
              </w:rPr>
              <w:t>לשם בחינת</w:t>
            </w:r>
            <w:r w:rsidRPr="00236CC3">
              <w:rPr>
                <w:rFonts w:ascii="Tahoma" w:hAnsi="Tahoma" w:cs="Tahoma"/>
                <w:sz w:val="19"/>
                <w:szCs w:val="19"/>
                <w:rtl/>
              </w:rPr>
              <w:t xml:space="preserve"> עמידת נהגי </w:t>
            </w:r>
            <w:r w:rsidRPr="00236CC3">
              <w:rPr>
                <w:rFonts w:ascii="Tahoma" w:hAnsi="Tahoma" w:cs="Tahoma" w:hint="cs"/>
                <w:sz w:val="19"/>
                <w:szCs w:val="19"/>
                <w:rtl/>
              </w:rPr>
              <w:t>ה</w:t>
            </w:r>
            <w:r w:rsidRPr="00236CC3">
              <w:rPr>
                <w:rFonts w:ascii="Tahoma" w:hAnsi="Tahoma" w:cs="Tahoma"/>
                <w:sz w:val="19"/>
                <w:szCs w:val="19"/>
                <w:rtl/>
              </w:rPr>
              <w:t>מוניות בכללים</w:t>
            </w:r>
            <w:r w:rsidRPr="00236CC3">
              <w:rPr>
                <w:rFonts w:ascii="Tahoma" w:hAnsi="Tahoma" w:cs="Tahoma" w:hint="cs"/>
                <w:sz w:val="19"/>
                <w:szCs w:val="19"/>
                <w:rtl/>
              </w:rPr>
              <w:t xml:space="preserve"> בנוגע לכ-72 מיליון </w:t>
            </w:r>
            <w:r w:rsidRPr="00236CC3">
              <w:rPr>
                <w:rFonts w:ascii="Tahoma" w:hAnsi="Tahoma" w:cs="Tahoma" w:hint="cs"/>
                <w:sz w:val="19"/>
                <w:szCs w:val="19"/>
                <w:rtl/>
              </w:rPr>
              <w:lastRenderedPageBreak/>
              <w:t xml:space="preserve">נסיעות בשנה. </w:t>
            </w:r>
            <w:r w:rsidRPr="00236CC3">
              <w:rPr>
                <w:rFonts w:ascii="Tahoma" w:hAnsi="Tahoma" w:cs="Tahoma" w:hint="eastAsia"/>
                <w:sz w:val="19"/>
                <w:szCs w:val="19"/>
                <w:rtl/>
              </w:rPr>
              <w:t>בשנת</w:t>
            </w:r>
            <w:r w:rsidRPr="00236CC3">
              <w:rPr>
                <w:rFonts w:ascii="Tahoma" w:hAnsi="Tahoma" w:cs="Tahoma"/>
                <w:sz w:val="19"/>
                <w:szCs w:val="19"/>
                <w:rtl/>
              </w:rPr>
              <w:t xml:space="preserve"> 2023 </w:t>
            </w:r>
            <w:r w:rsidRPr="00236CC3">
              <w:rPr>
                <w:rFonts w:ascii="Tahoma" w:hAnsi="Tahoma" w:cs="Tahoma" w:hint="eastAsia"/>
                <w:sz w:val="19"/>
                <w:szCs w:val="19"/>
                <w:rtl/>
              </w:rPr>
              <w:t>בוצעו</w:t>
            </w:r>
            <w:r w:rsidRPr="00236CC3">
              <w:rPr>
                <w:rFonts w:ascii="Tahoma" w:hAnsi="Tahoma" w:cs="Tahoma"/>
                <w:sz w:val="19"/>
                <w:szCs w:val="19"/>
                <w:rtl/>
              </w:rPr>
              <w:t xml:space="preserve"> </w:t>
            </w:r>
            <w:r w:rsidRPr="00236CC3">
              <w:rPr>
                <w:rFonts w:ascii="Tahoma" w:hAnsi="Tahoma" w:cs="Tahoma" w:hint="cs"/>
                <w:sz w:val="19"/>
                <w:szCs w:val="19"/>
                <w:rtl/>
              </w:rPr>
              <w:t>2,261</w:t>
            </w:r>
            <w:r w:rsidRPr="00236CC3">
              <w:rPr>
                <w:rFonts w:ascii="Tahoma" w:hAnsi="Tahoma" w:cs="Tahoma"/>
                <w:sz w:val="19"/>
                <w:szCs w:val="19"/>
                <w:rtl/>
              </w:rPr>
              <w:t xml:space="preserve"> </w:t>
            </w:r>
            <w:r w:rsidRPr="00236CC3">
              <w:rPr>
                <w:rFonts w:ascii="Tahoma" w:hAnsi="Tahoma" w:cs="Tahoma" w:hint="eastAsia"/>
                <w:sz w:val="19"/>
                <w:szCs w:val="19"/>
                <w:rtl/>
              </w:rPr>
              <w:t>פעולות</w:t>
            </w:r>
            <w:r w:rsidRPr="00236CC3">
              <w:rPr>
                <w:rFonts w:ascii="Tahoma" w:hAnsi="Tahoma" w:cs="Tahoma"/>
                <w:sz w:val="19"/>
                <w:szCs w:val="19"/>
                <w:rtl/>
              </w:rPr>
              <w:t xml:space="preserve"> </w:t>
            </w:r>
            <w:r w:rsidRPr="00236CC3">
              <w:rPr>
                <w:rFonts w:ascii="Tahoma" w:hAnsi="Tahoma" w:cs="Tahoma" w:hint="cs"/>
                <w:sz w:val="19"/>
                <w:szCs w:val="19"/>
                <w:rtl/>
              </w:rPr>
              <w:t>אכיפה</w:t>
            </w:r>
            <w:r w:rsidRPr="00236CC3">
              <w:rPr>
                <w:rFonts w:ascii="Tahoma" w:hAnsi="Tahoma" w:cs="Tahoma"/>
                <w:sz w:val="19"/>
                <w:szCs w:val="19"/>
                <w:rtl/>
              </w:rPr>
              <w:t xml:space="preserve"> </w:t>
            </w:r>
            <w:r w:rsidRPr="00236CC3">
              <w:rPr>
                <w:rFonts w:ascii="Tahoma" w:hAnsi="Tahoma" w:cs="Tahoma" w:hint="eastAsia"/>
                <w:sz w:val="19"/>
                <w:szCs w:val="19"/>
                <w:rtl/>
              </w:rPr>
              <w:t>יזומות</w:t>
            </w:r>
            <w:r w:rsidRPr="00236CC3">
              <w:rPr>
                <w:rFonts w:ascii="Tahoma" w:hAnsi="Tahoma" w:cs="Tahoma"/>
                <w:sz w:val="19"/>
                <w:szCs w:val="19"/>
                <w:rtl/>
              </w:rPr>
              <w:t xml:space="preserve">, </w:t>
            </w:r>
            <w:r w:rsidRPr="00236CC3">
              <w:rPr>
                <w:rFonts w:ascii="Tahoma" w:hAnsi="Tahoma" w:cs="Tahoma" w:hint="eastAsia"/>
                <w:sz w:val="19"/>
                <w:szCs w:val="19"/>
                <w:rtl/>
              </w:rPr>
              <w:t>ירידה</w:t>
            </w:r>
            <w:r w:rsidRPr="00236CC3">
              <w:rPr>
                <w:rFonts w:ascii="Tahoma" w:hAnsi="Tahoma" w:cs="Tahoma"/>
                <w:sz w:val="19"/>
                <w:szCs w:val="19"/>
                <w:rtl/>
              </w:rPr>
              <w:t xml:space="preserve"> </w:t>
            </w:r>
            <w:r w:rsidRPr="00236CC3">
              <w:rPr>
                <w:rFonts w:ascii="Tahoma" w:hAnsi="Tahoma" w:cs="Tahoma" w:hint="eastAsia"/>
                <w:sz w:val="19"/>
                <w:szCs w:val="19"/>
                <w:rtl/>
              </w:rPr>
              <w:t>של</w:t>
            </w:r>
            <w:r w:rsidRPr="00236CC3">
              <w:rPr>
                <w:rFonts w:ascii="Tahoma" w:hAnsi="Tahoma" w:cs="Tahoma"/>
                <w:sz w:val="19"/>
                <w:szCs w:val="19"/>
                <w:rtl/>
              </w:rPr>
              <w:t xml:space="preserve"> </w:t>
            </w:r>
            <w:r w:rsidRPr="00236CC3">
              <w:rPr>
                <w:rFonts w:ascii="Tahoma" w:hAnsi="Tahoma" w:cs="Tahoma" w:hint="cs"/>
                <w:sz w:val="19"/>
                <w:szCs w:val="19"/>
                <w:rtl/>
              </w:rPr>
              <w:t>50</w:t>
            </w:r>
            <w:r w:rsidRPr="00236CC3">
              <w:rPr>
                <w:rFonts w:ascii="Tahoma" w:hAnsi="Tahoma" w:cs="Tahoma"/>
                <w:sz w:val="19"/>
                <w:szCs w:val="19"/>
                <w:rtl/>
              </w:rPr>
              <w:t xml:space="preserve">% </w:t>
            </w:r>
            <w:r w:rsidRPr="00236CC3">
              <w:rPr>
                <w:rFonts w:ascii="Tahoma" w:hAnsi="Tahoma" w:cs="Tahoma" w:hint="eastAsia"/>
                <w:sz w:val="19"/>
                <w:szCs w:val="19"/>
                <w:rtl/>
              </w:rPr>
              <w:t>ל</w:t>
            </w:r>
            <w:r w:rsidRPr="00236CC3">
              <w:rPr>
                <w:rFonts w:ascii="Tahoma" w:hAnsi="Tahoma" w:cs="Tahoma" w:hint="cs"/>
                <w:sz w:val="19"/>
                <w:szCs w:val="19"/>
                <w:rtl/>
              </w:rPr>
              <w:t xml:space="preserve">עומת </w:t>
            </w:r>
            <w:r w:rsidRPr="00236CC3">
              <w:rPr>
                <w:rFonts w:ascii="Tahoma" w:hAnsi="Tahoma" w:cs="Tahoma" w:hint="eastAsia"/>
                <w:sz w:val="19"/>
                <w:szCs w:val="19"/>
                <w:rtl/>
              </w:rPr>
              <w:t>שנת</w:t>
            </w:r>
            <w:r w:rsidRPr="00236CC3">
              <w:rPr>
                <w:rFonts w:ascii="Tahoma" w:hAnsi="Tahoma" w:cs="Tahoma"/>
                <w:sz w:val="19"/>
                <w:szCs w:val="19"/>
                <w:rtl/>
              </w:rPr>
              <w:t xml:space="preserve"> 2019</w:t>
            </w:r>
          </w:p>
        </w:tc>
        <w:tc>
          <w:tcPr>
            <w:tcW w:w="580" w:type="dxa"/>
          </w:tcPr>
          <w:p w14:paraId="5E0F2465"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032" w:type="dxa"/>
          </w:tcPr>
          <w:p w14:paraId="05F425E4"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פועלות בענף מוניות השירות. ערב הרפורמה בענף פעלו כ-844 מוניות</w:t>
            </w:r>
            <w:r w:rsidRPr="00236CC3">
              <w:rPr>
                <w:rFonts w:ascii="Tahoma" w:hAnsi="Tahoma" w:cs="Tahoma" w:hint="cs"/>
                <w:sz w:val="19"/>
                <w:szCs w:val="19"/>
                <w:rtl/>
              </w:rPr>
              <w:t xml:space="preserve"> שירות</w:t>
            </w:r>
            <w:r w:rsidRPr="00236CC3">
              <w:rPr>
                <w:rFonts w:ascii="Tahoma" w:hAnsi="Tahoma" w:cs="Tahoma"/>
                <w:sz w:val="19"/>
                <w:szCs w:val="19"/>
                <w:rtl/>
              </w:rPr>
              <w:t xml:space="preserve">. יעד הרפורמה </w:t>
            </w:r>
            <w:r w:rsidRPr="00236CC3">
              <w:rPr>
                <w:rFonts w:ascii="Tahoma" w:hAnsi="Tahoma" w:cs="Tahoma" w:hint="cs"/>
                <w:sz w:val="19"/>
                <w:szCs w:val="19"/>
                <w:rtl/>
              </w:rPr>
              <w:t xml:space="preserve">היה </w:t>
            </w:r>
            <w:r w:rsidRPr="00236CC3">
              <w:rPr>
                <w:rFonts w:ascii="Tahoma" w:hAnsi="Tahoma" w:cs="Tahoma"/>
                <w:sz w:val="19"/>
                <w:szCs w:val="19"/>
                <w:rtl/>
              </w:rPr>
              <w:t>הפעלת 2,500 מוניות שירות</w:t>
            </w:r>
          </w:p>
        </w:tc>
        <w:tc>
          <w:tcPr>
            <w:tcW w:w="394" w:type="dxa"/>
          </w:tcPr>
          <w:p w14:paraId="025E3E39"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268" w:type="dxa"/>
          </w:tcPr>
          <w:p w14:paraId="7485D27E"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hAnsi="Tahoma" w:cs="Tahoma"/>
                <w:sz w:val="19"/>
                <w:szCs w:val="19"/>
                <w:rtl/>
                <w:lang w:eastAsia="he-IL"/>
              </w:rPr>
              <w:t xml:space="preserve">הוגשו בשנת 2023 </w:t>
            </w:r>
            <w:r w:rsidRPr="00236CC3">
              <w:rPr>
                <w:rFonts w:ascii="Tahoma" w:hAnsi="Tahoma" w:cs="Tahoma" w:hint="cs"/>
                <w:sz w:val="19"/>
                <w:szCs w:val="19"/>
                <w:rtl/>
                <w:lang w:eastAsia="he-IL"/>
              </w:rPr>
              <w:t>נגד נהגי מוניות. בשנה זו התקבלו 2,041</w:t>
            </w:r>
            <w:r w:rsidRPr="00236CC3">
              <w:rPr>
                <w:rFonts w:ascii="Tahoma" w:hAnsi="Tahoma" w:cs="Tahoma"/>
                <w:sz w:val="19"/>
                <w:szCs w:val="19"/>
                <w:rtl/>
                <w:lang w:eastAsia="he-IL"/>
              </w:rPr>
              <w:t xml:space="preserve"> תלונות</w:t>
            </w:r>
            <w:r w:rsidRPr="00236CC3">
              <w:rPr>
                <w:rFonts w:ascii="Tahoma" w:hAnsi="Tahoma" w:cs="Tahoma" w:hint="cs"/>
                <w:sz w:val="19"/>
                <w:szCs w:val="19"/>
                <w:rtl/>
                <w:lang w:eastAsia="he-IL"/>
              </w:rPr>
              <w:t xml:space="preserve"> על נהגי מוניות</w:t>
            </w:r>
            <w:r w:rsidRPr="00236CC3">
              <w:rPr>
                <w:rFonts w:ascii="Tahoma" w:hAnsi="Tahoma" w:cs="Tahoma"/>
                <w:sz w:val="19"/>
                <w:szCs w:val="19"/>
                <w:rtl/>
                <w:lang w:eastAsia="he-IL"/>
              </w:rPr>
              <w:t xml:space="preserve"> במחלקת פניות הציבור</w:t>
            </w:r>
            <w:r w:rsidRPr="00236CC3">
              <w:rPr>
                <w:rFonts w:ascii="Tahoma" w:hAnsi="Tahoma" w:cs="Tahoma" w:hint="cs"/>
                <w:sz w:val="19"/>
                <w:szCs w:val="19"/>
                <w:rtl/>
                <w:lang w:eastAsia="he-IL"/>
              </w:rPr>
              <w:t xml:space="preserve"> במשרד התחבורה</w:t>
            </w:r>
            <w:r w:rsidRPr="00236CC3">
              <w:rPr>
                <w:rFonts w:ascii="Tahoma" w:hAnsi="Tahoma" w:cs="Tahoma" w:hint="cs"/>
                <w:sz w:val="19"/>
                <w:szCs w:val="19"/>
                <w:rtl/>
              </w:rPr>
              <w:t xml:space="preserve"> ובוצעו 2,261 פעולות אכיפה יזומות</w:t>
            </w:r>
            <w:r w:rsidRPr="00236CC3">
              <w:rPr>
                <w:rFonts w:ascii="Tahoma" w:hAnsi="Tahoma" w:cs="Tahoma" w:hint="cs"/>
                <w:sz w:val="19"/>
                <w:szCs w:val="19"/>
                <w:rtl/>
                <w:lang w:eastAsia="he-IL"/>
              </w:rPr>
              <w:t xml:space="preserve">, </w:t>
            </w:r>
            <w:r w:rsidRPr="00236CC3">
              <w:rPr>
                <w:rFonts w:ascii="Tahoma" w:hAnsi="Tahoma" w:cs="Tahoma" w:hint="cs"/>
                <w:sz w:val="19"/>
                <w:szCs w:val="19"/>
                <w:rtl/>
                <w:lang w:eastAsia="he-IL"/>
              </w:rPr>
              <w:lastRenderedPageBreak/>
              <w:t>וזאת מתוך כ-72 מיליון נסיעות בשנה</w:t>
            </w:r>
          </w:p>
        </w:tc>
        <w:tc>
          <w:tcPr>
            <w:tcW w:w="406" w:type="dxa"/>
          </w:tcPr>
          <w:p w14:paraId="4CE9180C"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51" w:type="dxa"/>
            <w:gridSpan w:val="2"/>
          </w:tcPr>
          <w:p w14:paraId="254C60E6"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31 מכוני רישוי </w:t>
            </w:r>
            <w:r w:rsidRPr="00236CC3">
              <w:rPr>
                <w:rFonts w:ascii="Tahoma" w:hAnsi="Tahoma" w:cs="Tahoma" w:hint="cs"/>
                <w:sz w:val="19"/>
                <w:szCs w:val="19"/>
                <w:rtl/>
              </w:rPr>
              <w:t xml:space="preserve">המפוקחים על ידי משרד התחבורה </w:t>
            </w:r>
            <w:r w:rsidRPr="00236CC3">
              <w:rPr>
                <w:rFonts w:ascii="Tahoma" w:hAnsi="Tahoma" w:cs="Tahoma"/>
                <w:sz w:val="19"/>
                <w:szCs w:val="19"/>
                <w:rtl/>
              </w:rPr>
              <w:t>העבירו בשנת 2023</w:t>
            </w:r>
            <w:r w:rsidRPr="00236CC3">
              <w:rPr>
                <w:rFonts w:ascii="Tahoma" w:hAnsi="Tahoma" w:cs="Tahoma" w:hint="cs"/>
                <w:sz w:val="19"/>
                <w:szCs w:val="19"/>
                <w:rtl/>
              </w:rPr>
              <w:t xml:space="preserve"> </w:t>
            </w:r>
            <w:r w:rsidRPr="00236CC3">
              <w:rPr>
                <w:rFonts w:ascii="Tahoma" w:hAnsi="Tahoma" w:cs="Tahoma"/>
                <w:sz w:val="19"/>
                <w:szCs w:val="19"/>
                <w:rtl/>
              </w:rPr>
              <w:t xml:space="preserve">מבחן רישוי ל-165 מוניות שירות שרישיונן </w:t>
            </w:r>
            <w:r w:rsidRPr="00236CC3">
              <w:rPr>
                <w:rFonts w:ascii="Tahoma" w:hAnsi="Tahoma" w:cs="Tahoma" w:hint="cs"/>
                <w:sz w:val="19"/>
                <w:szCs w:val="19"/>
                <w:rtl/>
              </w:rPr>
              <w:t xml:space="preserve">לבצע נסיעות שירות </w:t>
            </w:r>
            <w:r w:rsidRPr="00236CC3">
              <w:rPr>
                <w:rFonts w:ascii="Tahoma" w:hAnsi="Tahoma" w:cs="Tahoma" w:hint="cs"/>
                <w:sz w:val="19"/>
                <w:szCs w:val="19"/>
                <w:rtl/>
              </w:rPr>
              <w:lastRenderedPageBreak/>
              <w:t>בקו שירות לא היה תקף</w:t>
            </w:r>
            <w:r w:rsidRPr="00236CC3">
              <w:rPr>
                <w:rFonts w:ascii="Tahoma" w:hAnsi="Tahoma" w:cs="Tahoma"/>
                <w:sz w:val="19"/>
                <w:szCs w:val="19"/>
                <w:rtl/>
              </w:rPr>
              <w:t>, בניגוד ל</w:t>
            </w:r>
            <w:r w:rsidRPr="00236CC3">
              <w:rPr>
                <w:rFonts w:ascii="Tahoma" w:hAnsi="Tahoma" w:cs="Tahoma" w:hint="cs"/>
                <w:sz w:val="19"/>
                <w:szCs w:val="19"/>
                <w:rtl/>
              </w:rPr>
              <w:t xml:space="preserve">הוראות </w:t>
            </w:r>
            <w:r w:rsidRPr="00236CC3">
              <w:rPr>
                <w:rFonts w:ascii="Tahoma" w:hAnsi="Tahoma" w:cs="Tahoma"/>
                <w:sz w:val="19"/>
                <w:szCs w:val="19"/>
                <w:rtl/>
              </w:rPr>
              <w:t>פקודת התעבורה</w:t>
            </w:r>
            <w:r w:rsidRPr="00236CC3">
              <w:rPr>
                <w:rFonts w:ascii="Tahoma" w:hAnsi="Tahoma" w:cs="Tahoma" w:hint="cs"/>
                <w:sz w:val="19"/>
                <w:szCs w:val="19"/>
                <w:rtl/>
              </w:rPr>
              <w:t xml:space="preserve"> ותקנותיה</w:t>
            </w:r>
          </w:p>
        </w:tc>
      </w:tr>
    </w:tbl>
    <w:p w14:paraId="494A0DFB" w14:textId="77777777" w:rsidR="00236CC3" w:rsidRPr="00236CC3" w:rsidRDefault="00236CC3" w:rsidP="00236CC3">
      <w:pPr>
        <w:ind w:left="-710"/>
        <w:rPr>
          <w:rFonts w:eastAsiaTheme="minorHAnsi"/>
          <w:rtl/>
        </w:rPr>
      </w:pPr>
    </w:p>
    <w:p w14:paraId="390731F9" w14:textId="77777777" w:rsidR="00236CC3" w:rsidRPr="00236CC3" w:rsidRDefault="00236CC3" w:rsidP="00236CC3">
      <w:pPr>
        <w:ind w:left="-710"/>
        <w:rPr>
          <w:rFonts w:eastAsiaTheme="minorHAnsi"/>
          <w:rtl/>
        </w:rPr>
      </w:pPr>
    </w:p>
    <w:p w14:paraId="6414E47D" w14:textId="77777777" w:rsidR="00236CC3" w:rsidRPr="00236CC3" w:rsidRDefault="00236CC3" w:rsidP="00236CC3">
      <w:pPr>
        <w:tabs>
          <w:tab w:val="left" w:pos="2569"/>
        </w:tabs>
        <w:ind w:left="-710"/>
        <w:rPr>
          <w:rFonts w:ascii="Tahoma" w:eastAsiaTheme="minorHAnsi" w:hAnsi="Tahoma" w:cs="Tahoma"/>
          <w:noProof/>
          <w:rtl/>
        </w:rPr>
      </w:pPr>
    </w:p>
    <w:p w14:paraId="108E70BF" w14:textId="77777777" w:rsidR="00236CC3" w:rsidRPr="00236CC3" w:rsidRDefault="00000000" w:rsidP="00236CC3">
      <w:pPr>
        <w:ind w:left="-710"/>
        <w:rPr>
          <w:rFonts w:ascii="Tahoma" w:eastAsiaTheme="minorHAnsi" w:hAnsi="Tahoma" w:cs="Tahoma"/>
          <w:noProof/>
          <w:rtl/>
        </w:rPr>
      </w:pPr>
      <w:r w:rsidRPr="00236CC3">
        <w:rPr>
          <w:rFonts w:ascii="Tahoma" w:eastAsiaTheme="minorHAnsi" w:hAnsi="Tahoma" w:cs="Tahoma"/>
          <w:noProof/>
        </w:rPr>
        <w:drawing>
          <wp:inline distT="0" distB="0" distL="0" distR="0" wp14:anchorId="07704F29" wp14:editId="7A999961">
            <wp:extent cx="6104255" cy="438829"/>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438800FD" w14:textId="77777777" w:rsidR="00236CC3" w:rsidRPr="00236CC3" w:rsidRDefault="00236CC3" w:rsidP="00236CC3">
      <w:pPr>
        <w:ind w:left="-710"/>
        <w:rPr>
          <w:rFonts w:ascii="Tahoma" w:eastAsiaTheme="minorHAnsi" w:hAnsi="Tahoma" w:cs="Tahoma"/>
          <w:noProof/>
          <w:rtl/>
        </w:rPr>
      </w:pPr>
    </w:p>
    <w:p w14:paraId="539ACD30" w14:textId="77777777" w:rsidR="00236CC3" w:rsidRPr="00236CC3" w:rsidRDefault="00000000" w:rsidP="00236CC3">
      <w:pPr>
        <w:ind w:left="-710"/>
        <w:rPr>
          <w:rFonts w:ascii="Tahoma" w:eastAsiaTheme="minorHAnsi" w:hAnsi="Tahoma" w:cs="Tahoma"/>
          <w:b/>
          <w:bCs/>
          <w:noProof/>
          <w:rtl/>
        </w:rPr>
      </w:pPr>
      <w:r w:rsidRPr="00236CC3">
        <w:rPr>
          <w:rFonts w:ascii="Tahoma" w:eastAsiaTheme="minorHAnsi" w:hAnsi="Tahoma" w:cs="Tahoma" w:hint="cs"/>
          <w:b/>
          <w:bCs/>
          <w:noProof/>
          <w:rtl/>
        </w:rPr>
        <w:t>מוניות ספיישל:</w:t>
      </w:r>
    </w:p>
    <w:p w14:paraId="74BE9E20" w14:textId="77777777" w:rsidR="00236CC3" w:rsidRPr="00236CC3" w:rsidRDefault="00236CC3" w:rsidP="00236CC3">
      <w:pPr>
        <w:ind w:left="-710" w:right="-567"/>
        <w:rPr>
          <w:rFonts w:eastAsiaTheme="minorHAnsi"/>
          <w:sz w:val="6"/>
          <w:szCs w:val="10"/>
          <w:rtl/>
        </w:rPr>
      </w:pPr>
    </w:p>
    <w:p w14:paraId="4FC51CD9"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פיקוח על בעלי רישיון להפעל</w:t>
      </w:r>
      <w:r w:rsidRPr="00236CC3">
        <w:rPr>
          <w:rFonts w:ascii="Tahoma" w:eastAsiaTheme="minorHAnsi" w:hAnsi="Tahoma" w:cs="Tahoma" w:hint="cs"/>
          <w:b/>
          <w:bCs/>
          <w:sz w:val="19"/>
          <w:szCs w:val="19"/>
          <w:rtl/>
        </w:rPr>
        <w:t>ת מונית</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פקודת התעבורה מחייבת את ועדת המוניות לבדוק את הרקע של מבקש רישיון להפעלת מונית; כן היא מחייבת בדיקה זהה של המבקש שיועבר אליו רישיון מאדם אחר. עם זאת, בביקורת עלה כי למשרד התחבורה אין הוראת מינהל בעניין ביצוע מעקב </w:t>
      </w:r>
      <w:r w:rsidRPr="00236CC3">
        <w:rPr>
          <w:rFonts w:ascii="Tahoma" w:eastAsiaTheme="minorHAnsi" w:hAnsi="Tahoma" w:cs="Tahoma" w:hint="cs"/>
          <w:sz w:val="19"/>
          <w:szCs w:val="19"/>
          <w:rtl/>
        </w:rPr>
        <w:t>אחר</w:t>
      </w:r>
      <w:r w:rsidRPr="00236CC3">
        <w:rPr>
          <w:rFonts w:ascii="Tahoma" w:eastAsiaTheme="minorHAnsi" w:hAnsi="Tahoma" w:cs="Tahoma"/>
          <w:sz w:val="19"/>
          <w:szCs w:val="19"/>
          <w:rtl/>
        </w:rPr>
        <w:t xml:space="preserve"> בעלי רישיון להפעלת מונית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במטרה לבדוק שהם ממשיכים לעמוד בתנאי הכשירות שנקבעו לקבלת הרישיון</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משרד התחבורה גם</w:t>
      </w:r>
      <w:r w:rsidRPr="00236CC3">
        <w:rPr>
          <w:rFonts w:ascii="Tahoma" w:eastAsiaTheme="minorHAnsi" w:hAnsi="Tahoma" w:cs="Tahoma"/>
          <w:sz w:val="19"/>
          <w:szCs w:val="19"/>
          <w:rtl/>
        </w:rPr>
        <w:t xml:space="preserve"> אינו מקיים מעקב לגבי מי שכבר קיבל רישיון</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ולכן ייתכן שבעל רישיון קיים ימשיך להחזיק בו גם אם הורשע לאחר קבלת הרישיון בעבירה ש</w:t>
      </w:r>
      <w:r w:rsidRPr="00236CC3">
        <w:rPr>
          <w:rFonts w:ascii="Tahoma" w:eastAsiaTheme="minorHAnsi" w:hAnsi="Tahoma" w:cs="Tahoma" w:hint="cs"/>
          <w:sz w:val="19"/>
          <w:szCs w:val="19"/>
          <w:rtl/>
        </w:rPr>
        <w:t xml:space="preserve">הייתה </w:t>
      </w:r>
      <w:r w:rsidRPr="00236CC3">
        <w:rPr>
          <w:rFonts w:ascii="Tahoma" w:eastAsiaTheme="minorHAnsi" w:hAnsi="Tahoma" w:cs="Tahoma"/>
          <w:sz w:val="19"/>
          <w:szCs w:val="19"/>
          <w:rtl/>
        </w:rPr>
        <w:t xml:space="preserve">עלולה לפסול אותו מלקבל רישיון חדש או היתר כשירות לקבלת רישיון להפעלת מונית מאדם אחר. בהיעדר מעקב כאמור עשוי להשתנות מצבו של בעל רישיון ההפעלה לאחר קבלת הרישיון, לרבות ביצוע עבירה שיש בה כדי למנוע מתן רישיון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הפעלת מונית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אולם</w:t>
      </w:r>
      <w:r w:rsidRPr="00236CC3">
        <w:rPr>
          <w:rFonts w:ascii="Tahoma" w:eastAsiaTheme="minorHAnsi" w:hAnsi="Tahoma" w:cs="Tahoma"/>
          <w:sz w:val="19"/>
          <w:szCs w:val="19"/>
          <w:rtl/>
        </w:rPr>
        <w:t xml:space="preserve"> הוא </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 xml:space="preserve">משיך להחזיק ברישיון ההפעלה. </w:t>
      </w:r>
    </w:p>
    <w:p w14:paraId="57F087F9"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פיקוח על השכרת רישיונות </w:t>
      </w:r>
      <w:r w:rsidRPr="00236CC3">
        <w:rPr>
          <w:rFonts w:ascii="Tahoma" w:eastAsiaTheme="minorHAnsi" w:hAnsi="Tahoma" w:cs="Tahoma" w:hint="cs"/>
          <w:b/>
          <w:bCs/>
          <w:sz w:val="19"/>
          <w:szCs w:val="19"/>
          <w:rtl/>
        </w:rPr>
        <w:t>ל</w:t>
      </w:r>
      <w:r w:rsidRPr="00236CC3">
        <w:rPr>
          <w:rFonts w:ascii="Tahoma" w:eastAsiaTheme="minorHAnsi" w:hAnsi="Tahoma" w:cs="Tahoma"/>
          <w:b/>
          <w:bCs/>
          <w:sz w:val="19"/>
          <w:szCs w:val="19"/>
          <w:rtl/>
        </w:rPr>
        <w:t xml:space="preserve">הפעלת מונית </w:t>
      </w:r>
      <w:bookmarkStart w:id="55" w:name="_Hlk167888205"/>
      <w:r w:rsidRPr="00236CC3">
        <w:rPr>
          <w:rFonts w:ascii="Tahoma" w:eastAsiaTheme="minorHAnsi" w:hAnsi="Tahoma" w:cs="Tahoma"/>
          <w:sz w:val="19"/>
          <w:szCs w:val="19"/>
          <w:rtl/>
        </w:rPr>
        <w:t>-</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 xml:space="preserve">הרשות הארצית לתחבורה ציבורית </w:t>
      </w:r>
      <w:r w:rsidRPr="00236CC3">
        <w:rPr>
          <w:rFonts w:ascii="Tahoma" w:eastAsiaTheme="minorHAnsi" w:hAnsi="Tahoma" w:cs="Tahoma" w:hint="cs"/>
          <w:sz w:val="19"/>
          <w:szCs w:val="19"/>
          <w:rtl/>
        </w:rPr>
        <w:t xml:space="preserve">במשרד התחבורה </w:t>
      </w:r>
      <w:r w:rsidRPr="00236CC3">
        <w:rPr>
          <w:rFonts w:ascii="Tahoma" w:eastAsiaTheme="minorHAnsi" w:hAnsi="Tahoma" w:cs="Tahoma"/>
          <w:sz w:val="19"/>
          <w:szCs w:val="19"/>
          <w:rtl/>
        </w:rPr>
        <w:t>אינה מפקחת על נושא שכירת רישיון</w:t>
      </w:r>
      <w:bookmarkEnd w:id="55"/>
      <w:r w:rsidRPr="00236CC3">
        <w:rPr>
          <w:rFonts w:ascii="Tahoma" w:eastAsiaTheme="minorHAnsi" w:hAnsi="Tahoma" w:cs="Tahoma"/>
          <w:sz w:val="19"/>
          <w:szCs w:val="19"/>
          <w:rtl/>
        </w:rPr>
        <w:t>. בהיעדר אסדרה בנושא, בעל רישיון להפעלת מונית עלול להשכיר את רישיונו לאדם אחר אשר אינו עומד בתנאים שנקבעו בפקודת התעבורה ל</w:t>
      </w:r>
      <w:r w:rsidRPr="00236CC3">
        <w:rPr>
          <w:rFonts w:ascii="Tahoma" w:eastAsiaTheme="minorHAnsi" w:hAnsi="Tahoma" w:cs="Tahoma" w:hint="cs"/>
          <w:sz w:val="19"/>
          <w:szCs w:val="19"/>
          <w:rtl/>
        </w:rPr>
        <w:t>קבלת</w:t>
      </w:r>
      <w:r w:rsidRPr="00236CC3">
        <w:rPr>
          <w:rFonts w:ascii="Tahoma" w:eastAsiaTheme="minorHAnsi" w:hAnsi="Tahoma" w:cs="Tahoma"/>
          <w:sz w:val="19"/>
          <w:szCs w:val="19"/>
          <w:rtl/>
        </w:rPr>
        <w:t xml:space="preserve"> רישיון להפעלת מונית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ודבר ההשכרה אינו נבחן על ידי ועדת המוניות </w:t>
      </w:r>
      <w:r w:rsidRPr="00236CC3">
        <w:rPr>
          <w:rFonts w:ascii="Tahoma" w:eastAsiaTheme="minorHAnsi" w:hAnsi="Tahoma" w:cs="Tahoma" w:hint="cs"/>
          <w:sz w:val="19"/>
          <w:szCs w:val="19"/>
          <w:rtl/>
        </w:rPr>
        <w:t xml:space="preserve">במשרד התחבורה </w:t>
      </w:r>
      <w:r w:rsidRPr="00236CC3">
        <w:rPr>
          <w:rFonts w:ascii="Tahoma" w:eastAsiaTheme="minorHAnsi" w:hAnsi="Tahoma" w:cs="Tahoma"/>
          <w:sz w:val="19"/>
          <w:szCs w:val="19"/>
          <w:rtl/>
        </w:rPr>
        <w:t xml:space="preserve">ואינו מתועד באגף רישוי ומשק לשעת חירום שברשות </w:t>
      </w:r>
      <w:r w:rsidRPr="00236CC3">
        <w:rPr>
          <w:rFonts w:ascii="Tahoma" w:eastAsiaTheme="minorHAnsi" w:hAnsi="Tahoma" w:cs="Tahoma" w:hint="cs"/>
          <w:sz w:val="19"/>
          <w:szCs w:val="19"/>
          <w:rtl/>
        </w:rPr>
        <w:t xml:space="preserve">הארצית </w:t>
      </w:r>
      <w:r w:rsidRPr="00236CC3">
        <w:rPr>
          <w:rFonts w:ascii="Tahoma" w:eastAsiaTheme="minorHAnsi" w:hAnsi="Tahoma" w:cs="Tahoma"/>
          <w:sz w:val="19"/>
          <w:szCs w:val="19"/>
          <w:rtl/>
        </w:rPr>
        <w:t xml:space="preserve">לתחבורה ציבורית. יוצא אפוא כי </w:t>
      </w:r>
      <w:r w:rsidRPr="00236CC3">
        <w:rPr>
          <w:rFonts w:ascii="Tahoma" w:eastAsiaTheme="minorHAnsi" w:hAnsi="Tahoma" w:cs="Tahoma" w:hint="cs"/>
          <w:sz w:val="19"/>
          <w:szCs w:val="19"/>
          <w:rtl/>
        </w:rPr>
        <w:t xml:space="preserve">לשוכרים של רישיון הפעלה שאינם נהגי מונית, וכפועל יוצא מכך אינם עוברים הכשרה לרישיון מסוג </w:t>
      </w:r>
      <w:r w:rsidRPr="00236CC3">
        <w:rPr>
          <w:rFonts w:ascii="Tahoma" w:eastAsiaTheme="minorHAnsi" w:hAnsi="Tahoma" w:cs="Tahoma"/>
          <w:sz w:val="19"/>
          <w:szCs w:val="19"/>
        </w:rPr>
        <w:t>D1</w:t>
      </w:r>
      <w:r w:rsidRPr="00236CC3">
        <w:rPr>
          <w:rFonts w:ascii="Tahoma" w:eastAsiaTheme="minorHAnsi" w:hAnsi="Tahoma" w:cs="Tahoma"/>
          <w:spacing w:val="-50"/>
          <w:sz w:val="19"/>
          <w:szCs w:val="19"/>
          <w:rtl/>
        </w:rPr>
        <w:t xml:space="preserve">  </w:t>
      </w:r>
      <w:r>
        <w:rPr>
          <w:rFonts w:ascii="David" w:eastAsia="Times New Roman" w:hAnsi="David"/>
          <w:color w:val="000000"/>
          <w:sz w:val="24"/>
          <w:vertAlign w:val="superscript"/>
        </w:rPr>
        <w:footnoteReference w:id="6"/>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קיימת דרך פשוטה לעקוף את הבקרות הקיימות</w:t>
      </w:r>
      <w:r w:rsidRPr="00236CC3">
        <w:rPr>
          <w:rFonts w:ascii="Tahoma" w:eastAsiaTheme="minorHAnsi" w:hAnsi="Tahoma" w:cs="Tahoma" w:hint="cs"/>
          <w:sz w:val="19"/>
          <w:szCs w:val="19"/>
          <w:rtl/>
        </w:rPr>
        <w:t xml:space="preserve"> של משרד התחבורה</w:t>
      </w:r>
      <w:r w:rsidRPr="00236CC3">
        <w:rPr>
          <w:rFonts w:ascii="Tahoma" w:eastAsiaTheme="minorHAnsi" w:hAnsi="Tahoma" w:cs="Tahoma"/>
          <w:sz w:val="19"/>
          <w:szCs w:val="19"/>
          <w:rtl/>
        </w:rPr>
        <w:t>.</w:t>
      </w:r>
    </w:p>
    <w:p w14:paraId="419D3ED0"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tl/>
        </w:rPr>
      </w:pPr>
      <w:r w:rsidRPr="00236CC3">
        <w:rPr>
          <w:rFonts w:ascii="Tahoma" w:eastAsiaTheme="minorHAnsi" w:hAnsi="Tahoma" w:cs="Tahoma" w:hint="cs"/>
          <w:b/>
          <w:bCs/>
          <w:sz w:val="19"/>
          <w:szCs w:val="19"/>
          <w:rtl/>
        </w:rPr>
        <w:t>המעקב של משרד התחבורה אחר תשלומי האגרה</w:t>
      </w:r>
      <w:r w:rsidRPr="00236CC3">
        <w:rPr>
          <w:rFonts w:ascii="Tahoma" w:eastAsiaTheme="minorHAnsi" w:hAnsi="Tahoma" w:cs="Tahoma" w:hint="cs"/>
          <w:b/>
          <w:bCs/>
          <w:sz w:val="19"/>
          <w:szCs w:val="19"/>
        </w:rPr>
        <w:t xml:space="preserve"> </w:t>
      </w:r>
      <w:r w:rsidRPr="00236CC3">
        <w:rPr>
          <w:rFonts w:ascii="Tahoma" w:eastAsiaTheme="minorHAnsi" w:hAnsi="Tahoma" w:cs="Tahoma"/>
          <w:sz w:val="19"/>
          <w:szCs w:val="19"/>
          <w:rtl/>
        </w:rPr>
        <w:t xml:space="preserve">- המערכת הממוחשבת של אגף הממונה על הנפקת הרישיונות </w:t>
      </w:r>
      <w:r w:rsidRPr="00236CC3">
        <w:rPr>
          <w:rFonts w:ascii="Tahoma" w:eastAsiaTheme="minorHAnsi" w:hAnsi="Tahoma" w:cs="Tahoma" w:hint="cs"/>
          <w:sz w:val="19"/>
          <w:szCs w:val="19"/>
          <w:rtl/>
        </w:rPr>
        <w:t xml:space="preserve">ברשות הארצית לתחבורה ציבורית </w:t>
      </w:r>
      <w:r w:rsidRPr="00236CC3">
        <w:rPr>
          <w:rFonts w:ascii="Tahoma" w:eastAsiaTheme="minorHAnsi" w:hAnsi="Tahoma" w:cs="Tahoma"/>
          <w:sz w:val="19"/>
          <w:szCs w:val="19"/>
          <w:rtl/>
        </w:rPr>
        <w:t>מאפשרת הנפקת רישיון ללא אימות ממוחשב של תשלום</w:t>
      </w:r>
      <w:r w:rsidRPr="00236CC3">
        <w:rPr>
          <w:rFonts w:ascii="Tahoma" w:eastAsiaTheme="minorHAnsi" w:hAnsi="Tahoma" w:cs="Tahoma"/>
          <w:sz w:val="19"/>
          <w:szCs w:val="19"/>
        </w:rPr>
        <w:t xml:space="preserve"> </w:t>
      </w:r>
      <w:r w:rsidRPr="00236CC3">
        <w:rPr>
          <w:rFonts w:ascii="Tahoma" w:eastAsiaTheme="minorHAnsi" w:hAnsi="Tahoma" w:cs="Tahoma" w:hint="cs"/>
          <w:sz w:val="19"/>
          <w:szCs w:val="19"/>
          <w:rtl/>
        </w:rPr>
        <w:t>האגרה</w:t>
      </w:r>
      <w:r w:rsidRPr="00236CC3">
        <w:rPr>
          <w:rFonts w:ascii="Tahoma" w:eastAsiaTheme="minorHAnsi" w:hAnsi="Tahoma" w:cs="Tahoma"/>
          <w:sz w:val="19"/>
          <w:szCs w:val="19"/>
          <w:rtl/>
        </w:rPr>
        <w:t xml:space="preserve">, ודבר קבלת התשלום נבדק ידנית על ידי אגף רישוי ומשק לשעת חירום ברשות הארצית לתחבורה ציבורית. אין </w:t>
      </w:r>
      <w:r w:rsidRPr="00236CC3">
        <w:rPr>
          <w:rFonts w:ascii="Tahoma" w:eastAsiaTheme="minorHAnsi" w:hAnsi="Tahoma" w:cs="Tahoma" w:hint="cs"/>
          <w:sz w:val="19"/>
          <w:szCs w:val="19"/>
          <w:rtl/>
        </w:rPr>
        <w:t xml:space="preserve">במערכות הממוחשבות </w:t>
      </w:r>
      <w:r w:rsidRPr="00236CC3">
        <w:rPr>
          <w:rFonts w:ascii="Tahoma" w:eastAsiaTheme="minorHAnsi" w:hAnsi="Tahoma" w:cs="Tahoma"/>
          <w:sz w:val="19"/>
          <w:szCs w:val="19"/>
          <w:rtl/>
        </w:rPr>
        <w:t xml:space="preserve">תיעוד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ל</w:t>
      </w:r>
      <w:r w:rsidRPr="00236CC3">
        <w:rPr>
          <w:rFonts w:ascii="Tahoma" w:eastAsiaTheme="minorHAnsi" w:hAnsi="Tahoma" w:cs="Tahoma" w:hint="cs"/>
          <w:sz w:val="19"/>
          <w:szCs w:val="19"/>
          <w:rtl/>
        </w:rPr>
        <w:t xml:space="preserve"> ה</w:t>
      </w:r>
      <w:r w:rsidRPr="00236CC3">
        <w:rPr>
          <w:rFonts w:ascii="Tahoma" w:eastAsiaTheme="minorHAnsi" w:hAnsi="Tahoma" w:cs="Tahoma"/>
          <w:sz w:val="19"/>
          <w:szCs w:val="19"/>
          <w:rtl/>
        </w:rPr>
        <w:t xml:space="preserve">בדיקות שמבצע האגף בדבר קבלת התשלום. בהיעדר בקרה </w:t>
      </w:r>
      <w:r w:rsidRPr="00236CC3">
        <w:rPr>
          <w:rFonts w:ascii="Tahoma" w:eastAsiaTheme="minorHAnsi" w:hAnsi="Tahoma" w:cs="Tahoma"/>
          <w:sz w:val="19"/>
          <w:szCs w:val="19"/>
          <w:rtl/>
        </w:rPr>
        <w:lastRenderedPageBreak/>
        <w:t xml:space="preserve">ממוחשבת או תיעוד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ל</w:t>
      </w:r>
      <w:r w:rsidRPr="00236CC3">
        <w:rPr>
          <w:rFonts w:ascii="Tahoma" w:eastAsiaTheme="minorHAnsi" w:hAnsi="Tahoma" w:cs="Tahoma" w:hint="cs"/>
          <w:sz w:val="19"/>
          <w:szCs w:val="19"/>
          <w:rtl/>
        </w:rPr>
        <w:t xml:space="preserve"> ה</w:t>
      </w:r>
      <w:r w:rsidRPr="00236CC3">
        <w:rPr>
          <w:rFonts w:ascii="Tahoma" w:eastAsiaTheme="minorHAnsi" w:hAnsi="Tahoma" w:cs="Tahoma"/>
          <w:sz w:val="19"/>
          <w:szCs w:val="19"/>
          <w:rtl/>
        </w:rPr>
        <w:t xml:space="preserve">בקרה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ידנית </w:t>
      </w:r>
      <w:r w:rsidRPr="00236CC3">
        <w:rPr>
          <w:rFonts w:ascii="Tahoma" w:eastAsiaTheme="minorHAnsi" w:hAnsi="Tahoma" w:cs="Tahoma" w:hint="cs"/>
          <w:sz w:val="19"/>
          <w:szCs w:val="19"/>
          <w:rtl/>
        </w:rPr>
        <w:t xml:space="preserve">על הרישום במערכת התשלומים הממשלתית, </w:t>
      </w:r>
      <w:r w:rsidRPr="00236CC3">
        <w:rPr>
          <w:rFonts w:ascii="Tahoma" w:eastAsiaTheme="minorHAnsi" w:hAnsi="Tahoma" w:cs="Tahoma"/>
          <w:sz w:val="19"/>
          <w:szCs w:val="19"/>
          <w:rtl/>
        </w:rPr>
        <w:t>אין נתיב ביקורת המאפשר לוודא כי תשלומי האגרה שולמו בפועל</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ועל כן אין בדרך הפעולה הקיימת כדי להבטיח איתור מעילה</w:t>
      </w:r>
      <w:r w:rsidRPr="00236CC3">
        <w:rPr>
          <w:rFonts w:ascii="Tahoma" w:eastAsiaTheme="minorHAnsi" w:hAnsi="Tahoma" w:cs="Tahoma" w:hint="cs"/>
          <w:sz w:val="19"/>
          <w:szCs w:val="19"/>
          <w:rtl/>
        </w:rPr>
        <w:t xml:space="preserve"> או לאתר אי תשלום אגרה</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p>
    <w:p w14:paraId="487F85DB"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תלונות נגד נהגי מוניות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בשנים 2019 - 2023 מרבית הפניות</w:t>
      </w:r>
      <w:r w:rsidRPr="00236CC3">
        <w:rPr>
          <w:rFonts w:ascii="Tahoma" w:eastAsiaTheme="minorHAnsi" w:hAnsi="Tahoma" w:cs="Tahoma" w:hint="cs"/>
          <w:sz w:val="19"/>
          <w:szCs w:val="19"/>
          <w:rtl/>
        </w:rPr>
        <w:t xml:space="preserve"> שהוגשו לרשות הארצית לתחבורה ציבורית במשרד התחבורה </w:t>
      </w:r>
      <w:r w:rsidRPr="00236CC3">
        <w:rPr>
          <w:rFonts w:ascii="Tahoma" w:eastAsiaTheme="minorHAnsi" w:hAnsi="Tahoma" w:cs="Tahoma"/>
          <w:sz w:val="19"/>
          <w:szCs w:val="19"/>
          <w:rtl/>
        </w:rPr>
        <w:t>ה</w:t>
      </w:r>
      <w:r w:rsidRPr="00236CC3">
        <w:rPr>
          <w:rFonts w:ascii="Tahoma" w:eastAsiaTheme="minorHAnsi" w:hAnsi="Tahoma" w:cs="Tahoma" w:hint="cs"/>
          <w:sz w:val="19"/>
          <w:szCs w:val="19"/>
          <w:rtl/>
        </w:rPr>
        <w:t>יו</w:t>
      </w:r>
      <w:r w:rsidRPr="00236CC3">
        <w:rPr>
          <w:rFonts w:ascii="Tahoma" w:eastAsiaTheme="minorHAnsi" w:hAnsi="Tahoma" w:cs="Tahoma"/>
          <w:sz w:val="19"/>
          <w:szCs w:val="19"/>
          <w:rtl/>
        </w:rPr>
        <w:t xml:space="preserve"> תלונות הנוגעות ל"הפקעת מחיר" (1,761 תלונות, 26.5%), "אי-הפעלת מונה" (1,448 תלונות, 21.8%), ו"התנהגות הנהג" (1,459 תלונות, 22%)</w:t>
      </w:r>
      <w:r w:rsidRPr="00236CC3">
        <w:rPr>
          <w:rFonts w:ascii="Tahoma" w:eastAsiaTheme="minorHAnsi" w:hAnsi="Tahoma" w:cs="Tahoma" w:hint="cs"/>
          <w:sz w:val="19"/>
          <w:szCs w:val="19"/>
          <w:rtl/>
        </w:rPr>
        <w:t>. תלונות</w:t>
      </w:r>
      <w:r w:rsidRPr="00236CC3">
        <w:rPr>
          <w:rFonts w:ascii="Tahoma" w:eastAsiaTheme="minorHAnsi" w:hAnsi="Tahoma" w:cs="Tahoma"/>
          <w:sz w:val="19"/>
          <w:szCs w:val="19"/>
          <w:rtl/>
        </w:rPr>
        <w:t xml:space="preserve"> אלה לבדן </w:t>
      </w:r>
      <w:r w:rsidRPr="00236CC3">
        <w:rPr>
          <w:rFonts w:ascii="Tahoma" w:eastAsiaTheme="minorHAnsi" w:hAnsi="Tahoma" w:cs="Tahoma" w:hint="cs"/>
          <w:sz w:val="19"/>
          <w:szCs w:val="19"/>
          <w:rtl/>
        </w:rPr>
        <w:t>הן</w:t>
      </w:r>
      <w:r w:rsidRPr="00236CC3">
        <w:rPr>
          <w:rFonts w:ascii="Tahoma" w:eastAsiaTheme="minorHAnsi" w:hAnsi="Tahoma" w:cs="Tahoma"/>
          <w:sz w:val="19"/>
          <w:szCs w:val="19"/>
          <w:rtl/>
        </w:rPr>
        <w:t xml:space="preserve"> כ-70% מסך התלונות בענף המוניות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עוד עולה כי מספר התלונות בשנים 2022 - 2023 עלה ל</w:t>
      </w:r>
      <w:r w:rsidRPr="00236CC3">
        <w:rPr>
          <w:rFonts w:ascii="Tahoma" w:eastAsiaTheme="minorHAnsi" w:hAnsi="Tahoma" w:cs="Tahoma" w:hint="cs"/>
          <w:sz w:val="19"/>
          <w:szCs w:val="19"/>
          <w:rtl/>
        </w:rPr>
        <w:t>עומת ה</w:t>
      </w:r>
      <w:r w:rsidRPr="00236CC3">
        <w:rPr>
          <w:rFonts w:ascii="Tahoma" w:eastAsiaTheme="minorHAnsi" w:hAnsi="Tahoma" w:cs="Tahoma"/>
          <w:sz w:val="19"/>
          <w:szCs w:val="19"/>
          <w:rtl/>
        </w:rPr>
        <w:t xml:space="preserve">שנים 2019 </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2021</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אף על פי</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שמספר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הרישיונות להפעלת מונית בסוף שנת 2023 (</w:t>
      </w:r>
      <w:r w:rsidRPr="00236CC3">
        <w:rPr>
          <w:rFonts w:ascii="Tahoma" w:eastAsiaTheme="minorHAnsi" w:hAnsi="Tahoma" w:cs="Tahoma"/>
          <w:sz w:val="19"/>
          <w:szCs w:val="19"/>
          <w:rtl/>
        </w:rPr>
        <w:t>25,050</w:t>
      </w:r>
      <w:r w:rsidRPr="00236CC3">
        <w:rPr>
          <w:rFonts w:ascii="Tahoma" w:eastAsiaTheme="minorHAnsi" w:hAnsi="Tahoma" w:cs="Tahoma" w:hint="cs"/>
          <w:sz w:val="19"/>
          <w:szCs w:val="19"/>
          <w:rtl/>
        </w:rPr>
        <w:t xml:space="preserve">) היה דומה למספרם בסוף שנת 2019 (24,552). </w:t>
      </w:r>
      <w:r w:rsidRPr="00236CC3">
        <w:rPr>
          <w:rFonts w:ascii="Tahoma" w:eastAsiaTheme="minorHAnsi" w:hAnsi="Tahoma" w:cs="Tahoma"/>
          <w:sz w:val="19"/>
          <w:szCs w:val="19"/>
          <w:rtl/>
        </w:rPr>
        <w:t xml:space="preserve">רק </w:t>
      </w:r>
      <w:r w:rsidRPr="00236CC3">
        <w:rPr>
          <w:rFonts w:ascii="Tahoma" w:eastAsiaTheme="minorHAnsi" w:hAnsi="Tahoma" w:cs="Tahoma"/>
          <w:sz w:val="19"/>
          <w:szCs w:val="19"/>
          <w:rtl/>
        </w:rPr>
        <w:br/>
        <w:t>ב-2,346 (כ-35%) מ</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6,641 תלונות נגד נהגי מוניות שהוגשו </w:t>
      </w:r>
      <w:r w:rsidRPr="00236CC3">
        <w:rPr>
          <w:rFonts w:ascii="Tahoma" w:eastAsiaTheme="minorHAnsi" w:hAnsi="Tahoma" w:cs="Tahoma" w:hint="cs"/>
          <w:sz w:val="19"/>
          <w:szCs w:val="19"/>
          <w:rtl/>
        </w:rPr>
        <w:t xml:space="preserve">למשרד התחבורה </w:t>
      </w:r>
      <w:r w:rsidRPr="00236CC3">
        <w:rPr>
          <w:rFonts w:ascii="Tahoma" w:eastAsiaTheme="minorHAnsi" w:hAnsi="Tahoma" w:cs="Tahoma"/>
          <w:sz w:val="19"/>
          <w:szCs w:val="19"/>
          <w:rtl/>
        </w:rPr>
        <w:t xml:space="preserve">בשנים 2019 - 2023, </w:t>
      </w:r>
      <w:r w:rsidRPr="00236CC3">
        <w:rPr>
          <w:rFonts w:ascii="Tahoma" w:eastAsiaTheme="minorHAnsi" w:hAnsi="Tahoma" w:cs="Tahoma" w:hint="cs"/>
          <w:sz w:val="19"/>
          <w:szCs w:val="19"/>
          <w:rtl/>
        </w:rPr>
        <w:t>צוינו פרטים המאפשרים לזהות את מספר הכובע ומספר רישוי הרכב המשמש כמונית,</w:t>
      </w:r>
      <w:r w:rsidRPr="00236CC3">
        <w:rPr>
          <w:rFonts w:ascii="Tahoma" w:eastAsiaTheme="minorHAnsi" w:hAnsi="Tahoma" w:cs="Tahoma"/>
          <w:sz w:val="19"/>
          <w:szCs w:val="19"/>
          <w:rtl/>
        </w:rPr>
        <w:t xml:space="preserve"> שהם תנאי להמשך הטיפול בתלונה. </w:t>
      </w:r>
      <w:r w:rsidRPr="00236CC3">
        <w:rPr>
          <w:rFonts w:ascii="Tahoma" w:eastAsiaTheme="minorHAnsi" w:hAnsi="Tahoma" w:cs="Tahoma"/>
          <w:sz w:val="19"/>
          <w:szCs w:val="19"/>
          <w:rtl/>
        </w:rPr>
        <w:br/>
      </w:r>
      <w:r w:rsidRPr="00236CC3">
        <w:rPr>
          <w:rFonts w:ascii="Tahoma" w:eastAsiaTheme="minorHAnsi" w:hAnsi="Tahoma" w:cs="Tahoma" w:hint="cs"/>
          <w:sz w:val="19"/>
          <w:szCs w:val="19"/>
          <w:rtl/>
        </w:rPr>
        <w:t xml:space="preserve">אשר ל-2,346 תלונות אלה, </w:t>
      </w:r>
      <w:r w:rsidRPr="00236CC3">
        <w:rPr>
          <w:rFonts w:ascii="Tahoma" w:eastAsiaTheme="minorHAnsi" w:hAnsi="Tahoma" w:cs="Tahoma"/>
          <w:sz w:val="19"/>
          <w:szCs w:val="19"/>
          <w:rtl/>
        </w:rPr>
        <w:t xml:space="preserve">ב-2,205 תלונות </w:t>
      </w:r>
      <w:r w:rsidRPr="00236CC3">
        <w:rPr>
          <w:rFonts w:ascii="Tahoma" w:eastAsiaTheme="minorHAnsi" w:hAnsi="Tahoma" w:cs="Tahoma" w:hint="cs"/>
          <w:sz w:val="19"/>
          <w:szCs w:val="19"/>
          <w:rtl/>
        </w:rPr>
        <w:t>מהן</w:t>
      </w:r>
      <w:r w:rsidRPr="00236CC3">
        <w:rPr>
          <w:rFonts w:ascii="Tahoma" w:eastAsiaTheme="minorHAnsi" w:hAnsi="Tahoma" w:cs="Tahoma"/>
          <w:sz w:val="19"/>
          <w:szCs w:val="19"/>
          <w:rtl/>
        </w:rPr>
        <w:t xml:space="preserve"> הביעו המתלוננים הסכמה למתן עדות בשלב הגשת התלונות, אולם רק 1,374 מתלוננים (כ-62% </w:t>
      </w:r>
      <w:r w:rsidRPr="00236CC3">
        <w:rPr>
          <w:rFonts w:ascii="Tahoma" w:eastAsiaTheme="minorHAnsi" w:hAnsi="Tahoma" w:cs="Tahoma" w:hint="cs"/>
          <w:sz w:val="19"/>
          <w:szCs w:val="19"/>
          <w:rtl/>
        </w:rPr>
        <w:t>מהמתלוננים שהביעו הסכמה מוקדמת לתת עדות</w:t>
      </w:r>
      <w:r w:rsidRPr="00236CC3">
        <w:rPr>
          <w:rFonts w:ascii="Tahoma" w:eastAsiaTheme="minorHAnsi" w:hAnsi="Tahoma" w:cs="Tahoma"/>
          <w:sz w:val="19"/>
          <w:szCs w:val="19"/>
          <w:rtl/>
        </w:rPr>
        <w:t xml:space="preserve"> ו-20.6% מכל</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 xml:space="preserve"> 6,641 התלונות שהתקבלו) הגיעו בפועל להעיד בחקירה. השיעור הנמוך של תלונות הכוללות את הפרטים הנדרשים ושיעור ההתייצבות הנמוך עשויים להעיד על כך שמשרד התחבורה אינו מיידע את הציבור באופן מספק בדבר חובתו לתעד שני פרטים מזהים </w:t>
      </w:r>
      <w:r w:rsidRPr="00236CC3">
        <w:rPr>
          <w:rFonts w:ascii="Tahoma" w:eastAsiaTheme="minorHAnsi" w:hAnsi="Tahoma" w:cs="Tahoma" w:hint="cs"/>
          <w:sz w:val="19"/>
          <w:szCs w:val="19"/>
          <w:rtl/>
        </w:rPr>
        <w:t>כדי</w:t>
      </w:r>
      <w:r w:rsidRPr="00236CC3">
        <w:rPr>
          <w:rFonts w:ascii="Tahoma" w:eastAsiaTheme="minorHAnsi" w:hAnsi="Tahoma" w:cs="Tahoma"/>
          <w:sz w:val="19"/>
          <w:szCs w:val="19"/>
          <w:rtl/>
        </w:rPr>
        <w:t xml:space="preserve"> להגיש תלונה נגד נהג המונית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על כך שהציבור אינו יודע כי </w:t>
      </w:r>
      <w:r w:rsidRPr="00236CC3">
        <w:rPr>
          <w:rFonts w:ascii="Tahoma" w:eastAsiaTheme="minorHAnsi" w:hAnsi="Tahoma" w:cs="Tahoma" w:hint="cs"/>
          <w:sz w:val="19"/>
          <w:szCs w:val="19"/>
          <w:rtl/>
        </w:rPr>
        <w:t>כדי</w:t>
      </w:r>
      <w:r w:rsidRPr="00236CC3">
        <w:rPr>
          <w:rFonts w:ascii="Tahoma" w:eastAsiaTheme="minorHAnsi" w:hAnsi="Tahoma" w:cs="Tahoma"/>
          <w:sz w:val="19"/>
          <w:szCs w:val="19"/>
          <w:rtl/>
        </w:rPr>
        <w:t xml:space="preserve"> שמשרד התחבורה יטפל בתלונ</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ת, חובה </w:t>
      </w:r>
      <w:r w:rsidRPr="00236CC3">
        <w:rPr>
          <w:rFonts w:ascii="Tahoma" w:eastAsiaTheme="minorHAnsi" w:hAnsi="Tahoma" w:cs="Tahoma" w:hint="cs"/>
          <w:sz w:val="19"/>
          <w:szCs w:val="19"/>
          <w:rtl/>
        </w:rPr>
        <w:t xml:space="preserve">על המתלונן </w:t>
      </w:r>
      <w:r w:rsidRPr="00236CC3">
        <w:rPr>
          <w:rFonts w:ascii="Tahoma" w:eastAsiaTheme="minorHAnsi" w:hAnsi="Tahoma" w:cs="Tahoma"/>
          <w:sz w:val="19"/>
          <w:szCs w:val="19"/>
          <w:rtl/>
        </w:rPr>
        <w:t>להתייצב במשרדי מחלקת החקירות לשם מסירת גרסת אירוע. נוסף</w:t>
      </w:r>
      <w:r w:rsidRPr="00236CC3">
        <w:rPr>
          <w:rFonts w:ascii="Tahoma" w:eastAsiaTheme="minorHAnsi" w:hAnsi="Tahoma" w:cs="Tahoma" w:hint="cs"/>
          <w:sz w:val="19"/>
          <w:szCs w:val="19"/>
          <w:rtl/>
        </w:rPr>
        <w:t xml:space="preserve"> על כך</w:t>
      </w:r>
      <w:r w:rsidRPr="00236CC3">
        <w:rPr>
          <w:rFonts w:ascii="Tahoma" w:eastAsiaTheme="minorHAnsi" w:hAnsi="Tahoma" w:cs="Tahoma"/>
          <w:sz w:val="19"/>
          <w:szCs w:val="19"/>
          <w:rtl/>
        </w:rPr>
        <w:t>, 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תכן שעצם חובת מתן העדות הפרונטלית מרתיעה מתלוננים רבים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והם</w:t>
      </w:r>
      <w:r w:rsidRPr="00236CC3">
        <w:rPr>
          <w:rFonts w:ascii="Tahoma" w:eastAsiaTheme="minorHAnsi" w:hAnsi="Tahoma" w:cs="Tahoma"/>
          <w:sz w:val="19"/>
          <w:szCs w:val="19"/>
          <w:rtl/>
        </w:rPr>
        <w:t xml:space="preserve"> זונחים את התלונה. </w:t>
      </w:r>
    </w:p>
    <w:p w14:paraId="5F3F09A9"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ביצוע </w:t>
      </w:r>
      <w:r w:rsidRPr="00236CC3">
        <w:rPr>
          <w:rFonts w:ascii="Tahoma" w:eastAsiaTheme="minorHAnsi" w:hAnsi="Tahoma" w:cs="Tahoma"/>
          <w:b/>
          <w:bCs/>
          <w:sz w:val="19"/>
          <w:szCs w:val="19"/>
          <w:rtl/>
        </w:rPr>
        <w:t xml:space="preserve">אכיפה במסלול פלילי בלבד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בשנת 2023 התקבלו </w:t>
      </w:r>
      <w:r w:rsidRPr="00236CC3">
        <w:rPr>
          <w:rFonts w:ascii="Tahoma" w:eastAsiaTheme="minorHAnsi" w:hAnsi="Tahoma" w:cs="Tahoma" w:hint="cs"/>
          <w:sz w:val="19"/>
          <w:szCs w:val="19"/>
          <w:rtl/>
        </w:rPr>
        <w:t>במשרד התחבורה</w:t>
      </w:r>
      <w:r w:rsidRPr="00236CC3">
        <w:rPr>
          <w:rFonts w:ascii="Tahoma" w:eastAsiaTheme="minorHAnsi" w:hAnsi="Tahoma" w:cs="Tahoma"/>
          <w:sz w:val="19"/>
          <w:szCs w:val="19"/>
          <w:rtl/>
        </w:rPr>
        <w:t xml:space="preserve"> 2,041 תלונות על נהגי מוניות. 760 מהן (כ-37%) כללו את הפרטים הנדרשים להמשך הטיפול, </w:t>
      </w:r>
      <w:r w:rsidRPr="00236CC3">
        <w:rPr>
          <w:rFonts w:ascii="Tahoma" w:eastAsiaTheme="minorHAnsi" w:hAnsi="Tahoma" w:cs="Tahoma" w:hint="cs"/>
          <w:sz w:val="19"/>
          <w:szCs w:val="19"/>
          <w:rtl/>
        </w:rPr>
        <w:t>וב-</w:t>
      </w:r>
      <w:r w:rsidRPr="00236CC3">
        <w:rPr>
          <w:rFonts w:ascii="Tahoma" w:eastAsiaTheme="minorHAnsi" w:hAnsi="Tahoma" w:cs="Tahoma"/>
          <w:sz w:val="19"/>
          <w:szCs w:val="19"/>
          <w:rtl/>
        </w:rPr>
        <w:t xml:space="preserve">643 </w:t>
      </w:r>
      <w:r w:rsidRPr="00236CC3">
        <w:rPr>
          <w:rFonts w:ascii="Tahoma" w:eastAsiaTheme="minorHAnsi" w:hAnsi="Tahoma" w:cs="Tahoma" w:hint="cs"/>
          <w:sz w:val="19"/>
          <w:szCs w:val="19"/>
          <w:rtl/>
        </w:rPr>
        <w:t xml:space="preserve">מהתלונות שכללו את הפרטים הנדרשים כאמור </w:t>
      </w:r>
      <w:r w:rsidRPr="00236CC3">
        <w:rPr>
          <w:rFonts w:ascii="Tahoma" w:eastAsiaTheme="minorHAnsi" w:hAnsi="Tahoma" w:cs="Tahoma"/>
          <w:sz w:val="19"/>
          <w:szCs w:val="19"/>
          <w:rtl/>
        </w:rPr>
        <w:t>(כ-85%)</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הביעו </w:t>
      </w:r>
      <w:r w:rsidRPr="00236CC3">
        <w:rPr>
          <w:rFonts w:ascii="Tahoma" w:eastAsiaTheme="minorHAnsi" w:hAnsi="Tahoma" w:cs="Tahoma" w:hint="cs"/>
          <w:sz w:val="19"/>
          <w:szCs w:val="19"/>
          <w:rtl/>
        </w:rPr>
        <w:t>המתלוננים</w:t>
      </w:r>
      <w:r w:rsidRPr="00236CC3">
        <w:rPr>
          <w:rFonts w:ascii="Tahoma" w:eastAsiaTheme="minorHAnsi" w:hAnsi="Tahoma" w:cs="Tahoma"/>
          <w:sz w:val="19"/>
          <w:szCs w:val="19"/>
          <w:rtl/>
        </w:rPr>
        <w:t xml:space="preserve"> הסכמה להגיע למתן עדות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שהיא חלק בלתי נפרד מהליך אכיפה פלילי</w:t>
      </w:r>
      <w:r w:rsidRPr="00236CC3">
        <w:rPr>
          <w:rFonts w:ascii="Tahoma" w:eastAsiaTheme="minorHAnsi" w:hAnsi="Tahoma" w:cs="Tahoma"/>
          <w:sz w:val="19"/>
          <w:szCs w:val="19"/>
        </w:rPr>
        <w:t xml:space="preserve"> </w:t>
      </w:r>
      <w:r w:rsidRPr="00236CC3">
        <w:rPr>
          <w:rFonts w:ascii="Tahoma" w:eastAsiaTheme="minorHAnsi" w:hAnsi="Tahoma" w:cs="Tahoma" w:hint="cs"/>
          <w:sz w:val="19"/>
          <w:szCs w:val="19"/>
          <w:rtl/>
        </w:rPr>
        <w:t xml:space="preserve">אשר היה מסלול האכיפה היחיד </w:t>
      </w:r>
      <w:r w:rsidRPr="00236CC3">
        <w:rPr>
          <w:rFonts w:ascii="Tahoma" w:eastAsiaTheme="minorHAnsi" w:hAnsi="Tahoma" w:cs="Tahoma" w:hint="eastAsia"/>
          <w:sz w:val="19"/>
          <w:szCs w:val="19"/>
          <w:rtl/>
        </w:rPr>
        <w:t>שיושם</w:t>
      </w:r>
      <w:r w:rsidRPr="00236CC3">
        <w:rPr>
          <w:rFonts w:ascii="Tahoma" w:eastAsiaTheme="minorHAnsi" w:hAnsi="Tahoma" w:cs="Tahoma" w:hint="cs"/>
          <w:sz w:val="19"/>
          <w:szCs w:val="19"/>
          <w:rtl/>
        </w:rPr>
        <w:t xml:space="preserve"> אז</w:t>
      </w:r>
      <w:r w:rsidRPr="00236CC3">
        <w:rPr>
          <w:rFonts w:ascii="Tahoma" w:eastAsiaTheme="minorHAnsi" w:hAnsi="Tahoma" w:cs="Tahoma"/>
          <w:sz w:val="19"/>
          <w:szCs w:val="19"/>
          <w:rtl/>
        </w:rPr>
        <w:t>. כלומר, רק 643 מ</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2,041 התלונות שהוגשו ב</w:t>
      </w:r>
      <w:r w:rsidRPr="00236CC3">
        <w:rPr>
          <w:rFonts w:ascii="Tahoma" w:eastAsiaTheme="minorHAnsi" w:hAnsi="Tahoma" w:cs="Tahoma" w:hint="cs"/>
          <w:sz w:val="19"/>
          <w:szCs w:val="19"/>
          <w:rtl/>
        </w:rPr>
        <w:t xml:space="preserve">שנת </w:t>
      </w:r>
      <w:r w:rsidRPr="00236CC3">
        <w:rPr>
          <w:rFonts w:ascii="Tahoma" w:eastAsiaTheme="minorHAnsi" w:hAnsi="Tahoma" w:cs="Tahoma"/>
          <w:sz w:val="19"/>
          <w:szCs w:val="19"/>
          <w:rtl/>
        </w:rPr>
        <w:t xml:space="preserve">2023 (כ-32%) הועברו להמשך טיפול, שכן </w:t>
      </w:r>
      <w:r w:rsidRPr="00236CC3">
        <w:rPr>
          <w:rFonts w:ascii="Tahoma" w:eastAsiaTheme="minorHAnsi" w:hAnsi="Tahoma" w:cs="Tahoma" w:hint="cs"/>
          <w:sz w:val="19"/>
          <w:szCs w:val="19"/>
          <w:rtl/>
        </w:rPr>
        <w:t xml:space="preserve">הן </w:t>
      </w:r>
      <w:r w:rsidRPr="00236CC3">
        <w:rPr>
          <w:rFonts w:ascii="Tahoma" w:eastAsiaTheme="minorHAnsi" w:hAnsi="Tahoma" w:cs="Tahoma"/>
          <w:sz w:val="19"/>
          <w:szCs w:val="19"/>
          <w:rtl/>
        </w:rPr>
        <w:t>עמדו בתנאי הסף לפתיחת חקירה. רק 278 מ</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643 מתלוננים (43%) </w:t>
      </w:r>
      <w:r w:rsidRPr="00236CC3">
        <w:rPr>
          <w:rFonts w:ascii="Tahoma" w:eastAsiaTheme="minorHAnsi" w:hAnsi="Tahoma" w:cs="Tahoma" w:hint="cs"/>
          <w:sz w:val="19"/>
          <w:szCs w:val="19"/>
          <w:rtl/>
        </w:rPr>
        <w:t>שהביעו הסכמה</w:t>
      </w:r>
      <w:r w:rsidRPr="00236CC3">
        <w:rPr>
          <w:rFonts w:ascii="Tahoma" w:eastAsiaTheme="minorHAnsi" w:hAnsi="Tahoma" w:cs="Tahoma"/>
          <w:sz w:val="19"/>
          <w:szCs w:val="19"/>
          <w:rtl/>
        </w:rPr>
        <w:t xml:space="preserve"> להגיע למתן עדות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הגיעו בפועל למתן עדות. במקביל, יחידת הפיקוח, הבקרה ורמת השירות במשרד התחבורה ביצעה </w:t>
      </w:r>
      <w:r w:rsidRPr="00236CC3">
        <w:rPr>
          <w:rFonts w:ascii="Tahoma" w:eastAsiaTheme="minorHAnsi" w:hAnsi="Tahoma" w:cs="Tahoma" w:hint="cs"/>
          <w:sz w:val="19"/>
          <w:szCs w:val="19"/>
          <w:rtl/>
        </w:rPr>
        <w:t xml:space="preserve">2,261 </w:t>
      </w:r>
      <w:r w:rsidRPr="00236CC3">
        <w:rPr>
          <w:rFonts w:ascii="Tahoma" w:eastAsiaTheme="minorHAnsi" w:hAnsi="Tahoma" w:cs="Tahoma"/>
          <w:sz w:val="19"/>
          <w:szCs w:val="19"/>
          <w:rtl/>
        </w:rPr>
        <w:t xml:space="preserve">פעולות אכיפה, </w:t>
      </w:r>
      <w:r w:rsidRPr="00236CC3">
        <w:rPr>
          <w:rFonts w:ascii="Tahoma" w:eastAsiaTheme="minorHAnsi" w:hAnsi="Tahoma" w:cs="Tahoma" w:hint="cs"/>
          <w:sz w:val="19"/>
          <w:szCs w:val="19"/>
          <w:rtl/>
        </w:rPr>
        <w:t>ולגבי</w:t>
      </w:r>
      <w:r w:rsidRPr="00236CC3">
        <w:rPr>
          <w:rFonts w:ascii="Tahoma" w:eastAsiaTheme="minorHAnsi" w:hAnsi="Tahoma" w:cs="Tahoma"/>
          <w:sz w:val="19"/>
          <w:szCs w:val="19"/>
          <w:rtl/>
        </w:rPr>
        <w:t xml:space="preserve"> כ-400 </w:t>
      </w:r>
      <w:r w:rsidRPr="00236CC3">
        <w:rPr>
          <w:rFonts w:ascii="Tahoma" w:eastAsiaTheme="minorHAnsi" w:hAnsi="Tahoma" w:cs="Tahoma" w:hint="cs"/>
          <w:sz w:val="19"/>
          <w:szCs w:val="19"/>
          <w:rtl/>
        </w:rPr>
        <w:t xml:space="preserve">מהן </w:t>
      </w:r>
      <w:r w:rsidRPr="00236CC3">
        <w:rPr>
          <w:rFonts w:ascii="Tahoma" w:eastAsiaTheme="minorHAnsi" w:hAnsi="Tahoma" w:cs="Tahoma"/>
          <w:sz w:val="19"/>
          <w:szCs w:val="19"/>
          <w:rtl/>
        </w:rPr>
        <w:t>הועברו</w:t>
      </w:r>
      <w:r w:rsidRPr="00236CC3">
        <w:rPr>
          <w:rFonts w:ascii="Tahoma" w:eastAsiaTheme="minorHAnsi" w:hAnsi="Tahoma" w:cs="Tahoma" w:hint="cs"/>
          <w:sz w:val="19"/>
          <w:szCs w:val="19"/>
          <w:rtl/>
        </w:rPr>
        <w:t xml:space="preserve"> הממצאים</w:t>
      </w:r>
      <w:r w:rsidRPr="00236CC3">
        <w:rPr>
          <w:rFonts w:ascii="Tahoma" w:eastAsiaTheme="minorHAnsi" w:hAnsi="Tahoma" w:cs="Tahoma"/>
          <w:sz w:val="19"/>
          <w:szCs w:val="19"/>
          <w:rtl/>
        </w:rPr>
        <w:t xml:space="preserve"> לחקירה. בסך הכול התקבלו ביחידת התביעות 1,055 תביעות והוגשו 152 כתבי אישום בלבד</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(כ-14%</w:t>
      </w:r>
      <w:r w:rsidRPr="00236CC3">
        <w:rPr>
          <w:rFonts w:ascii="Tahoma" w:eastAsiaTheme="minorHAnsi" w:hAnsi="Tahoma" w:cs="Tahoma" w:hint="cs"/>
          <w:sz w:val="19"/>
          <w:szCs w:val="19"/>
          <w:rtl/>
        </w:rPr>
        <w:t xml:space="preserve"> מהתביעות</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זאת ל</w:t>
      </w:r>
      <w:r w:rsidRPr="00236CC3">
        <w:rPr>
          <w:rFonts w:ascii="Tahoma" w:eastAsiaTheme="minorHAnsi" w:hAnsi="Tahoma" w:cs="Tahoma" w:hint="cs"/>
          <w:sz w:val="19"/>
          <w:szCs w:val="19"/>
          <w:rtl/>
        </w:rPr>
        <w:t xml:space="preserve">גבי </w:t>
      </w:r>
      <w:r w:rsidRPr="00236CC3">
        <w:rPr>
          <w:rFonts w:ascii="Tahoma" w:eastAsiaTheme="minorHAnsi" w:hAnsi="Tahoma" w:cs="Tahoma"/>
          <w:sz w:val="19"/>
          <w:szCs w:val="19"/>
          <w:rtl/>
        </w:rPr>
        <w:t>כ-72 מיליון נסיעות במוניות בשנה המתבצעות להערכת משרד התחבורה.</w:t>
      </w:r>
    </w:p>
    <w:p w14:paraId="10626FD7"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קידום </w:t>
      </w:r>
      <w:r w:rsidRPr="00236CC3">
        <w:rPr>
          <w:rFonts w:ascii="Tahoma" w:eastAsiaTheme="minorHAnsi" w:hAnsi="Tahoma" w:cs="Tahoma"/>
          <w:b/>
          <w:bCs/>
          <w:sz w:val="19"/>
          <w:szCs w:val="19"/>
          <w:rtl/>
        </w:rPr>
        <w:t>אכיפה בדרך מ</w:t>
      </w:r>
      <w:r w:rsidRPr="00236CC3">
        <w:rPr>
          <w:rFonts w:ascii="Tahoma" w:eastAsiaTheme="minorHAnsi" w:hAnsi="Tahoma" w:cs="Tahoma" w:hint="cs"/>
          <w:b/>
          <w:bCs/>
          <w:sz w:val="19"/>
          <w:szCs w:val="19"/>
          <w:rtl/>
        </w:rPr>
        <w:t>י</w:t>
      </w:r>
      <w:r w:rsidRPr="00236CC3">
        <w:rPr>
          <w:rFonts w:ascii="Tahoma" w:eastAsiaTheme="minorHAnsi" w:hAnsi="Tahoma" w:cs="Tahoma"/>
          <w:b/>
          <w:bCs/>
          <w:sz w:val="19"/>
          <w:szCs w:val="19"/>
          <w:rtl/>
        </w:rPr>
        <w:t xml:space="preserve">נהלית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הביקורת העלתה </w:t>
      </w:r>
      <w:r w:rsidRPr="00236CC3">
        <w:rPr>
          <w:rFonts w:ascii="Tahoma" w:eastAsiaTheme="minorHAnsi" w:hAnsi="Tahoma" w:cs="Tahoma" w:hint="cs"/>
          <w:sz w:val="19"/>
          <w:szCs w:val="19"/>
          <w:rtl/>
        </w:rPr>
        <w:t xml:space="preserve">כי </w:t>
      </w:r>
      <w:bookmarkStart w:id="56" w:name="_Hlk175124526"/>
      <w:r w:rsidRPr="00236CC3">
        <w:rPr>
          <w:rFonts w:ascii="Tahoma" w:eastAsiaTheme="minorHAnsi" w:hAnsi="Tahoma" w:cs="Tahoma" w:hint="cs"/>
          <w:sz w:val="19"/>
          <w:szCs w:val="19"/>
          <w:rtl/>
        </w:rPr>
        <w:t>משרד התחבורה ומשרד המשפטים מסכימים שניהם שלאכיפה בדרך מינהלית, בצד אכיפה במסלול פלילי הנהוגה היום, תהיה תועלת רבה יותר והיא צפויה לאפשר אכיפה מהירה ויעילה יותר אשר תיצור הרתעה מביצוע העבירות.</w:t>
      </w:r>
      <w:bookmarkEnd w:id="56"/>
      <w:r w:rsidRPr="00236CC3">
        <w:rPr>
          <w:rFonts w:ascii="Tahoma" w:eastAsiaTheme="minorHAnsi" w:hAnsi="Tahoma" w:cs="Tahoma" w:hint="cs"/>
          <w:color w:val="FFFF00"/>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נמצא כי</w:t>
      </w:r>
      <w:r w:rsidRPr="00236CC3">
        <w:rPr>
          <w:rFonts w:ascii="Tahoma" w:eastAsiaTheme="minorHAnsi" w:hAnsi="Tahoma" w:cs="Tahoma"/>
          <w:sz w:val="19"/>
          <w:szCs w:val="19"/>
          <w:rtl/>
        </w:rPr>
        <w:t xml:space="preserve"> עלו הצעות לתיקוני חקיקה</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שמטרתן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לממש</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גישה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זו</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במועד סיום הביקורת (מאי 2024) האכיפה </w:t>
      </w:r>
      <w:r w:rsidRPr="00236CC3">
        <w:rPr>
          <w:rFonts w:ascii="Tahoma" w:eastAsiaTheme="minorHAnsi" w:hAnsi="Tahoma" w:cs="Tahoma" w:hint="cs"/>
          <w:sz w:val="19"/>
          <w:szCs w:val="19"/>
          <w:rtl/>
        </w:rPr>
        <w:t>בתחום</w:t>
      </w:r>
      <w:r w:rsidRPr="00236CC3">
        <w:rPr>
          <w:rFonts w:ascii="Tahoma" w:eastAsiaTheme="minorHAnsi" w:hAnsi="Tahoma" w:cs="Tahoma"/>
          <w:sz w:val="19"/>
          <w:szCs w:val="19"/>
          <w:rtl/>
        </w:rPr>
        <w:t xml:space="preserve"> המוניות </w:t>
      </w:r>
      <w:r w:rsidRPr="00236CC3">
        <w:rPr>
          <w:rFonts w:ascii="Tahoma" w:eastAsiaTheme="minorHAnsi" w:hAnsi="Tahoma" w:cs="Tahoma" w:hint="eastAsia"/>
          <w:sz w:val="19"/>
          <w:szCs w:val="19"/>
          <w:rtl/>
        </w:rPr>
        <w:t>עדיין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התבצעה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במסלול פלילי בלבד</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יצוין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hint="cs"/>
          <w:sz w:val="19"/>
          <w:szCs w:val="19"/>
          <w:rtl/>
        </w:rPr>
        <w:t xml:space="preserve"> ב-7.8.24</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לאחר מועד סיום הביקורת</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פורסם ברשומות </w:t>
      </w:r>
      <w:r w:rsidRPr="00236CC3">
        <w:rPr>
          <w:rFonts w:ascii="Tahoma" w:eastAsiaTheme="minorHAnsi" w:hAnsi="Tahoma" w:cs="Tahoma"/>
          <w:sz w:val="19"/>
          <w:szCs w:val="19"/>
          <w:rtl/>
        </w:rPr>
        <w:t>חוק הפרות תעבורה מינהליות, התש</w:t>
      </w:r>
      <w:r w:rsidRPr="00236CC3">
        <w:rPr>
          <w:rFonts w:ascii="Tahoma" w:eastAsiaTheme="minorHAnsi" w:hAnsi="Tahoma" w:cs="Tahoma" w:hint="cs"/>
          <w:sz w:val="19"/>
          <w:szCs w:val="19"/>
          <w:rtl/>
        </w:rPr>
        <w:t>פ</w:t>
      </w:r>
      <w:r w:rsidRPr="00236CC3">
        <w:rPr>
          <w:rFonts w:ascii="Tahoma" w:eastAsiaTheme="minorHAnsi" w:hAnsi="Tahoma" w:cs="Tahoma"/>
          <w:sz w:val="19"/>
          <w:szCs w:val="19"/>
          <w:rtl/>
        </w:rPr>
        <w:t>"ד-2024</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החוק</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החדש</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bookmarkStart w:id="57" w:name="_Hlk174631812"/>
      <w:r w:rsidRPr="00236CC3">
        <w:rPr>
          <w:rFonts w:ascii="Tahoma" w:eastAsiaTheme="minorHAnsi" w:hAnsi="Tahoma" w:cs="Tahoma" w:hint="cs"/>
          <w:sz w:val="19"/>
          <w:szCs w:val="19"/>
          <w:rtl/>
        </w:rPr>
        <w:t>אשר קובע הליך של אכיפה מינהלית כברירת מחדל בנוגע להתנהגויות שמוגדרות בחוק כ"הפרות תעבורה" (כיום הן מוגדרות כ"עבירות ברירת משפט").</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תחילתו של החוק החדש תהיה כעבור 15 חודשים מיום פרסומו</w:t>
      </w:r>
      <w:bookmarkEnd w:id="57"/>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עם זאת, נמצא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w:t>
      </w:r>
      <w:r w:rsidRPr="00236CC3">
        <w:rPr>
          <w:rFonts w:ascii="Tahoma" w:eastAsiaTheme="minorHAnsi" w:hAnsi="Tahoma" w:cs="Tahoma" w:hint="eastAsia"/>
          <w:sz w:val="19"/>
          <w:szCs w:val="19"/>
          <w:rtl/>
        </w:rPr>
        <w:t>עבירות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w:t>
      </w:r>
      <w:r w:rsidRPr="00236CC3">
        <w:rPr>
          <w:rFonts w:ascii="Tahoma" w:eastAsiaTheme="minorHAnsi" w:hAnsi="Tahoma" w:cs="Tahoma" w:hint="eastAsia"/>
          <w:sz w:val="19"/>
          <w:szCs w:val="19"/>
          <w:rtl/>
        </w:rPr>
        <w:t>שכיחות</w:t>
      </w:r>
      <w:r w:rsidRPr="00236CC3">
        <w:rPr>
          <w:rFonts w:ascii="Tahoma" w:eastAsiaTheme="minorHAnsi" w:hAnsi="Tahoma" w:cs="Tahoma"/>
          <w:sz w:val="19"/>
          <w:szCs w:val="19"/>
          <w:rtl/>
        </w:rPr>
        <w:t xml:space="preserve"> בתחום המ</w:t>
      </w:r>
      <w:r w:rsidRPr="00236CC3">
        <w:rPr>
          <w:rFonts w:ascii="Tahoma" w:eastAsiaTheme="minorHAnsi" w:hAnsi="Tahoma" w:cs="Tahoma" w:hint="eastAsia"/>
          <w:sz w:val="19"/>
          <w:szCs w:val="19"/>
          <w:rtl/>
        </w:rPr>
        <w:t>וניות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כגון</w:t>
      </w:r>
      <w:r w:rsidRPr="00236CC3">
        <w:rPr>
          <w:rFonts w:ascii="Tahoma" w:eastAsiaTheme="minorHAnsi" w:hAnsi="Tahoma" w:cs="Tahoma"/>
          <w:sz w:val="19"/>
          <w:szCs w:val="19"/>
          <w:rtl/>
        </w:rPr>
        <w:t xml:space="preserve"> הפקעת מחיר ואי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הפעלת מונה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אינן מוגדרות </w:t>
      </w:r>
      <w:r w:rsidRPr="00236CC3">
        <w:rPr>
          <w:rFonts w:ascii="Tahoma" w:eastAsiaTheme="minorHAnsi" w:hAnsi="Tahoma" w:cs="Tahoma" w:hint="eastAsia"/>
          <w:sz w:val="19"/>
          <w:szCs w:val="19"/>
          <w:rtl/>
        </w:rPr>
        <w:t>בחוק</w:t>
      </w:r>
      <w:r w:rsidRPr="00236CC3">
        <w:rPr>
          <w:rFonts w:ascii="Tahoma" w:eastAsiaTheme="minorHAnsi" w:hAnsi="Tahoma" w:cs="Tahoma"/>
          <w:sz w:val="19"/>
          <w:szCs w:val="19"/>
          <w:rtl/>
        </w:rPr>
        <w:t xml:space="preserve"> החדש </w:t>
      </w:r>
      <w:r w:rsidRPr="00236CC3">
        <w:rPr>
          <w:rFonts w:ascii="Tahoma" w:eastAsiaTheme="minorHAnsi" w:hAnsi="Tahoma" w:cs="Tahoma" w:hint="eastAsia"/>
          <w:sz w:val="19"/>
          <w:szCs w:val="19"/>
          <w:rtl/>
        </w:rPr>
        <w:t>כ</w:t>
      </w:r>
      <w:r w:rsidRPr="00236CC3">
        <w:rPr>
          <w:rFonts w:ascii="Tahoma" w:eastAsiaTheme="minorHAnsi" w:hAnsi="Tahoma" w:cs="Tahoma"/>
          <w:sz w:val="19"/>
          <w:szCs w:val="19"/>
          <w:rtl/>
        </w:rPr>
        <w:t>"</w:t>
      </w:r>
      <w:r w:rsidRPr="00236CC3">
        <w:rPr>
          <w:rFonts w:ascii="Tahoma" w:eastAsiaTheme="minorHAnsi" w:hAnsi="Tahoma" w:cs="Tahoma" w:hint="eastAsia"/>
          <w:sz w:val="19"/>
          <w:szCs w:val="19"/>
          <w:rtl/>
        </w:rPr>
        <w:t>הפרות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תעבורה</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ולכן אכיפתן תיוותר במסלול פלילי מלא.</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עוד נמצא כי</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העבירות השכיחות האלה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כלולות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בטיוטת</w:t>
      </w:r>
      <w:r w:rsidRPr="00236CC3">
        <w:rPr>
          <w:rFonts w:ascii="Tahoma" w:eastAsiaTheme="minorHAnsi" w:hAnsi="Tahoma" w:cs="Tahoma"/>
          <w:sz w:val="19"/>
          <w:szCs w:val="19"/>
          <w:rtl/>
        </w:rPr>
        <w:t xml:space="preserve"> תקנות </w:t>
      </w:r>
      <w:r w:rsidRPr="00236CC3">
        <w:rPr>
          <w:rFonts w:ascii="Tahoma" w:eastAsiaTheme="minorHAnsi" w:hAnsi="Tahoma" w:cs="Tahoma" w:hint="eastAsia"/>
          <w:sz w:val="19"/>
          <w:szCs w:val="19"/>
          <w:rtl/>
        </w:rPr>
        <w:t>שמשרד</w:t>
      </w:r>
      <w:r w:rsidRPr="00236CC3">
        <w:rPr>
          <w:rFonts w:ascii="Tahoma" w:eastAsiaTheme="minorHAnsi" w:hAnsi="Tahoma" w:cs="Tahoma"/>
          <w:sz w:val="19"/>
          <w:szCs w:val="19"/>
          <w:rtl/>
        </w:rPr>
        <w:t xml:space="preserve"> התחבורה </w:t>
      </w:r>
      <w:r w:rsidRPr="00236CC3">
        <w:rPr>
          <w:rFonts w:ascii="Tahoma" w:eastAsiaTheme="minorHAnsi" w:hAnsi="Tahoma" w:cs="Tahoma" w:hint="cs"/>
          <w:sz w:val="19"/>
          <w:szCs w:val="19"/>
          <w:rtl/>
        </w:rPr>
        <w:t xml:space="preserve">טרם השלים את </w:t>
      </w:r>
      <w:r w:rsidRPr="00236CC3">
        <w:rPr>
          <w:rFonts w:ascii="Tahoma" w:eastAsiaTheme="minorHAnsi" w:hAnsi="Tahoma" w:cs="Tahoma" w:hint="cs"/>
          <w:sz w:val="19"/>
          <w:szCs w:val="19"/>
          <w:rtl/>
        </w:rPr>
        <w:lastRenderedPageBreak/>
        <w:t xml:space="preserve">קידומן במשך שלוש שנים </w:t>
      </w:r>
      <w:r w:rsidRPr="00236CC3">
        <w:rPr>
          <w:rFonts w:ascii="Tahoma" w:eastAsiaTheme="minorHAnsi" w:hAnsi="Tahoma" w:cs="Tahoma" w:hint="eastAsia"/>
          <w:sz w:val="19"/>
          <w:szCs w:val="19"/>
          <w:rtl/>
        </w:rPr>
        <w:t>במטרה</w:t>
      </w:r>
      <w:r w:rsidRPr="00236CC3">
        <w:rPr>
          <w:rFonts w:ascii="Tahoma" w:eastAsiaTheme="minorHAnsi" w:hAnsi="Tahoma" w:cs="Tahoma"/>
          <w:sz w:val="19"/>
          <w:szCs w:val="19"/>
          <w:rtl/>
        </w:rPr>
        <w:t xml:space="preserve"> להגדירן כעבירות </w:t>
      </w:r>
      <w:r w:rsidRPr="00236CC3">
        <w:rPr>
          <w:rFonts w:ascii="Tahoma" w:eastAsiaTheme="minorHAnsi" w:hAnsi="Tahoma" w:cs="Tahoma" w:hint="eastAsia"/>
          <w:sz w:val="19"/>
          <w:szCs w:val="19"/>
          <w:rtl/>
        </w:rPr>
        <w:t>מינהליות</w:t>
      </w:r>
      <w:r w:rsidRPr="00236CC3">
        <w:rPr>
          <w:rFonts w:ascii="Tahoma" w:eastAsiaTheme="minorHAnsi" w:hAnsi="Tahoma" w:cs="Tahoma"/>
          <w:sz w:val="19"/>
          <w:szCs w:val="19"/>
          <w:rtl/>
        </w:rPr>
        <w:t xml:space="preserve"> מכוח חוק העבירות </w:t>
      </w:r>
      <w:r w:rsidRPr="00236CC3">
        <w:rPr>
          <w:rFonts w:ascii="Tahoma" w:eastAsiaTheme="minorHAnsi" w:hAnsi="Tahoma" w:cs="Tahoma" w:hint="eastAsia"/>
          <w:sz w:val="19"/>
          <w:szCs w:val="19"/>
          <w:rtl/>
        </w:rPr>
        <w:t>המינהליות</w:t>
      </w:r>
      <w:r w:rsidRPr="00236CC3">
        <w:rPr>
          <w:rFonts w:ascii="Tahoma" w:eastAsiaTheme="minorHAnsi" w:hAnsi="Tahoma" w:cs="Tahoma"/>
          <w:sz w:val="19"/>
          <w:szCs w:val="19"/>
          <w:rtl/>
        </w:rPr>
        <w:t>, התשמ"ו-1985</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w:t>
      </w:r>
      <w:r w:rsidRPr="00236CC3">
        <w:rPr>
          <w:rFonts w:ascii="Tahoma" w:eastAsiaTheme="minorHAnsi" w:hAnsi="Tahoma" w:cs="Tahoma" w:hint="eastAsia"/>
          <w:sz w:val="19"/>
          <w:szCs w:val="19"/>
          <w:rtl/>
        </w:rPr>
        <w:t>טיוטת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תקנות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העבירות המינהליות (קנס מינהלי - תעבורה), התשפ"ד-2024</w:t>
      </w:r>
      <w:r w:rsidRPr="00236CC3">
        <w:rPr>
          <w:rFonts w:ascii="Tahoma" w:eastAsiaTheme="minorHAnsi" w:hAnsi="Tahoma" w:cs="Tahoma"/>
          <w:sz w:val="19"/>
          <w:szCs w:val="19"/>
          <w:rtl/>
        </w:rPr>
        <w:t xml:space="preserve">). </w:t>
      </w:r>
    </w:p>
    <w:p w14:paraId="2B693D9C"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הסדרת תעריפי הנסיעה</w:t>
      </w:r>
      <w:r w:rsidRPr="00236CC3">
        <w:rPr>
          <w:rFonts w:ascii="Tahoma" w:eastAsiaTheme="minorHAnsi" w:hAnsi="Tahoma" w:cs="Tahoma"/>
          <w:sz w:val="19"/>
          <w:szCs w:val="19"/>
          <w:rtl/>
        </w:rPr>
        <w:t xml:space="preserve"> - הסדרת תעריפי הנסיעה בענף המוניות נקבעת על פי חוק פיקוח על מחירי מצרכים ושירותים, התשנ"ו-1996</w:t>
      </w:r>
      <w:r w:rsidRPr="00236CC3">
        <w:rPr>
          <w:rFonts w:ascii="Tahoma" w:eastAsiaTheme="minorHAnsi" w:hAnsi="Tahoma" w:cs="Tahoma" w:hint="cs"/>
          <w:sz w:val="19"/>
          <w:szCs w:val="19"/>
          <w:rtl/>
        </w:rPr>
        <w:t xml:space="preserve">. חוק זה </w:t>
      </w:r>
      <w:r w:rsidRPr="00236CC3">
        <w:rPr>
          <w:rFonts w:ascii="Tahoma" w:eastAsiaTheme="minorHAnsi" w:hAnsi="Tahoma" w:cs="Tahoma"/>
          <w:sz w:val="19"/>
          <w:szCs w:val="19"/>
          <w:rtl/>
        </w:rPr>
        <w:t xml:space="preserve">קובע כי השר הממונה על התחום </w:t>
      </w:r>
      <w:r w:rsidRPr="00236CC3">
        <w:rPr>
          <w:rFonts w:ascii="Tahoma" w:eastAsiaTheme="minorHAnsi" w:hAnsi="Tahoma" w:cs="Tahoma" w:hint="cs"/>
          <w:sz w:val="19"/>
          <w:szCs w:val="19"/>
          <w:rtl/>
        </w:rPr>
        <w:t>שלגביו</w:t>
      </w:r>
      <w:r w:rsidRPr="00236CC3">
        <w:rPr>
          <w:rFonts w:ascii="Tahoma" w:eastAsiaTheme="minorHAnsi" w:hAnsi="Tahoma" w:cs="Tahoma"/>
          <w:sz w:val="19"/>
          <w:szCs w:val="19"/>
          <w:rtl/>
        </w:rPr>
        <w:t xml:space="preserve"> מופעלת הסמכות לקבוע מחיר מרבי למצרך או לשירות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בשיתוף</w:t>
      </w:r>
      <w:r w:rsidRPr="00236CC3">
        <w:rPr>
          <w:rFonts w:ascii="Tahoma" w:eastAsiaTheme="minorHAnsi" w:hAnsi="Tahoma" w:cs="Tahoma"/>
          <w:sz w:val="19"/>
          <w:szCs w:val="19"/>
          <w:rtl/>
        </w:rPr>
        <w:t xml:space="preserve"> שר האוצר</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רשאי לקבוע בצו מחיר או מחיר מרבי למצרך או לשירות.</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בדיקת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משרד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מבקר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המדינה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העלתה</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ליקויים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ב</w:t>
      </w:r>
      <w:r w:rsidRPr="00236CC3">
        <w:rPr>
          <w:rFonts w:ascii="Tahoma" w:eastAsiaTheme="minorHAnsi" w:hAnsi="Tahoma" w:cs="Tahoma" w:hint="eastAsia"/>
          <w:sz w:val="19"/>
          <w:szCs w:val="19"/>
          <w:rtl/>
        </w:rPr>
        <w:t>עבודת</w:t>
      </w:r>
      <w:r w:rsidRPr="00236CC3">
        <w:rPr>
          <w:rFonts w:ascii="Tahoma" w:eastAsiaTheme="minorHAnsi" w:hAnsi="Tahoma" w:cs="Tahoma" w:hint="cs"/>
          <w:sz w:val="19"/>
          <w:szCs w:val="19"/>
          <w:rtl/>
        </w:rPr>
        <w:t>ה 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ועדת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המחירים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בנוגע ל</w:t>
      </w:r>
      <w:r w:rsidRPr="00236CC3">
        <w:rPr>
          <w:rFonts w:ascii="Tahoma" w:eastAsiaTheme="minorHAnsi" w:hAnsi="Tahoma" w:cs="Tahoma" w:hint="eastAsia"/>
          <w:sz w:val="19"/>
          <w:szCs w:val="19"/>
          <w:rtl/>
        </w:rPr>
        <w:t>הכנת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בסיס</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התעריפים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לענף</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המוניות</w:t>
      </w:r>
      <w:r w:rsidRPr="00236CC3">
        <w:rPr>
          <w:rFonts w:ascii="Tahoma" w:eastAsiaTheme="minorHAnsi" w:hAnsi="Tahoma" w:cs="Tahoma" w:hint="cs"/>
          <w:sz w:val="19"/>
          <w:szCs w:val="19"/>
          <w:rtl/>
        </w:rPr>
        <w:t>, כמפורט להלן:</w:t>
      </w:r>
    </w:p>
    <w:p w14:paraId="7F6D4D7A"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b/>
          <w:bCs/>
          <w:sz w:val="19"/>
          <w:szCs w:val="19"/>
        </w:rPr>
      </w:pPr>
      <w:r w:rsidRPr="00236CC3">
        <w:rPr>
          <w:rFonts w:ascii="Tahoma" w:eastAsiaTheme="minorHAnsi" w:hAnsi="Tahoma" w:cs="Tahoma"/>
          <w:b/>
          <w:bCs/>
          <w:sz w:val="19"/>
          <w:szCs w:val="19"/>
          <w:rtl/>
        </w:rPr>
        <w:t xml:space="preserve">מסמך כלכלי מסכם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ועדת המחירים </w:t>
      </w:r>
      <w:r w:rsidRPr="00236CC3">
        <w:rPr>
          <w:rFonts w:ascii="Tahoma" w:eastAsiaTheme="minorHAnsi" w:hAnsi="Tahoma" w:cs="Tahoma" w:hint="cs"/>
          <w:sz w:val="19"/>
          <w:szCs w:val="19"/>
          <w:rtl/>
        </w:rPr>
        <w:t xml:space="preserve">של משרדי התחבורה והאוצר </w:t>
      </w:r>
      <w:r w:rsidRPr="00236CC3">
        <w:rPr>
          <w:rFonts w:ascii="Tahoma" w:eastAsiaTheme="minorHAnsi" w:hAnsi="Tahoma" w:cs="Tahoma"/>
          <w:sz w:val="19"/>
          <w:szCs w:val="19"/>
          <w:rtl/>
        </w:rPr>
        <w:t xml:space="preserve">לא ערכה מסמך המסכם את המודל הכלכלי שהציגה במרץ 2018. </w:t>
      </w:r>
      <w:r w:rsidRPr="00236CC3">
        <w:rPr>
          <w:rFonts w:ascii="Tahoma" w:eastAsiaTheme="minorHAnsi" w:hAnsi="Tahoma" w:cs="Tahoma" w:hint="cs"/>
          <w:sz w:val="19"/>
          <w:szCs w:val="19"/>
          <w:rtl/>
        </w:rPr>
        <w:t>מסמך</w:t>
      </w:r>
      <w:r w:rsidRPr="00236CC3">
        <w:rPr>
          <w:rFonts w:ascii="Tahoma" w:eastAsiaTheme="minorHAnsi" w:hAnsi="Tahoma" w:cs="Tahoma"/>
          <w:sz w:val="19"/>
          <w:szCs w:val="19"/>
          <w:rtl/>
        </w:rPr>
        <w:t xml:space="preserve"> כזה היה אמור לפרט את בסיס התעריפים המעודכן ואת המתדולוגיה המלאה לקביעת בסיס התעריפים</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חישובים מפורטים </w:t>
      </w:r>
      <w:r w:rsidRPr="00236CC3">
        <w:rPr>
          <w:rFonts w:ascii="Tahoma" w:eastAsiaTheme="minorHAnsi" w:hAnsi="Tahoma" w:cs="Tahoma" w:hint="cs"/>
          <w:sz w:val="19"/>
          <w:szCs w:val="19"/>
          <w:rtl/>
        </w:rPr>
        <w:t>שהביאו</w:t>
      </w:r>
      <w:r w:rsidRPr="00236CC3">
        <w:rPr>
          <w:rFonts w:ascii="Tahoma" w:eastAsiaTheme="minorHAnsi" w:hAnsi="Tahoma" w:cs="Tahoma"/>
          <w:sz w:val="19"/>
          <w:szCs w:val="19"/>
          <w:rtl/>
        </w:rPr>
        <w:t xml:space="preserve"> להחלטות שהתקבלו והנימוקים בבסיס החלטות</w:t>
      </w:r>
      <w:r w:rsidRPr="00236CC3">
        <w:rPr>
          <w:rFonts w:ascii="Tahoma" w:eastAsiaTheme="minorHAnsi" w:hAnsi="Tahoma" w:cs="Tahoma" w:hint="cs"/>
          <w:sz w:val="19"/>
          <w:szCs w:val="19"/>
          <w:rtl/>
        </w:rPr>
        <w:t xml:space="preserve"> אלה</w:t>
      </w:r>
      <w:r w:rsidRPr="00236CC3">
        <w:rPr>
          <w:rFonts w:ascii="Tahoma" w:eastAsiaTheme="minorHAnsi" w:hAnsi="Tahoma" w:cs="Tahoma"/>
          <w:sz w:val="19"/>
          <w:szCs w:val="19"/>
          <w:rtl/>
        </w:rPr>
        <w:t xml:space="preserve">. בהיעדר מסמך מסכם, מידע הרלוונטי לציבור אינו מונגש לו </w:t>
      </w:r>
      <w:r w:rsidRPr="00236CC3">
        <w:rPr>
          <w:rFonts w:ascii="Tahoma" w:eastAsiaTheme="minorHAnsi" w:hAnsi="Tahoma" w:cs="Tahoma" w:hint="cs"/>
          <w:sz w:val="19"/>
          <w:szCs w:val="19"/>
          <w:rtl/>
        </w:rPr>
        <w:t xml:space="preserve">באופן מרוכז ומצריך אותו לחפש את המידע במסמכים ציבוריים רבים. כמו כן, מסמכים משמעותיים להבנת מודל התעריפים אינם ציבוריים, כגון </w:t>
      </w:r>
      <w:r w:rsidRPr="00236CC3">
        <w:rPr>
          <w:rFonts w:ascii="Tahoma" w:eastAsiaTheme="minorHAnsi" w:hAnsi="Tahoma" w:cs="Tahoma"/>
          <w:sz w:val="19"/>
          <w:szCs w:val="19"/>
          <w:rtl/>
        </w:rPr>
        <w:t>דוח הייעוץ הכלכלי בעניין מתווה התעריפים, שביסס חלק ניכר מהנחות העבודה. גם גיליונות החישובים שנערכו על ידי ועדת המחירים אינם ציבוריים.</w:t>
      </w:r>
    </w:p>
    <w:p w14:paraId="1F425049"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b/>
          <w:bCs/>
          <w:sz w:val="19"/>
          <w:szCs w:val="19"/>
          <w:rtl/>
        </w:rPr>
      </w:pPr>
      <w:r w:rsidRPr="00236CC3">
        <w:rPr>
          <w:rFonts w:ascii="Tahoma" w:eastAsiaTheme="minorHAnsi" w:hAnsi="Tahoma" w:cs="Tahoma"/>
          <w:b/>
          <w:bCs/>
          <w:sz w:val="19"/>
          <w:szCs w:val="19"/>
          <w:rtl/>
        </w:rPr>
        <w:t xml:space="preserve">ניצולת ממוצעת למונית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אף שנתון הניצולת הוא בעל חשיבות רבה לקביעת התעריפים, בפרוטוקול ועדת המחירים </w:t>
      </w:r>
      <w:r w:rsidRPr="00236CC3">
        <w:rPr>
          <w:rFonts w:ascii="Tahoma" w:eastAsiaTheme="minorHAnsi" w:hAnsi="Tahoma" w:cs="Tahoma" w:hint="cs"/>
          <w:sz w:val="19"/>
          <w:szCs w:val="19"/>
          <w:rtl/>
        </w:rPr>
        <w:t xml:space="preserve">של משרדי התחבורה והאוצר </w:t>
      </w:r>
      <w:r w:rsidRPr="00236CC3">
        <w:rPr>
          <w:rFonts w:ascii="Tahoma" w:eastAsiaTheme="minorHAnsi" w:hAnsi="Tahoma" w:cs="Tahoma"/>
          <w:sz w:val="19"/>
          <w:szCs w:val="19"/>
          <w:rtl/>
        </w:rPr>
        <w:t>אומנם הובא הסבר על עיקרי המתודולוגיה המצויים בבסיס קביעת שיעור</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אך אופן החישוב של הניצולת וקביעת שיעורה על כ-</w:t>
      </w:r>
      <w:r w:rsidRPr="00236CC3">
        <w:rPr>
          <w:rFonts w:ascii="Tahoma" w:eastAsiaTheme="minorHAnsi" w:hAnsi="Tahoma" w:cs="Tahoma" w:hint="cs"/>
          <w:sz w:val="19"/>
          <w:szCs w:val="19"/>
          <w:rtl/>
        </w:rPr>
        <w:t xml:space="preserve">57.7% </w:t>
      </w:r>
      <w:r w:rsidRPr="00236CC3">
        <w:rPr>
          <w:rFonts w:ascii="Tahoma" w:eastAsiaTheme="minorHAnsi" w:hAnsi="Tahoma" w:cs="Tahoma"/>
          <w:sz w:val="19"/>
          <w:szCs w:val="19"/>
          <w:rtl/>
        </w:rPr>
        <w:t>אינם מופיעים בו.</w:t>
      </w:r>
      <w:r w:rsidRPr="00236CC3">
        <w:rPr>
          <w:rFonts w:eastAsiaTheme="minorHAnsi"/>
          <w:rtl/>
        </w:rPr>
        <w:t xml:space="preserve"> </w:t>
      </w:r>
      <w:r w:rsidRPr="00236CC3">
        <w:rPr>
          <w:rFonts w:ascii="Tahoma" w:eastAsiaTheme="minorHAnsi" w:hAnsi="Tahoma" w:cs="Tahoma" w:hint="cs"/>
          <w:sz w:val="19"/>
          <w:szCs w:val="19"/>
          <w:rtl/>
        </w:rPr>
        <w:t xml:space="preserve">מניתוח ראשוני של מידע על נסיעות של מוניות שנערך עבור משרד התחבורה בשנת 2023, עולה פער ניכר בין ניצולת המונית על פי </w:t>
      </w:r>
      <w:r w:rsidRPr="00236CC3">
        <w:rPr>
          <w:rFonts w:ascii="Tahoma" w:eastAsiaTheme="minorHAnsi" w:hAnsi="Tahoma" w:cs="Tahoma" w:hint="eastAsia"/>
          <w:sz w:val="19"/>
          <w:szCs w:val="19"/>
          <w:rtl/>
        </w:rPr>
        <w:t>מודל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בסיס</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התעריפים</w:t>
      </w:r>
      <w:r w:rsidRPr="00236CC3">
        <w:rPr>
          <w:rFonts w:ascii="Tahoma" w:eastAsiaTheme="minorHAnsi" w:hAnsi="Tahoma" w:cs="Tahoma" w:hint="cs"/>
          <w:sz w:val="19"/>
          <w:szCs w:val="19"/>
          <w:rtl/>
        </w:rPr>
        <w:t xml:space="preserve"> (לפי המודל של משרד התחבורה 57.7% מהנסיעות מתבצעות עם נוסע) לבין הניצולת על פי ניתוח ראשוני של נתוני הנסיעות בפועל (21.4% מהנסיעות מתבצעות עם נוסע). </w:t>
      </w:r>
      <w:bookmarkStart w:id="58" w:name="_Hlk168487774"/>
      <w:r w:rsidRPr="00236CC3">
        <w:rPr>
          <w:rFonts w:ascii="Tahoma" w:eastAsiaTheme="minorHAnsi" w:hAnsi="Tahoma" w:cs="Tahoma" w:hint="cs"/>
          <w:sz w:val="19"/>
          <w:szCs w:val="19"/>
          <w:rtl/>
        </w:rPr>
        <w:t>המשמעות היא כי הערכת כמות הנסיעות השנתית במודל בסיס התעריפים (6,500 נסיעות בשנה למונית) עלולה להיות גבוהה מדי ולהביא לקביעת תעריף נמוך שאינו מייצג את עלות הנסיעה הטיפוסית במונית.</w:t>
      </w:r>
      <w:bookmarkEnd w:id="58"/>
    </w:p>
    <w:p w14:paraId="4E0EC9E0"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sz w:val="19"/>
          <w:szCs w:val="19"/>
        </w:rPr>
      </w:pPr>
      <w:r w:rsidRPr="00236CC3">
        <w:rPr>
          <w:rFonts w:ascii="Tahoma" w:eastAsiaTheme="minorHAnsi" w:hAnsi="Tahoma" w:cs="Tahoma"/>
          <w:b/>
          <w:bCs/>
          <w:sz w:val="19"/>
          <w:szCs w:val="19"/>
          <w:rtl/>
        </w:rPr>
        <w:t>מחיר הסולר</w:t>
      </w:r>
      <w:r w:rsidRPr="00236CC3">
        <w:rPr>
          <w:rFonts w:ascii="Tahoma" w:eastAsiaTheme="minorHAnsi" w:hAnsi="Tahoma" w:cs="Tahoma"/>
          <w:sz w:val="19"/>
          <w:szCs w:val="19"/>
          <w:rtl/>
        </w:rPr>
        <w:t xml:space="preserve"> - </w:t>
      </w:r>
      <w:r w:rsidRPr="00236CC3">
        <w:rPr>
          <w:rFonts w:ascii="Tahoma" w:eastAsiaTheme="minorHAnsi" w:hAnsi="Tahoma" w:cs="Tahoma" w:hint="cs"/>
          <w:sz w:val="19"/>
          <w:szCs w:val="19"/>
          <w:rtl/>
        </w:rPr>
        <w:t>ועדת המחירים של משרדי התחבורה והאוצר קבעה את מחיר הבסיס של ליטר סולר (5.87 ש"ח) על פי סקר שערכה במרץ 2018 בקרב 19 תחנות דלק, ולא לפי מחיר הסולר שעלה מנתוני הלמ"ס (6.40 ש"ח), הגבוה ב-53 אגורות ממחיר הבסיס שקבעה ועדת המחירים בסופו של דבר על סמך הסקר שערכה.</w:t>
      </w:r>
      <w:r w:rsidRPr="00236CC3">
        <w:rPr>
          <w:rFonts w:eastAsiaTheme="minorHAnsi" w:hint="cs"/>
          <w:b/>
          <w:bCs/>
          <w:rtl/>
        </w:rPr>
        <w:t xml:space="preserve"> </w:t>
      </w:r>
      <w:r w:rsidRPr="00236CC3">
        <w:rPr>
          <w:rFonts w:ascii="Tahoma" w:eastAsiaTheme="minorHAnsi" w:hAnsi="Tahoma" w:cs="Tahoma" w:hint="cs"/>
          <w:sz w:val="19"/>
          <w:szCs w:val="19"/>
          <w:rtl/>
        </w:rPr>
        <w:t xml:space="preserve">תוצאת החישוב שביצע משרד מבקר המדינה (על בסיס מחיר הסולר על פי פרסומי </w:t>
      </w:r>
      <w:r w:rsidRPr="00236CC3">
        <w:rPr>
          <w:rFonts w:ascii="Tahoma" w:eastAsiaTheme="minorHAnsi" w:hAnsi="Tahoma" w:cs="Tahoma" w:hint="eastAsia"/>
          <w:sz w:val="19"/>
          <w:szCs w:val="19"/>
          <w:rtl/>
        </w:rPr>
        <w:t>הלמ</w:t>
      </w:r>
      <w:r w:rsidRPr="00236CC3">
        <w:rPr>
          <w:rFonts w:ascii="Tahoma" w:eastAsiaTheme="minorHAnsi" w:hAnsi="Tahoma" w:cs="Tahoma"/>
          <w:sz w:val="19"/>
          <w:szCs w:val="19"/>
          <w:rtl/>
        </w:rPr>
        <w:t xml:space="preserve">"ס </w:t>
      </w:r>
      <w:r w:rsidRPr="00236CC3">
        <w:rPr>
          <w:rFonts w:ascii="Tahoma" w:eastAsiaTheme="minorHAnsi" w:hAnsi="Tahoma" w:cs="Tahoma" w:hint="eastAsia"/>
          <w:sz w:val="19"/>
          <w:szCs w:val="19"/>
          <w:rtl/>
        </w:rPr>
        <w:t>ושימוש</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בסכום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הה</w:t>
      </w:r>
      <w:r w:rsidRPr="00236CC3">
        <w:rPr>
          <w:rFonts w:ascii="Tahoma" w:eastAsiaTheme="minorHAnsi" w:hAnsi="Tahoma" w:cs="Tahoma" w:hint="cs"/>
          <w:sz w:val="19"/>
          <w:szCs w:val="19"/>
          <w:rtl/>
        </w:rPr>
        <w:t>י</w:t>
      </w:r>
      <w:r w:rsidRPr="00236CC3">
        <w:rPr>
          <w:rFonts w:ascii="Tahoma" w:eastAsiaTheme="minorHAnsi" w:hAnsi="Tahoma" w:cs="Tahoma" w:hint="eastAsia"/>
          <w:sz w:val="19"/>
          <w:szCs w:val="19"/>
          <w:rtl/>
        </w:rPr>
        <w:t>שבון</w:t>
      </w:r>
      <w:r w:rsidRPr="00236CC3">
        <w:rPr>
          <w:rFonts w:ascii="Tahoma" w:eastAsiaTheme="minorHAnsi" w:hAnsi="Tahoma" w:cs="Tahoma"/>
          <w:sz w:val="19"/>
          <w:szCs w:val="19"/>
          <w:rtl/>
        </w:rPr>
        <w:t xml:space="preserve"> הנכון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שנת 2018</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גבוהה ב</w:t>
      </w:r>
      <w:r w:rsidRPr="00236CC3">
        <w:rPr>
          <w:rFonts w:ascii="Tahoma" w:eastAsiaTheme="minorHAnsi" w:hAnsi="Tahoma" w:cs="Tahoma" w:hint="eastAsia"/>
          <w:sz w:val="19"/>
          <w:szCs w:val="19"/>
          <w:rtl/>
        </w:rPr>
        <w:t>כ</w:t>
      </w:r>
      <w:r w:rsidRPr="00236CC3">
        <w:rPr>
          <w:rFonts w:ascii="Tahoma" w:eastAsiaTheme="minorHAnsi" w:hAnsi="Tahoma" w:cs="Tahoma"/>
          <w:sz w:val="19"/>
          <w:szCs w:val="19"/>
          <w:rtl/>
        </w:rPr>
        <w:t xml:space="preserve">-1,170 ש"ח </w:t>
      </w:r>
      <w:r w:rsidRPr="00236CC3">
        <w:rPr>
          <w:rFonts w:ascii="Tahoma" w:eastAsiaTheme="minorHAnsi" w:hAnsi="Tahoma" w:cs="Tahoma" w:hint="cs"/>
          <w:sz w:val="19"/>
          <w:szCs w:val="19"/>
          <w:rtl/>
        </w:rPr>
        <w:t>מעלות הסולר השנתית שקבעה ועדת המחירים. מכאן,</w:t>
      </w:r>
      <w:r w:rsidRPr="00236CC3">
        <w:rPr>
          <w:rFonts w:ascii="Tahoma" w:eastAsiaTheme="minorHAnsi" w:hAnsi="Tahoma" w:cs="Tahoma"/>
          <w:sz w:val="19"/>
          <w:szCs w:val="19"/>
          <w:rtl/>
        </w:rPr>
        <w:t xml:space="preserve"> שסך עלות הפעלת המונית גדל </w:t>
      </w:r>
      <w:r w:rsidRPr="00236CC3">
        <w:rPr>
          <w:rFonts w:ascii="Tahoma" w:eastAsiaTheme="minorHAnsi" w:hAnsi="Tahoma" w:cs="Tahoma" w:hint="eastAsia"/>
          <w:sz w:val="19"/>
          <w:szCs w:val="19"/>
          <w:rtl/>
        </w:rPr>
        <w:t>בשנת</w:t>
      </w:r>
      <w:r w:rsidRPr="00236CC3">
        <w:rPr>
          <w:rFonts w:ascii="Tahoma" w:eastAsiaTheme="minorHAnsi" w:hAnsi="Tahoma" w:cs="Tahoma"/>
          <w:sz w:val="19"/>
          <w:szCs w:val="19"/>
          <w:rtl/>
        </w:rPr>
        <w:t xml:space="preserve"> 2018 </w:t>
      </w:r>
      <w:r w:rsidRPr="00236CC3">
        <w:rPr>
          <w:rFonts w:ascii="Tahoma" w:eastAsiaTheme="minorHAnsi" w:hAnsi="Tahoma" w:cs="Tahoma" w:hint="eastAsia"/>
          <w:sz w:val="19"/>
          <w:szCs w:val="19"/>
          <w:rtl/>
        </w:rPr>
        <w:t>ב</w:t>
      </w:r>
      <w:r w:rsidRPr="00236CC3">
        <w:rPr>
          <w:rFonts w:ascii="Tahoma" w:eastAsiaTheme="minorHAnsi" w:hAnsi="Tahoma" w:cs="Tahoma"/>
          <w:sz w:val="19"/>
          <w:szCs w:val="19"/>
          <w:rtl/>
        </w:rPr>
        <w:t xml:space="preserve">-1,160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"ח </w:t>
      </w:r>
      <w:r w:rsidRPr="00236CC3">
        <w:rPr>
          <w:rFonts w:ascii="Tahoma" w:eastAsiaTheme="minorHAnsi" w:hAnsi="Tahoma" w:cs="Tahoma" w:hint="eastAsia"/>
          <w:sz w:val="19"/>
          <w:szCs w:val="19"/>
          <w:rtl/>
        </w:rPr>
        <w:t>לשנה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w:t>
      </w:r>
      <w:r w:rsidRPr="00236CC3">
        <w:rPr>
          <w:rFonts w:ascii="Tahoma" w:eastAsiaTheme="minorHAnsi" w:hAnsi="Tahoma" w:cs="Tahoma" w:hint="cs"/>
          <w:sz w:val="19"/>
          <w:szCs w:val="19"/>
          <w:rtl/>
        </w:rPr>
        <w:t xml:space="preserve">עומת </w:t>
      </w:r>
      <w:r w:rsidRPr="00236CC3">
        <w:rPr>
          <w:rFonts w:ascii="Tahoma" w:eastAsiaTheme="minorHAnsi" w:hAnsi="Tahoma" w:cs="Tahoma" w:hint="eastAsia"/>
          <w:sz w:val="19"/>
          <w:szCs w:val="19"/>
          <w:rtl/>
        </w:rPr>
        <w:t>מודל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ועדת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המחירים</w:t>
      </w:r>
      <w:r w:rsidRPr="00236CC3">
        <w:rPr>
          <w:rFonts w:ascii="Tahoma" w:eastAsiaTheme="minorHAnsi" w:hAnsi="Tahoma" w:cs="Tahoma"/>
          <w:sz w:val="19"/>
          <w:szCs w:val="19"/>
          <w:rtl/>
        </w:rPr>
        <w:t xml:space="preserve">. </w:t>
      </w:r>
    </w:p>
    <w:p w14:paraId="2863698C"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b/>
          <w:bCs/>
          <w:sz w:val="19"/>
          <w:szCs w:val="19"/>
          <w:rtl/>
        </w:rPr>
      </w:pPr>
      <w:r w:rsidRPr="00236CC3">
        <w:rPr>
          <w:rFonts w:ascii="Tahoma" w:eastAsiaTheme="minorHAnsi" w:hAnsi="Tahoma" w:cs="Tahoma"/>
          <w:b/>
          <w:bCs/>
          <w:sz w:val="19"/>
          <w:szCs w:val="19"/>
          <w:rtl/>
        </w:rPr>
        <w:t>תשואה להון עצמי</w:t>
      </w:r>
      <w:r w:rsidRPr="00236CC3">
        <w:rPr>
          <w:rFonts w:ascii="Tahoma" w:eastAsiaTheme="minorHAnsi" w:hAnsi="Tahoma" w:cs="Tahoma" w:hint="cs"/>
          <w:b/>
          <w:bCs/>
          <w:sz w:val="19"/>
          <w:szCs w:val="19"/>
          <w:rtl/>
        </w:rPr>
        <w:t xml:space="preserve"> הנובעת מרכישה והפעלה של מונית </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על פי המתודולוגיה לפיקוח על המחירים של משרד האוצר, שיעור התשואה שייקבע יהיה שונה מענף לענף, בהתאם </w:t>
      </w:r>
      <w:r w:rsidRPr="00236CC3">
        <w:rPr>
          <w:rFonts w:ascii="Tahoma" w:eastAsiaTheme="minorHAnsi" w:hAnsi="Tahoma" w:cs="Tahoma" w:hint="eastAsia"/>
          <w:sz w:val="19"/>
          <w:szCs w:val="19"/>
          <w:rtl/>
        </w:rPr>
        <w:t>לרמת</w:t>
      </w:r>
      <w:r w:rsidRPr="00236CC3">
        <w:rPr>
          <w:rFonts w:ascii="Tahoma" w:eastAsiaTheme="minorHAnsi" w:hAnsi="Tahoma" w:cs="Tahoma" w:hint="cs"/>
          <w:sz w:val="19"/>
          <w:szCs w:val="19"/>
          <w:rtl/>
        </w:rPr>
        <w:t xml:space="preserve"> סיכון הפעילות </w:t>
      </w:r>
      <w:r w:rsidRPr="00236CC3">
        <w:rPr>
          <w:rFonts w:ascii="Tahoma" w:eastAsiaTheme="minorHAnsi" w:hAnsi="Tahoma" w:cs="Tahoma" w:hint="eastAsia"/>
          <w:sz w:val="19"/>
          <w:szCs w:val="19"/>
          <w:rtl/>
        </w:rPr>
        <w:t>באותו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ענף</w:t>
      </w:r>
      <w:r w:rsidRPr="00236CC3">
        <w:rPr>
          <w:rFonts w:ascii="Tahoma" w:eastAsiaTheme="minorHAnsi" w:hAnsi="Tahoma" w:cs="Tahoma" w:hint="cs"/>
          <w:sz w:val="19"/>
          <w:szCs w:val="19"/>
          <w:rtl/>
        </w:rPr>
        <w:t xml:space="preserve">, וכך יתאפשר למשקיע בפירמה מפוקחת </w:t>
      </w:r>
      <w:r w:rsidRPr="00236CC3">
        <w:rPr>
          <w:rFonts w:ascii="Tahoma" w:eastAsiaTheme="minorHAnsi" w:hAnsi="Tahoma" w:cs="Tahoma" w:hint="eastAsia"/>
          <w:sz w:val="19"/>
          <w:szCs w:val="19"/>
          <w:rtl/>
        </w:rPr>
        <w:t>הפועלת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באותו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ענף</w:t>
      </w:r>
      <w:r w:rsidRPr="00236CC3">
        <w:rPr>
          <w:rFonts w:ascii="Tahoma" w:eastAsiaTheme="minorHAnsi" w:hAnsi="Tahoma" w:cs="Tahoma" w:hint="cs"/>
          <w:sz w:val="19"/>
          <w:szCs w:val="19"/>
          <w:rtl/>
        </w:rPr>
        <w:t xml:space="preserve"> לקבל תשואה (החזר) הוגנת על השקעתו. </w:t>
      </w:r>
      <w:bookmarkStart w:id="59" w:name="_Hlk173331787"/>
      <w:bookmarkStart w:id="60" w:name="_Hlk173331797"/>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זאת</w:t>
      </w:r>
      <w:bookmarkEnd w:id="59"/>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בביקורת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ועדת המחירים </w:t>
      </w:r>
      <w:r w:rsidRPr="00236CC3">
        <w:rPr>
          <w:rFonts w:ascii="Tahoma" w:eastAsiaTheme="minorHAnsi" w:hAnsi="Tahoma" w:cs="Tahoma" w:hint="cs"/>
          <w:sz w:val="19"/>
          <w:szCs w:val="19"/>
          <w:rtl/>
        </w:rPr>
        <w:t xml:space="preserve">של משרדי התחבורה והאוצר </w:t>
      </w:r>
      <w:r w:rsidRPr="00236CC3">
        <w:rPr>
          <w:rFonts w:ascii="Tahoma" w:eastAsiaTheme="minorHAnsi" w:hAnsi="Tahoma" w:cs="Tahoma"/>
          <w:sz w:val="19"/>
          <w:szCs w:val="19"/>
          <w:rtl/>
        </w:rPr>
        <w:t>לא הציגה נתונים תומכים ופירוט מלא ל</w:t>
      </w:r>
      <w:r w:rsidRPr="00236CC3">
        <w:rPr>
          <w:rFonts w:ascii="Tahoma" w:eastAsiaTheme="minorHAnsi" w:hAnsi="Tahoma" w:cs="Tahoma" w:hint="cs"/>
          <w:sz w:val="19"/>
          <w:szCs w:val="19"/>
          <w:rtl/>
        </w:rPr>
        <w:t>גבי ה</w:t>
      </w:r>
      <w:r w:rsidRPr="00236CC3">
        <w:rPr>
          <w:rFonts w:ascii="Tahoma" w:eastAsiaTheme="minorHAnsi" w:hAnsi="Tahoma" w:cs="Tahoma"/>
          <w:sz w:val="19"/>
          <w:szCs w:val="19"/>
          <w:rtl/>
        </w:rPr>
        <w:t>דרך שבה נקבע שיעור התשואה להון עצמי (8%)</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עבור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רכישת מונית והפעלתה.</w:t>
      </w:r>
      <w:r w:rsidRPr="00236CC3">
        <w:rPr>
          <w:rFonts w:ascii="Tahoma" w:eastAsiaTheme="minorHAnsi" w:hAnsi="Tahoma" w:cs="Tahoma"/>
          <w:sz w:val="19"/>
          <w:szCs w:val="19"/>
          <w:rtl/>
        </w:rPr>
        <w:t xml:space="preserve"> </w:t>
      </w:r>
      <w:bookmarkEnd w:id="60"/>
      <w:r w:rsidRPr="00236CC3">
        <w:rPr>
          <w:rFonts w:ascii="Tahoma" w:eastAsiaTheme="minorHAnsi" w:hAnsi="Tahoma" w:cs="Tahoma"/>
          <w:sz w:val="19"/>
          <w:szCs w:val="19"/>
          <w:rtl/>
        </w:rPr>
        <w:t>היעדר ההנמקה אינו עולה בקנה אחד עם עקרונות המשפט המ</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נהלי ועם עקרונות מתודולוגיית הפיקוח</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שכוללים הסברים על האופן שבו נקבע שיעור התשואה להון העצמי, לרבות דרך </w:t>
      </w:r>
      <w:r w:rsidRPr="00236CC3">
        <w:rPr>
          <w:rFonts w:ascii="Tahoma" w:eastAsiaTheme="minorHAnsi" w:hAnsi="Tahoma" w:cs="Tahoma"/>
          <w:sz w:val="19"/>
          <w:szCs w:val="19"/>
          <w:rtl/>
        </w:rPr>
        <w:lastRenderedPageBreak/>
        <w:t xml:space="preserve">קביעת </w:t>
      </w:r>
      <w:r w:rsidRPr="00236CC3">
        <w:rPr>
          <w:rFonts w:ascii="Tahoma" w:eastAsiaTheme="minorHAnsi" w:hAnsi="Tahoma" w:cs="Tahoma" w:hint="cs"/>
          <w:sz w:val="19"/>
          <w:szCs w:val="19"/>
          <w:rtl/>
        </w:rPr>
        <w:t>המשתנים</w:t>
      </w:r>
      <w:r w:rsidRPr="00236CC3">
        <w:rPr>
          <w:rFonts w:ascii="Tahoma" w:eastAsiaTheme="minorHAnsi" w:hAnsi="Tahoma" w:cs="Tahoma"/>
          <w:sz w:val="19"/>
          <w:szCs w:val="19"/>
          <w:rtl/>
        </w:rPr>
        <w:t xml:space="preserve"> המרכיבים אותו.</w:t>
      </w:r>
      <w:r w:rsidRPr="00236CC3">
        <w:rPr>
          <w:rFonts w:ascii="Tahoma" w:eastAsiaTheme="minorHAnsi" w:hAnsi="Tahoma" w:cs="Tahoma" w:hint="cs"/>
          <w:sz w:val="19"/>
          <w:szCs w:val="19"/>
          <w:rtl/>
        </w:rPr>
        <w:t xml:space="preserve"> בהיעדר הנמקה לא ניתן לקבוע אם התשואה להון של בעל המונית שהובאה בחשבון משקפת את התשואה הראויה שהוא אמור לקבל</w:t>
      </w:r>
      <w:r w:rsidRPr="00236CC3">
        <w:rPr>
          <w:rFonts w:ascii="Tahoma" w:eastAsiaTheme="minorHAnsi" w:hAnsi="Tahoma" w:cs="Tahoma"/>
          <w:sz w:val="19"/>
          <w:szCs w:val="19"/>
          <w:rtl/>
        </w:rPr>
        <w:t>.</w:t>
      </w:r>
    </w:p>
    <w:p w14:paraId="08D4EB2A"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sz w:val="19"/>
          <w:szCs w:val="19"/>
        </w:rPr>
      </w:pPr>
      <w:r w:rsidRPr="00236CC3">
        <w:rPr>
          <w:rFonts w:ascii="Tahoma" w:eastAsiaTheme="minorHAnsi" w:hAnsi="Tahoma" w:cs="Tahoma" w:hint="cs"/>
          <w:b/>
          <w:bCs/>
          <w:sz w:val="19"/>
          <w:szCs w:val="19"/>
          <w:rtl/>
        </w:rPr>
        <w:t xml:space="preserve">התשואה להון הזר המושקע ברכש מונית - שינויים בריבית </w:t>
      </w:r>
      <w:r w:rsidRPr="00236CC3">
        <w:rPr>
          <w:rFonts w:ascii="Tahoma" w:eastAsiaTheme="minorHAnsi" w:hAnsi="Tahoma" w:cs="Tahoma"/>
          <w:sz w:val="19"/>
          <w:szCs w:val="19"/>
          <w:rtl/>
        </w:rPr>
        <w:t>-</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שיעור הריבית במשק משתנה בהתאם להחלטות בנק ישראל</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w:t>
      </w:r>
      <w:r w:rsidRPr="00236CC3">
        <w:rPr>
          <w:rFonts w:ascii="Tahoma" w:eastAsiaTheme="minorHAnsi" w:hAnsi="Tahoma" w:cs="Tahoma" w:hint="eastAsia"/>
          <w:sz w:val="19"/>
          <w:szCs w:val="19"/>
          <w:rtl/>
        </w:rPr>
        <w:t>ככלל</w:t>
      </w:r>
      <w:r w:rsidRPr="00236CC3">
        <w:rPr>
          <w:rFonts w:ascii="Tahoma" w:eastAsiaTheme="minorHAnsi" w:hAnsi="Tahoma" w:cs="Tahoma"/>
          <w:sz w:val="19"/>
          <w:szCs w:val="19"/>
          <w:rtl/>
        </w:rPr>
        <w:t>, הלוואות לרכישת רכב ניתנות בריבית הצמודה לריבית הפריים</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זאת</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w:t>
      </w:r>
      <w:r w:rsidRPr="00236CC3">
        <w:rPr>
          <w:rFonts w:ascii="Tahoma" w:eastAsiaTheme="minorHAnsi" w:hAnsi="Tahoma" w:cs="Tahoma" w:hint="eastAsia"/>
          <w:sz w:val="19"/>
          <w:szCs w:val="19"/>
          <w:rtl/>
        </w:rPr>
        <w:t>בביקורת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ascii="Tahoma" w:eastAsiaTheme="minorHAnsi" w:hAnsi="Tahoma" w:cs="Tahoma"/>
          <w:sz w:val="19"/>
          <w:szCs w:val="19"/>
          <w:rtl/>
        </w:rPr>
        <w:t xml:space="preserve"> מודל הריביות המופיע בעבודת בסיס התעריפים של ועדת המחירים </w:t>
      </w:r>
      <w:r w:rsidRPr="00236CC3">
        <w:rPr>
          <w:rFonts w:ascii="Tahoma" w:eastAsiaTheme="minorHAnsi" w:hAnsi="Tahoma" w:cs="Tahoma" w:hint="cs"/>
          <w:sz w:val="19"/>
          <w:szCs w:val="19"/>
          <w:rtl/>
        </w:rPr>
        <w:t xml:space="preserve">של משרדי התחבורה והאוצר </w:t>
      </w:r>
      <w:r w:rsidRPr="00236CC3">
        <w:rPr>
          <w:rFonts w:ascii="Tahoma" w:eastAsiaTheme="minorHAnsi" w:hAnsi="Tahoma" w:cs="Tahoma"/>
          <w:sz w:val="19"/>
          <w:szCs w:val="19"/>
          <w:rtl/>
        </w:rPr>
        <w:t>אינו כולל מנגנון עדכון הצמוד לשיעור הריבית במשק, אלא למדד המחירים לצרכן בלבד.</w:t>
      </w:r>
      <w:r w:rsidRPr="00236CC3">
        <w:rPr>
          <w:rFonts w:eastAsiaTheme="minorHAnsi" w:hint="cs"/>
          <w:b/>
          <w:bCs/>
          <w:rtl/>
        </w:rPr>
        <w:t xml:space="preserve"> </w:t>
      </w:r>
      <w:r w:rsidRPr="00236CC3">
        <w:rPr>
          <w:rFonts w:ascii="Tahoma" w:eastAsiaTheme="minorHAnsi" w:hAnsi="Tahoma" w:cs="Tahoma" w:hint="cs"/>
          <w:sz w:val="19"/>
          <w:szCs w:val="19"/>
          <w:rtl/>
        </w:rPr>
        <w:t xml:space="preserve">השימוש בהצמדה למדד המחירים לצרכן </w:t>
      </w:r>
      <w:r w:rsidRPr="00236CC3">
        <w:rPr>
          <w:rFonts w:ascii="Tahoma" w:eastAsiaTheme="minorHAnsi" w:hAnsi="Tahoma" w:cs="Tahoma" w:hint="eastAsia"/>
          <w:sz w:val="19"/>
          <w:szCs w:val="19"/>
          <w:rtl/>
        </w:rPr>
        <w:t>בלבד</w:t>
      </w:r>
      <w:r w:rsidRPr="00236CC3">
        <w:rPr>
          <w:rFonts w:ascii="Tahoma" w:eastAsiaTheme="minorHAnsi" w:hAnsi="Tahoma" w:cs="Tahoma" w:hint="cs"/>
          <w:sz w:val="19"/>
          <w:szCs w:val="19"/>
          <w:rtl/>
        </w:rPr>
        <w:t xml:space="preserve"> הביא בפועל לעדכון נמוך של התעריף, לעומת העדכון שהיה מתקבל אילו היו מצמידים את הריבית לתעריף לריבית הפריים. </w:t>
      </w:r>
      <w:r w:rsidRPr="00236CC3">
        <w:rPr>
          <w:rFonts w:ascii="Tahoma" w:eastAsiaTheme="minorHAnsi" w:hAnsi="Tahoma" w:cs="Tahoma" w:hint="eastAsia"/>
          <w:sz w:val="19"/>
          <w:szCs w:val="19"/>
          <w:rtl/>
        </w:rPr>
        <w:t>כך</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אם </w:t>
      </w:r>
      <w:r w:rsidRPr="00236CC3">
        <w:rPr>
          <w:rFonts w:ascii="Tahoma" w:eastAsiaTheme="minorHAnsi" w:hAnsi="Tahoma" w:cs="Tahoma"/>
          <w:sz w:val="19"/>
          <w:szCs w:val="19"/>
          <w:rtl/>
        </w:rPr>
        <w:t>שיעור ריבית הפריים עולה בקצב מהיר משיעור מדד המחירים לצרכן, עשויה להיווצר תוספת עלות שתושת על נהגי המוניות, בגין ריבית על הלוואה לרכישת רכב שאינה מתומחרת במודל הכלכלי.</w:t>
      </w:r>
      <w:r w:rsidRPr="00236CC3">
        <w:rPr>
          <w:rFonts w:eastAsiaTheme="minorHAnsi" w:hint="cs"/>
          <w:b/>
          <w:bCs/>
          <w:rtl/>
        </w:rPr>
        <w:t xml:space="preserve"> </w:t>
      </w:r>
      <w:r w:rsidRPr="00236CC3">
        <w:rPr>
          <w:rFonts w:ascii="Tahoma" w:eastAsiaTheme="minorHAnsi" w:hAnsi="Tahoma" w:cs="Tahoma" w:hint="cs"/>
          <w:sz w:val="19"/>
          <w:szCs w:val="19"/>
          <w:rtl/>
        </w:rPr>
        <w:t xml:space="preserve">מחישוב שערך משרד מבקר המדינה עלה כי הערך העתידי של העלות המוכרת בגין התשואה על הון זר בשנים 2020 - 2023, לפי </w:t>
      </w:r>
      <w:r w:rsidRPr="00236CC3">
        <w:rPr>
          <w:rFonts w:ascii="Tahoma" w:eastAsiaTheme="minorHAnsi" w:hAnsi="Tahoma" w:cs="Tahoma" w:hint="eastAsia"/>
          <w:sz w:val="19"/>
          <w:szCs w:val="19"/>
          <w:rtl/>
        </w:rPr>
        <w:t>מודל</w:t>
      </w:r>
      <w:r w:rsidRPr="00236CC3">
        <w:rPr>
          <w:rFonts w:ascii="Tahoma" w:eastAsiaTheme="minorHAnsi" w:hAnsi="Tahoma" w:cs="Tahoma"/>
          <w:sz w:val="19"/>
          <w:szCs w:val="19"/>
          <w:rtl/>
        </w:rPr>
        <w:t xml:space="preserve"> הוצאות הריבית של ועדת המחירים</w:t>
      </w:r>
      <w:r w:rsidRPr="00236CC3">
        <w:rPr>
          <w:rFonts w:ascii="Tahoma" w:eastAsiaTheme="minorHAnsi" w:hAnsi="Tahoma" w:cs="Tahoma" w:hint="cs"/>
          <w:sz w:val="19"/>
          <w:szCs w:val="19"/>
          <w:rtl/>
        </w:rPr>
        <w:t xml:space="preserve"> לשנת 2023,</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נאמד </w:t>
      </w:r>
      <w:r w:rsidRPr="00236CC3">
        <w:rPr>
          <w:rFonts w:ascii="Tahoma" w:eastAsiaTheme="minorHAnsi" w:hAnsi="Tahoma" w:cs="Tahoma" w:hint="eastAsia"/>
          <w:sz w:val="19"/>
          <w:szCs w:val="19"/>
          <w:rtl/>
        </w:rPr>
        <w:t>בכ</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4,001 ש"ח. לעומת זאת,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מ</w:t>
      </w:r>
      <w:r w:rsidRPr="00236CC3">
        <w:rPr>
          <w:rFonts w:ascii="Tahoma" w:eastAsiaTheme="minorHAnsi" w:hAnsi="Tahoma" w:cs="Tahoma" w:hint="eastAsia"/>
          <w:sz w:val="19"/>
          <w:szCs w:val="19"/>
          <w:rtl/>
        </w:rPr>
        <w:t>חישוב</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שכולל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הצמדה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לריבית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הפריים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עולה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אומדן</w:t>
      </w:r>
      <w:r w:rsidRPr="00236CC3">
        <w:rPr>
          <w:rFonts w:ascii="Tahoma" w:eastAsiaTheme="minorHAnsi" w:hAnsi="Tahoma" w:cs="Tahoma"/>
          <w:sz w:val="19"/>
          <w:szCs w:val="19"/>
          <w:rtl/>
        </w:rPr>
        <w:t xml:space="preserve"> הוצאה </w:t>
      </w:r>
      <w:r w:rsidRPr="00236CC3">
        <w:rPr>
          <w:rFonts w:ascii="Tahoma" w:eastAsiaTheme="minorHAnsi" w:hAnsi="Tahoma" w:cs="Tahoma" w:hint="cs"/>
          <w:sz w:val="19"/>
          <w:szCs w:val="19"/>
          <w:rtl/>
        </w:rPr>
        <w:t xml:space="preserve">בערך עתידי בסכום של 5,797 </w:t>
      </w:r>
      <w:r w:rsidRPr="00236CC3">
        <w:rPr>
          <w:rFonts w:ascii="Tahoma" w:eastAsiaTheme="minorHAnsi" w:hAnsi="Tahoma" w:cs="Tahoma"/>
          <w:sz w:val="19"/>
          <w:szCs w:val="19"/>
          <w:rtl/>
        </w:rPr>
        <w:t xml:space="preserve">ש"ח בשנת 2023 בריבית פריים+1% או הוצאה של </w:t>
      </w:r>
      <w:r w:rsidRPr="00236CC3">
        <w:rPr>
          <w:rFonts w:ascii="Tahoma" w:eastAsiaTheme="minorHAnsi" w:hAnsi="Tahoma" w:cs="Tahoma" w:hint="cs"/>
          <w:sz w:val="19"/>
          <w:szCs w:val="19"/>
          <w:rtl/>
        </w:rPr>
        <w:t xml:space="preserve">5,059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"ח </w:t>
      </w:r>
      <w:r w:rsidRPr="00236CC3">
        <w:rPr>
          <w:rFonts w:ascii="Tahoma" w:eastAsiaTheme="minorHAnsi" w:hAnsi="Tahoma" w:cs="Tahoma" w:hint="eastAsia"/>
          <w:sz w:val="19"/>
          <w:szCs w:val="19"/>
          <w:rtl/>
        </w:rPr>
        <w:t>בריבית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פריים</w:t>
      </w:r>
      <w:r w:rsidRPr="00236CC3">
        <w:rPr>
          <w:rFonts w:ascii="Tahoma" w:eastAsiaTheme="minorHAnsi" w:hAnsi="Tahoma" w:cs="Tahoma"/>
          <w:sz w:val="19"/>
          <w:szCs w:val="19"/>
          <w:rtl/>
        </w:rPr>
        <w:t>+0.5%</w:t>
      </w:r>
      <w:r w:rsidRPr="00236CC3">
        <w:rPr>
          <w:rFonts w:ascii="Tahoma" w:eastAsiaTheme="minorHAnsi" w:hAnsi="Tahoma" w:cs="Tahoma" w:hint="cs"/>
          <w:sz w:val="19"/>
          <w:szCs w:val="19"/>
          <w:rtl/>
        </w:rPr>
        <w:t xml:space="preserve">. סכומים אלו </w:t>
      </w:r>
      <w:r w:rsidRPr="00236CC3">
        <w:rPr>
          <w:rFonts w:ascii="Tahoma" w:eastAsiaTheme="minorHAnsi" w:hAnsi="Tahoma" w:cs="Tahoma"/>
          <w:sz w:val="19"/>
          <w:szCs w:val="19"/>
          <w:rtl/>
        </w:rPr>
        <w:t xml:space="preserve">גבוהים </w:t>
      </w:r>
      <w:r w:rsidRPr="00236CC3">
        <w:rPr>
          <w:rFonts w:ascii="Tahoma" w:eastAsiaTheme="minorHAnsi" w:hAnsi="Tahoma" w:cs="Tahoma" w:hint="cs"/>
          <w:sz w:val="19"/>
          <w:szCs w:val="19"/>
          <w:rtl/>
        </w:rPr>
        <w:t>בכ-1,796 ש"ח ובכ-1,058 ש"ח בהתאמה מאומדן ההוצאות המודל התעריף של ועדת המחירים</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הפרשים אלו מייצגים את תוספת עלות המימון המושתת על נהגי המוניות עבור קבלת הלוואה לרכישת רכב, לעומת המחיר שקבעה ועדת המחירים, ואינה מתבטאת בייקור התעריפים בהתאם.</w:t>
      </w:r>
    </w:p>
    <w:p w14:paraId="6B4E72C9" w14:textId="77777777" w:rsidR="00236CC3" w:rsidRPr="00236CC3" w:rsidRDefault="00000000" w:rsidP="00236CC3">
      <w:pPr>
        <w:numPr>
          <w:ilvl w:val="0"/>
          <w:numId w:val="28"/>
        </w:numPr>
        <w:spacing w:after="120" w:line="288" w:lineRule="auto"/>
        <w:ind w:left="284" w:right="-567" w:hanging="403"/>
        <w:rPr>
          <w:rFonts w:ascii="Tahoma" w:eastAsiaTheme="minorHAnsi" w:hAnsi="Tahoma" w:cs="Tahoma"/>
          <w:sz w:val="19"/>
          <w:szCs w:val="19"/>
        </w:rPr>
      </w:pPr>
      <w:r w:rsidRPr="00236CC3">
        <w:rPr>
          <w:rFonts w:ascii="Tahoma" w:eastAsiaTheme="minorHAnsi" w:hAnsi="Tahoma" w:cs="Tahoma" w:hint="cs"/>
          <w:b/>
          <w:bCs/>
          <w:sz w:val="19"/>
          <w:szCs w:val="19"/>
          <w:rtl/>
        </w:rPr>
        <w:t xml:space="preserve">שינויים טכנולוגיים </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בחינת סוג ההנעה של המוניות מעלה כי בשנת 2018 היה שיעורן של המוניות שמונעות בסולר מכלל המוניות כ-96.1% ושל המוניות ההיברידיות - 3.3%. ואולם בשנת 2022 שיעורן של המוניות המונעות בסולר ירד ל-67.4%, ושיעור המוניות ההיברידיות עלה ל-30.5%. יתר על כן, לצי המוניות נכנסו גם כ-0.4% מוניות חשמליות. </w:t>
      </w:r>
      <w:r w:rsidRPr="00236CC3">
        <w:rPr>
          <w:rFonts w:ascii="Tahoma" w:eastAsiaTheme="minorHAnsi" w:hAnsi="Tahoma" w:cs="Tahoma"/>
          <w:sz w:val="19"/>
          <w:szCs w:val="19"/>
          <w:rtl/>
        </w:rPr>
        <w:t>מונית בהנעה היברידית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ובפרט בהנעה חשמלית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שונה ממונית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מונעת בסולר בהיבטי עלות הרכב, צריכת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אנרגי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ה ו</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טיפולים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שוטפים.</w:t>
      </w:r>
      <w:r w:rsidRPr="00236CC3">
        <w:rPr>
          <w:rFonts w:ascii="David" w:eastAsiaTheme="minorHAnsi" w:hAnsi="David" w:hint="cs"/>
          <w:b/>
          <w:bCs/>
          <w:sz w:val="24"/>
          <w:rtl/>
        </w:rPr>
        <w:t xml:space="preserve"> </w:t>
      </w:r>
      <w:r w:rsidRPr="00236CC3">
        <w:rPr>
          <w:rFonts w:ascii="Tahoma" w:eastAsiaTheme="minorHAnsi" w:hAnsi="Tahoma" w:cs="Tahoma" w:hint="cs"/>
          <w:sz w:val="19"/>
          <w:szCs w:val="19"/>
          <w:rtl/>
        </w:rPr>
        <w:t xml:space="preserve">חרף השינוי הטכנולוגי שחל בענף המוניות, שעיקרו מעבר מרכבים המונעים בסולר למצב שבו כשליש מהרכבים הם היברידיים, המודל הכלכלי של ועדת המחירים של משרדי התחבורה והאוצר שממנו נובעים תעריפי הנסיעה נותר מבוסס על רכב טיפוסי יחיד המונע בסולר. </w:t>
      </w:r>
    </w:p>
    <w:p w14:paraId="3B9682A1" w14:textId="77777777" w:rsidR="00236CC3" w:rsidRPr="008F2D4E"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8F2D4E">
        <w:rPr>
          <w:rFonts w:ascii="Tahoma" w:eastAsiaTheme="minorHAnsi" w:hAnsi="Tahoma" w:cs="Tahoma" w:hint="cs"/>
          <w:b/>
          <w:bCs/>
          <w:sz w:val="19"/>
          <w:szCs w:val="19"/>
          <w:rtl/>
        </w:rPr>
        <w:t xml:space="preserve">עדכון בסיס התעריפים </w:t>
      </w:r>
      <w:r w:rsidRPr="008F2D4E">
        <w:rPr>
          <w:rFonts w:ascii="Tahoma" w:eastAsiaTheme="minorHAnsi" w:hAnsi="Tahoma" w:cs="Tahoma"/>
          <w:sz w:val="19"/>
          <w:szCs w:val="19"/>
          <w:rtl/>
        </w:rPr>
        <w:t>-</w:t>
      </w:r>
      <w:r w:rsidRPr="008F2D4E">
        <w:rPr>
          <w:rFonts w:ascii="Tahoma" w:eastAsiaTheme="minorHAnsi" w:hAnsi="Tahoma" w:cs="Tahoma" w:hint="cs"/>
          <w:sz w:val="19"/>
          <w:szCs w:val="19"/>
          <w:rtl/>
        </w:rPr>
        <w:t xml:space="preserve"> אף שמתודולוגיית הפיקוח על המחירים ממליצה לעדכן מודל כלכלי המבסס מחירים בפיקוח אחת לשנה עד חמש שנים, ואף שעברו שבע שנים ממועד הכנת העבודה הכלכלית שעסקה בתעריפי הנסיעה במוניות מיוחדות (בשנת 2017), במאי 2024 טרם הושלמה עבודה עדכנית להחלפת בסיס התעריפים הקיים בבסיס תעריפים חדש בענף המוניות המיוחדות על ידי הרשות הארצית לתחבורה ציבורית במשרד התחבורה וּועדת המחירים של משרדי התחבורה והאוצר.</w:t>
      </w:r>
    </w:p>
    <w:p w14:paraId="181E2CD6" w14:textId="77777777" w:rsidR="00236CC3" w:rsidRPr="008F2D4E"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8F2D4E">
        <w:rPr>
          <w:rFonts w:ascii="Tahoma" w:eastAsiaTheme="minorHAnsi" w:hAnsi="Tahoma" w:cs="Tahoma" w:hint="eastAsia"/>
          <w:b/>
          <w:bCs/>
          <w:sz w:val="19"/>
          <w:szCs w:val="19"/>
          <w:rtl/>
        </w:rPr>
        <w:t>מערכת</w:t>
      </w:r>
      <w:r w:rsidRPr="008F2D4E">
        <w:rPr>
          <w:rFonts w:ascii="Tahoma" w:eastAsiaTheme="minorHAnsi" w:hAnsi="Tahoma" w:cs="Tahoma"/>
          <w:b/>
          <w:bCs/>
          <w:sz w:val="19"/>
          <w:szCs w:val="19"/>
          <w:rtl/>
        </w:rPr>
        <w:t xml:space="preserve"> </w:t>
      </w:r>
      <w:r w:rsidRPr="008F2D4E">
        <w:rPr>
          <w:rFonts w:ascii="Tahoma" w:eastAsiaTheme="minorHAnsi" w:hAnsi="Tahoma" w:cs="Tahoma"/>
          <w:b/>
          <w:bCs/>
          <w:sz w:val="19"/>
          <w:szCs w:val="19"/>
        </w:rPr>
        <w:t>BI</w:t>
      </w:r>
      <w:r w:rsidRPr="008F2D4E">
        <w:rPr>
          <w:rFonts w:ascii="Tahoma" w:eastAsiaTheme="minorHAnsi" w:hAnsi="Tahoma" w:cs="Tahoma"/>
          <w:b/>
          <w:bCs/>
          <w:sz w:val="19"/>
          <w:szCs w:val="19"/>
          <w:rtl/>
        </w:rPr>
        <w:t xml:space="preserve"> לניתוח נתונים מהמונים החדשים</w:t>
      </w:r>
      <w:r w:rsidRPr="008F2D4E">
        <w:rPr>
          <w:rFonts w:ascii="Tahoma" w:eastAsiaTheme="minorHAnsi" w:hAnsi="Tahoma" w:cs="Tahoma"/>
          <w:sz w:val="19"/>
          <w:szCs w:val="19"/>
          <w:rtl/>
        </w:rPr>
        <w:t xml:space="preserve"> - במועד סיום הביקורת (</w:t>
      </w:r>
      <w:r w:rsidRPr="008F2D4E">
        <w:rPr>
          <w:rFonts w:ascii="Tahoma" w:eastAsiaTheme="minorHAnsi" w:hAnsi="Tahoma" w:cs="Tahoma" w:hint="eastAsia"/>
          <w:sz w:val="19"/>
          <w:szCs w:val="19"/>
          <w:rtl/>
        </w:rPr>
        <w:t>מאי</w:t>
      </w:r>
      <w:r w:rsidRPr="008F2D4E">
        <w:rPr>
          <w:rFonts w:ascii="Tahoma" w:eastAsiaTheme="minorHAnsi" w:hAnsi="Tahoma" w:cs="Tahoma"/>
          <w:sz w:val="19"/>
          <w:szCs w:val="19"/>
          <w:rtl/>
        </w:rPr>
        <w:t xml:space="preserve"> 2024), כארבע שנים </w:t>
      </w:r>
      <w:r w:rsidRPr="008F2D4E">
        <w:rPr>
          <w:rFonts w:ascii="Tahoma" w:eastAsiaTheme="minorHAnsi" w:hAnsi="Tahoma" w:cs="Tahoma" w:hint="eastAsia"/>
          <w:sz w:val="19"/>
          <w:szCs w:val="19"/>
          <w:rtl/>
        </w:rPr>
        <w:t>לאחר</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החלת</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החובה</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להתקין</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מונה</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חכם</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המאפשר</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איסוף</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מידע</w:t>
      </w:r>
      <w:r w:rsidRPr="008F2D4E">
        <w:rPr>
          <w:rFonts w:ascii="Tahoma" w:eastAsiaTheme="minorHAnsi" w:hAnsi="Tahoma" w:cs="Tahoma"/>
          <w:sz w:val="19"/>
          <w:szCs w:val="19"/>
          <w:rtl/>
        </w:rPr>
        <w:t xml:space="preserve"> (מאי 2020), טרם הטמיע משרד התחבורה מערכת ממוחשבת (</w:t>
      </w:r>
      <w:r w:rsidRPr="008F2D4E">
        <w:rPr>
          <w:rFonts w:ascii="Tahoma" w:eastAsiaTheme="minorHAnsi" w:hAnsi="Tahoma" w:cs="Tahoma"/>
          <w:sz w:val="19"/>
          <w:szCs w:val="19"/>
        </w:rPr>
        <w:t>BI</w:t>
      </w:r>
      <w:r w:rsidRPr="008F2D4E">
        <w:rPr>
          <w:rFonts w:ascii="Tahoma" w:eastAsiaTheme="minorHAnsi" w:hAnsi="Tahoma" w:cs="Tahoma"/>
          <w:sz w:val="19"/>
          <w:szCs w:val="19"/>
          <w:rtl/>
        </w:rPr>
        <w:t xml:space="preserve">) לשליפה ולניתוח </w:t>
      </w:r>
      <w:r w:rsidRPr="008F2D4E">
        <w:rPr>
          <w:rFonts w:ascii="Tahoma" w:eastAsiaTheme="minorHAnsi" w:hAnsi="Tahoma" w:cs="Tahoma" w:hint="eastAsia"/>
          <w:sz w:val="19"/>
          <w:szCs w:val="19"/>
          <w:rtl/>
        </w:rPr>
        <w:t>של</w:t>
      </w:r>
      <w:r w:rsidRPr="008F2D4E">
        <w:rPr>
          <w:rFonts w:ascii="Tahoma" w:eastAsiaTheme="minorHAnsi" w:hAnsi="Tahoma" w:cs="Tahoma"/>
          <w:sz w:val="19"/>
          <w:szCs w:val="19"/>
          <w:rtl/>
        </w:rPr>
        <w:t xml:space="preserve"> הנתונים שעשויה לאפשר הסקת מסקנות רוחביות על הענף, ולכן טרם בוצע ניתוח הנתונים.</w:t>
      </w:r>
    </w:p>
    <w:p w14:paraId="58AAD91E" w14:textId="77777777" w:rsidR="00236CC3" w:rsidRPr="008F2D4E"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8F2D4E">
        <w:rPr>
          <w:rFonts w:ascii="Tahoma" w:eastAsiaTheme="minorHAnsi" w:hAnsi="Tahoma" w:cs="Tahoma" w:hint="eastAsia"/>
          <w:b/>
          <w:bCs/>
          <w:sz w:val="19"/>
          <w:szCs w:val="19"/>
          <w:rtl/>
        </w:rPr>
        <w:t>תעריפי</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נסיעה</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מיוחדים</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ליעדים</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מרכזיים</w:t>
      </w:r>
      <w:r w:rsidRPr="008F2D4E">
        <w:rPr>
          <w:rFonts w:ascii="Tahoma" w:eastAsiaTheme="minorHAnsi" w:hAnsi="Tahoma" w:cs="Tahoma"/>
          <w:sz w:val="19"/>
          <w:szCs w:val="19"/>
          <w:rtl/>
        </w:rPr>
        <w:t xml:space="preserve"> - בביקורת עלה כי בשש ערים גדולות בעולם שנסקרו (לונדון, רומא, מדריד, ברצלונה, ברלין </w:t>
      </w:r>
      <w:r w:rsidRPr="008F2D4E">
        <w:rPr>
          <w:rFonts w:ascii="Tahoma" w:eastAsiaTheme="minorHAnsi" w:hAnsi="Tahoma" w:cs="Tahoma" w:hint="eastAsia"/>
          <w:sz w:val="19"/>
          <w:szCs w:val="19"/>
          <w:rtl/>
        </w:rPr>
        <w:t>ונניו</w:t>
      </w:r>
      <w:r w:rsidRPr="008F2D4E">
        <w:rPr>
          <w:rFonts w:ascii="Tahoma" w:eastAsiaTheme="minorHAnsi" w:hAnsi="Tahoma" w:cs="Tahoma"/>
          <w:sz w:val="19"/>
          <w:szCs w:val="19"/>
          <w:rtl/>
        </w:rPr>
        <w:t xml:space="preserve"> יורק), לצד תעריפים רגילים המבוססים על זמן </w:t>
      </w:r>
      <w:r w:rsidRPr="008F2D4E">
        <w:rPr>
          <w:rFonts w:ascii="Tahoma" w:eastAsiaTheme="minorHAnsi" w:hAnsi="Tahoma" w:cs="Tahoma" w:hint="eastAsia"/>
          <w:sz w:val="19"/>
          <w:szCs w:val="19"/>
          <w:rtl/>
        </w:rPr>
        <w:t>ה</w:t>
      </w:r>
      <w:r w:rsidRPr="008F2D4E">
        <w:rPr>
          <w:rFonts w:ascii="Tahoma" w:eastAsiaTheme="minorHAnsi" w:hAnsi="Tahoma" w:cs="Tahoma"/>
          <w:sz w:val="19"/>
          <w:szCs w:val="19"/>
          <w:rtl/>
        </w:rPr>
        <w:t xml:space="preserve">נסיעה, מרחק הנסיעה או </w:t>
      </w:r>
      <w:r w:rsidRPr="008F2D4E">
        <w:rPr>
          <w:rFonts w:ascii="Tahoma" w:eastAsiaTheme="minorHAnsi" w:hAnsi="Tahoma" w:cs="Tahoma"/>
          <w:sz w:val="19"/>
          <w:szCs w:val="19"/>
          <w:rtl/>
        </w:rPr>
        <w:lastRenderedPageBreak/>
        <w:t xml:space="preserve">שילוב ביניהם, קיימים תעריפים מיוחדים ליעדים מרכזיים כגון נמלי תעופה, זאת לרבות </w:t>
      </w:r>
      <w:r w:rsidRPr="008F2D4E">
        <w:rPr>
          <w:rFonts w:ascii="Tahoma" w:eastAsiaTheme="minorHAnsi" w:hAnsi="Tahoma" w:cs="Tahoma" w:hint="eastAsia"/>
          <w:sz w:val="19"/>
          <w:szCs w:val="19"/>
          <w:rtl/>
        </w:rPr>
        <w:t>במטרופולינים</w:t>
      </w:r>
      <w:r w:rsidRPr="008F2D4E">
        <w:rPr>
          <w:rFonts w:ascii="Tahoma" w:eastAsiaTheme="minorHAnsi" w:hAnsi="Tahoma" w:cs="Tahoma"/>
          <w:sz w:val="19"/>
          <w:szCs w:val="19"/>
          <w:rtl/>
        </w:rPr>
        <w:t xml:space="preserve"> שנסקרו ושיש להן מאפיינים דומים למטרופולין תל אביב, כגון מטרופולין ניו יורק ומטרופולין ברצלונה המתאפיינות בריבוי ערים ובאוכלוסייה צפופה. מנגד, בישראל משרד התחבורה וועדת המחירים לא קבעו תעריפים מיוחדים ליעדים מרכזיים, לרבות עבור נסיעה ל</w:t>
      </w:r>
      <w:r w:rsidRPr="008F2D4E">
        <w:rPr>
          <w:rFonts w:ascii="Tahoma" w:eastAsiaTheme="minorHAnsi" w:hAnsi="Tahoma" w:cs="Tahoma" w:hint="eastAsia"/>
          <w:sz w:val="19"/>
          <w:szCs w:val="19"/>
          <w:rtl/>
        </w:rPr>
        <w:t>נמל</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התעופה</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בן</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גוריון</w:t>
      </w:r>
      <w:r w:rsidRPr="008F2D4E">
        <w:rPr>
          <w:rFonts w:ascii="Tahoma" w:eastAsiaTheme="minorHAnsi" w:hAnsi="Tahoma" w:cs="Tahoma"/>
          <w:sz w:val="19"/>
          <w:szCs w:val="19"/>
          <w:rtl/>
        </w:rPr>
        <w:t xml:space="preserve"> (נתב"ג). קיומו של תעריף ייעודי </w:t>
      </w:r>
      <w:r w:rsidRPr="008F2D4E">
        <w:rPr>
          <w:rFonts w:ascii="Tahoma" w:eastAsiaTheme="minorHAnsi" w:hAnsi="Tahoma" w:cs="Tahoma" w:hint="eastAsia"/>
          <w:sz w:val="19"/>
          <w:szCs w:val="19"/>
          <w:rtl/>
        </w:rPr>
        <w:t>לנתב</w:t>
      </w:r>
      <w:r w:rsidRPr="008F2D4E">
        <w:rPr>
          <w:rFonts w:ascii="Tahoma" w:eastAsiaTheme="minorHAnsi" w:hAnsi="Tahoma" w:cs="Tahoma"/>
          <w:sz w:val="19"/>
          <w:szCs w:val="19"/>
          <w:rtl/>
        </w:rPr>
        <w:t xml:space="preserve">"ג עשוי להפיג חששות לגבי עלות הנסיעה מצד תיירים וכן מצד נוסעים ישראלים שאינם בקיאים באופן התשלום עבור נסיעה במונית, לרבות חובת הפעלת מונה. </w:t>
      </w:r>
    </w:p>
    <w:p w14:paraId="2D5849C3" w14:textId="77777777" w:rsidR="00236CC3" w:rsidRPr="008F2D4E"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8F2D4E">
        <w:rPr>
          <w:rFonts w:ascii="Tahoma" w:eastAsiaTheme="minorHAnsi" w:hAnsi="Tahoma" w:cs="Tahoma" w:hint="eastAsia"/>
          <w:b/>
          <w:bCs/>
          <w:sz w:val="19"/>
          <w:szCs w:val="19"/>
          <w:rtl/>
        </w:rPr>
        <w:t>זיהום</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אוויר</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על</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ידי</w:t>
      </w:r>
      <w:r w:rsidRPr="008F2D4E">
        <w:rPr>
          <w:rFonts w:ascii="Tahoma" w:eastAsiaTheme="minorHAnsi" w:hAnsi="Tahoma" w:cs="Tahoma"/>
          <w:b/>
          <w:bCs/>
          <w:sz w:val="19"/>
          <w:szCs w:val="19"/>
          <w:rtl/>
        </w:rPr>
        <w:t xml:space="preserve"> </w:t>
      </w:r>
      <w:r w:rsidRPr="008F2D4E">
        <w:rPr>
          <w:rFonts w:ascii="Tahoma" w:eastAsiaTheme="minorHAnsi" w:hAnsi="Tahoma" w:cs="Tahoma" w:hint="eastAsia"/>
          <w:b/>
          <w:bCs/>
          <w:sz w:val="19"/>
          <w:szCs w:val="19"/>
          <w:rtl/>
        </w:rPr>
        <w:t>מוניות</w:t>
      </w:r>
      <w:r w:rsidRPr="008F2D4E">
        <w:rPr>
          <w:rFonts w:ascii="Tahoma" w:eastAsiaTheme="minorHAnsi" w:hAnsi="Tahoma" w:cs="Tahoma"/>
          <w:sz w:val="19"/>
          <w:szCs w:val="19"/>
          <w:rtl/>
        </w:rPr>
        <w:t xml:space="preserve"> - המוניות מאופיינות בנסועה גבוהה, עד יותר מפי </w:t>
      </w:r>
      <w:r w:rsidRPr="008F2D4E">
        <w:rPr>
          <w:rFonts w:ascii="Tahoma" w:eastAsiaTheme="minorHAnsi" w:hAnsi="Tahoma" w:cs="Tahoma" w:hint="eastAsia"/>
          <w:sz w:val="19"/>
          <w:szCs w:val="19"/>
          <w:rtl/>
        </w:rPr>
        <w:t>ארבעה</w:t>
      </w:r>
      <w:r w:rsidRPr="008F2D4E">
        <w:rPr>
          <w:rFonts w:ascii="Tahoma" w:eastAsiaTheme="minorHAnsi" w:hAnsi="Tahoma" w:cs="Tahoma"/>
          <w:sz w:val="19"/>
          <w:szCs w:val="19"/>
          <w:rtl/>
        </w:rPr>
        <w:t xml:space="preserve"> ל</w:t>
      </w:r>
      <w:r w:rsidRPr="008F2D4E">
        <w:rPr>
          <w:rFonts w:ascii="Tahoma" w:eastAsiaTheme="minorHAnsi" w:hAnsi="Tahoma" w:cs="Tahoma" w:hint="eastAsia"/>
          <w:sz w:val="19"/>
          <w:szCs w:val="19"/>
          <w:rtl/>
        </w:rPr>
        <w:t>עומת</w:t>
      </w:r>
      <w:r w:rsidRPr="008F2D4E">
        <w:rPr>
          <w:rFonts w:ascii="Tahoma" w:eastAsiaTheme="minorHAnsi" w:hAnsi="Tahoma" w:cs="Tahoma"/>
          <w:sz w:val="19"/>
          <w:szCs w:val="19"/>
          <w:rtl/>
        </w:rPr>
        <w:t xml:space="preserve"> רכב פרטי רגיל, </w:t>
      </w:r>
      <w:r w:rsidRPr="008F2D4E">
        <w:rPr>
          <w:rFonts w:ascii="Tahoma" w:eastAsiaTheme="minorHAnsi" w:hAnsi="Tahoma" w:cs="Tahoma" w:hint="eastAsia"/>
          <w:sz w:val="19"/>
          <w:szCs w:val="19"/>
          <w:rtl/>
        </w:rPr>
        <w:t>ו</w:t>
      </w:r>
      <w:r w:rsidRPr="008F2D4E">
        <w:rPr>
          <w:rFonts w:ascii="Tahoma" w:eastAsiaTheme="minorHAnsi" w:hAnsi="Tahoma" w:cs="Tahoma"/>
          <w:sz w:val="19"/>
          <w:szCs w:val="19"/>
          <w:rtl/>
        </w:rPr>
        <w:t xml:space="preserve">הנסועה הכוללת שלהן </w:t>
      </w:r>
      <w:r w:rsidRPr="008F2D4E">
        <w:rPr>
          <w:rFonts w:ascii="Tahoma" w:eastAsiaTheme="minorHAnsi" w:hAnsi="Tahoma" w:cs="Tahoma" w:hint="eastAsia"/>
          <w:sz w:val="19"/>
          <w:szCs w:val="19"/>
          <w:rtl/>
        </w:rPr>
        <w:t>היא</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כ</w:t>
      </w:r>
      <w:r w:rsidRPr="008F2D4E">
        <w:rPr>
          <w:rFonts w:ascii="Tahoma" w:eastAsiaTheme="minorHAnsi" w:hAnsi="Tahoma" w:cs="Tahoma"/>
          <w:sz w:val="19"/>
          <w:szCs w:val="19"/>
          <w:rtl/>
        </w:rPr>
        <w:t xml:space="preserve">-2.4% מהנסועה הכבישית, </w:t>
      </w:r>
      <w:r w:rsidRPr="008F2D4E">
        <w:rPr>
          <w:rFonts w:ascii="Tahoma" w:eastAsiaTheme="minorHAnsi" w:hAnsi="Tahoma" w:cs="Tahoma" w:hint="eastAsia"/>
          <w:sz w:val="19"/>
          <w:szCs w:val="19"/>
          <w:rtl/>
        </w:rPr>
        <w:t>אף</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על</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פי</w:t>
      </w:r>
      <w:r w:rsidRPr="008F2D4E">
        <w:rPr>
          <w:rFonts w:ascii="Tahoma" w:eastAsiaTheme="minorHAnsi" w:hAnsi="Tahoma" w:cs="Tahoma"/>
          <w:sz w:val="19"/>
          <w:szCs w:val="19"/>
          <w:rtl/>
        </w:rPr>
        <w:t xml:space="preserve"> </w:t>
      </w:r>
      <w:r w:rsidRPr="008F2D4E">
        <w:rPr>
          <w:rFonts w:ascii="Tahoma" w:eastAsiaTheme="minorHAnsi" w:hAnsi="Tahoma" w:cs="Tahoma" w:hint="eastAsia"/>
          <w:sz w:val="19"/>
          <w:szCs w:val="19"/>
          <w:rtl/>
        </w:rPr>
        <w:t>שהן</w:t>
      </w:r>
      <w:r w:rsidRPr="008F2D4E">
        <w:rPr>
          <w:rFonts w:eastAsiaTheme="minorHAnsi"/>
          <w:rtl/>
        </w:rPr>
        <w:t xml:space="preserve"> </w:t>
      </w:r>
      <w:r w:rsidRPr="008F2D4E">
        <w:rPr>
          <w:rFonts w:ascii="Tahoma" w:eastAsiaTheme="minorHAnsi" w:hAnsi="Tahoma" w:cs="Tahoma"/>
          <w:sz w:val="19"/>
          <w:szCs w:val="19"/>
          <w:rtl/>
        </w:rPr>
        <w:t xml:space="preserve">רק כ-0.6% מסך הרכבים. </w:t>
      </w:r>
      <w:r w:rsidRPr="008F2D4E">
        <w:rPr>
          <w:rFonts w:ascii="Tahoma" w:eastAsiaTheme="minorHAnsi" w:hAnsi="Tahoma" w:cs="Tahoma" w:hint="eastAsia"/>
          <w:sz w:val="19"/>
          <w:szCs w:val="19"/>
          <w:rtl/>
        </w:rPr>
        <w:t>ב</w:t>
      </w:r>
      <w:r w:rsidRPr="008F2D4E">
        <w:rPr>
          <w:rFonts w:ascii="Tahoma" w:eastAsiaTheme="minorHAnsi" w:hAnsi="Tahoma" w:cs="Tahoma"/>
          <w:sz w:val="19"/>
          <w:szCs w:val="19"/>
          <w:rtl/>
        </w:rPr>
        <w:t xml:space="preserve">סוף שנת 2022 </w:t>
      </w:r>
      <w:r w:rsidRPr="008F2D4E">
        <w:rPr>
          <w:rFonts w:ascii="Tahoma" w:eastAsiaTheme="minorHAnsi" w:hAnsi="Tahoma" w:cs="Tahoma" w:hint="eastAsia"/>
          <w:sz w:val="19"/>
          <w:szCs w:val="19"/>
          <w:rtl/>
        </w:rPr>
        <w:t>עדיין</w:t>
      </w:r>
      <w:r w:rsidRPr="008F2D4E">
        <w:rPr>
          <w:rFonts w:ascii="Tahoma" w:eastAsiaTheme="minorHAnsi" w:hAnsi="Tahoma" w:cs="Tahoma"/>
          <w:sz w:val="19"/>
          <w:szCs w:val="19"/>
          <w:rtl/>
        </w:rPr>
        <w:t xml:space="preserve"> היו מרבית המוניות (יותר מ-15,000 מוניות, שהן 67% מכ</w:t>
      </w:r>
      <w:r w:rsidRPr="008F2D4E">
        <w:rPr>
          <w:rFonts w:ascii="Tahoma" w:eastAsiaTheme="minorHAnsi" w:hAnsi="Tahoma" w:cs="Tahoma" w:hint="eastAsia"/>
          <w:sz w:val="19"/>
          <w:szCs w:val="19"/>
          <w:rtl/>
        </w:rPr>
        <w:t>ל</w:t>
      </w:r>
      <w:r w:rsidRPr="008F2D4E">
        <w:rPr>
          <w:rFonts w:ascii="Tahoma" w:eastAsiaTheme="minorHAnsi" w:hAnsi="Tahoma" w:cs="Tahoma"/>
          <w:sz w:val="19"/>
          <w:szCs w:val="19"/>
          <w:rtl/>
        </w:rPr>
        <w:t xml:space="preserve">ל המוניות) מונעות באמצעות סולר, הנעה המתאפיינת בזיהום אוויר גבוה במיוחד. מוניות נוסעות לרוב במרכזי הערים בהיקפים גדולים ובמרבית שעות היממה, ותרומתן לסך פליטות תחמוצות החנקן מכלי רכב גדולה בהרבה </w:t>
      </w:r>
      <w:r w:rsidRPr="008F2D4E">
        <w:rPr>
          <w:rFonts w:ascii="Tahoma" w:eastAsiaTheme="minorHAnsi" w:hAnsi="Tahoma" w:cs="Tahoma" w:hint="eastAsia"/>
          <w:sz w:val="19"/>
          <w:szCs w:val="19"/>
          <w:rtl/>
        </w:rPr>
        <w:t>מ</w:t>
      </w:r>
      <w:r w:rsidRPr="008F2D4E">
        <w:rPr>
          <w:rFonts w:ascii="Tahoma" w:eastAsiaTheme="minorHAnsi" w:hAnsi="Tahoma" w:cs="Tahoma"/>
          <w:sz w:val="19"/>
          <w:szCs w:val="19"/>
          <w:rtl/>
        </w:rPr>
        <w:t xml:space="preserve">חלקן </w:t>
      </w:r>
      <w:r w:rsidRPr="008F2D4E">
        <w:rPr>
          <w:rFonts w:ascii="Tahoma" w:eastAsiaTheme="minorHAnsi" w:hAnsi="Tahoma" w:cs="Tahoma" w:hint="eastAsia"/>
          <w:sz w:val="19"/>
          <w:szCs w:val="19"/>
          <w:rtl/>
        </w:rPr>
        <w:t>ב</w:t>
      </w:r>
      <w:r w:rsidRPr="008F2D4E">
        <w:rPr>
          <w:rFonts w:ascii="Tahoma" w:eastAsiaTheme="minorHAnsi" w:hAnsi="Tahoma" w:cs="Tahoma"/>
          <w:sz w:val="19"/>
          <w:szCs w:val="19"/>
          <w:rtl/>
        </w:rPr>
        <w:t>סך מצבת הרכב בישראל.</w:t>
      </w:r>
    </w:p>
    <w:p w14:paraId="2F128CF7"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8F2D4E">
        <w:rPr>
          <w:rFonts w:ascii="Tahoma" w:eastAsiaTheme="minorHAnsi" w:hAnsi="Tahoma" w:cs="Tahoma"/>
          <w:b/>
          <w:bCs/>
          <w:sz w:val="19"/>
          <w:szCs w:val="19"/>
          <w:rtl/>
        </w:rPr>
        <w:t>מוניות מופחתות זיהום</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על פי נתוני הלמ"ס, בסוף שנת 2022 היו בישראל 195 מוניות המונעות בגז או חשמל או מוניות היברידיות נטענות, שהן פחות מ-1% מסך המוניות (כ-22,400). משרד התחבורה</w:t>
      </w:r>
      <w:r w:rsidRPr="00236CC3">
        <w:rPr>
          <w:rFonts w:ascii="Tahoma" w:eastAsiaTheme="minorHAnsi" w:hAnsi="Tahoma" w:cs="Tahoma"/>
          <w:sz w:val="19"/>
          <w:szCs w:val="19"/>
          <w:rtl/>
        </w:rPr>
        <w:t xml:space="preserve"> ומשרד האוצר לא קידמו את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שימוש במוניות המונעות בהנעה חשמלית מלאה ("רכב נקי") בהתאם להחלטת הממשלה 529, אשר התקבלה בשנת 2015</w:t>
      </w:r>
      <w:r w:rsidRPr="00236CC3">
        <w:rPr>
          <w:rFonts w:ascii="Tahoma" w:eastAsiaTheme="minorHAnsi" w:hAnsi="Tahoma" w:cs="Tahoma" w:hint="cs"/>
          <w:sz w:val="19"/>
          <w:szCs w:val="19"/>
          <w:rtl/>
        </w:rPr>
        <w:t>, ו</w:t>
      </w:r>
      <w:r w:rsidRPr="00236CC3">
        <w:rPr>
          <w:rFonts w:ascii="Tahoma" w:eastAsiaTheme="minorHAnsi" w:hAnsi="Tahoma" w:cs="Tahoma"/>
          <w:sz w:val="19"/>
          <w:szCs w:val="19"/>
          <w:rtl/>
        </w:rPr>
        <w:t xml:space="preserve">מטרתה להקנות זכות ציבורית ל-500 מוניות מיוחדות המונעות בהנעה חשמלית מלאה תמורת </w:t>
      </w:r>
      <w:r w:rsidRPr="00236CC3">
        <w:rPr>
          <w:rFonts w:ascii="Tahoma" w:eastAsiaTheme="minorHAnsi" w:hAnsi="Tahoma" w:cs="Tahoma" w:hint="cs"/>
          <w:sz w:val="19"/>
          <w:szCs w:val="19"/>
          <w:rtl/>
        </w:rPr>
        <w:t>חצי</w:t>
      </w:r>
      <w:r w:rsidRPr="00236CC3">
        <w:rPr>
          <w:rFonts w:ascii="Tahoma" w:eastAsiaTheme="minorHAnsi" w:hAnsi="Tahoma" w:cs="Tahoma"/>
          <w:sz w:val="19"/>
          <w:szCs w:val="19"/>
          <w:rtl/>
        </w:rPr>
        <w:t xml:space="preserve"> מהאגרה. תזכיר חוק ליישו</w:t>
      </w:r>
      <w:r w:rsidRPr="00236CC3">
        <w:rPr>
          <w:rFonts w:ascii="Tahoma" w:eastAsiaTheme="minorHAnsi" w:hAnsi="Tahoma" w:cs="Tahoma" w:hint="cs"/>
          <w:sz w:val="19"/>
          <w:szCs w:val="19"/>
          <w:rtl/>
        </w:rPr>
        <w:t>ם ההחלטה</w:t>
      </w:r>
      <w:r w:rsidRPr="00236CC3">
        <w:rPr>
          <w:rFonts w:ascii="Tahoma" w:eastAsiaTheme="minorHAnsi" w:hAnsi="Tahoma" w:cs="Tahoma"/>
          <w:sz w:val="19"/>
          <w:szCs w:val="19"/>
          <w:rtl/>
        </w:rPr>
        <w:t xml:space="preserve"> פורסם להערות הציבור על ידי משרד התחבורה רק בשנת 2022. נמצא כי ההחלטה נתמכה בהמלצת משרד התחבורה, במסמך </w:t>
      </w:r>
      <w:r w:rsidRPr="00236CC3">
        <w:rPr>
          <w:rFonts w:ascii="Tahoma" w:eastAsiaTheme="minorHAnsi" w:hAnsi="Tahoma" w:cs="Tahoma"/>
          <w:sz w:val="19"/>
          <w:szCs w:val="19"/>
        </w:rPr>
        <w:t>RIA</w:t>
      </w:r>
      <w:r w:rsidRPr="00236CC3">
        <w:rPr>
          <w:rFonts w:ascii="Tahoma" w:eastAsiaTheme="minorHAnsi" w:hAnsi="Tahoma" w:cs="Tahoma"/>
          <w:sz w:val="19"/>
          <w:szCs w:val="19"/>
          <w:rtl/>
        </w:rPr>
        <w:t xml:space="preserve"> משנת 2021 ובהמלצת המשרד להגנת </w:t>
      </w:r>
      <w:r w:rsidRPr="00236CC3">
        <w:rPr>
          <w:rFonts w:ascii="Tahoma" w:eastAsiaTheme="minorHAnsi" w:hAnsi="Tahoma" w:cs="Tahoma"/>
          <w:color w:val="000000" w:themeColor="text1"/>
          <w:sz w:val="19"/>
          <w:szCs w:val="19"/>
          <w:rtl/>
        </w:rPr>
        <w:t>הסביבה משנת 2020</w:t>
      </w:r>
      <w:r w:rsidRPr="00236CC3">
        <w:rPr>
          <w:rFonts w:ascii="Tahoma" w:eastAsiaTheme="minorHAnsi" w:hAnsi="Tahoma" w:cs="Tahoma" w:hint="cs"/>
          <w:color w:val="000000" w:themeColor="text1"/>
          <w:sz w:val="19"/>
          <w:szCs w:val="19"/>
          <w:rtl/>
        </w:rPr>
        <w:t>,</w:t>
      </w:r>
      <w:r w:rsidRPr="00236CC3">
        <w:rPr>
          <w:rFonts w:ascii="Tahoma" w:eastAsiaTheme="minorHAnsi" w:hAnsi="Tahoma" w:cs="Tahoma"/>
          <w:color w:val="000000" w:themeColor="text1"/>
          <w:sz w:val="19"/>
          <w:szCs w:val="19"/>
          <w:rtl/>
        </w:rPr>
        <w:t xml:space="preserve"> אך קודמה כתזכיר חוק בלבד ולא הבשילה להצעת חוק גם </w:t>
      </w:r>
      <w:r w:rsidRPr="00236CC3">
        <w:rPr>
          <w:rFonts w:ascii="Tahoma" w:eastAsiaTheme="minorHAnsi" w:hAnsi="Tahoma" w:cs="Tahoma" w:hint="cs"/>
          <w:color w:val="000000" w:themeColor="text1"/>
          <w:sz w:val="19"/>
          <w:szCs w:val="19"/>
          <w:rtl/>
        </w:rPr>
        <w:t>כעבור</w:t>
      </w:r>
      <w:r w:rsidRPr="00236CC3">
        <w:rPr>
          <w:rFonts w:ascii="Tahoma" w:eastAsiaTheme="minorHAnsi" w:hAnsi="Tahoma" w:cs="Tahoma"/>
          <w:color w:val="000000" w:themeColor="text1"/>
          <w:sz w:val="19"/>
          <w:szCs w:val="19"/>
          <w:rtl/>
        </w:rPr>
        <w:t xml:space="preserve"> תשע שנים מקבלתה. עוד נמצא כי החלטת הממשלה 542, </w:t>
      </w:r>
      <w:r w:rsidRPr="00236CC3">
        <w:rPr>
          <w:rFonts w:ascii="Tahoma" w:eastAsiaTheme="minorHAnsi" w:hAnsi="Tahoma" w:cs="Tahoma" w:hint="cs"/>
          <w:color w:val="000000" w:themeColor="text1"/>
          <w:sz w:val="19"/>
          <w:szCs w:val="19"/>
          <w:rtl/>
        </w:rPr>
        <w:t>ו</w:t>
      </w:r>
      <w:r w:rsidRPr="00236CC3">
        <w:rPr>
          <w:rFonts w:ascii="Tahoma" w:eastAsiaTheme="minorHAnsi" w:hAnsi="Tahoma" w:cs="Tahoma"/>
          <w:color w:val="000000" w:themeColor="text1"/>
          <w:sz w:val="19"/>
          <w:szCs w:val="19"/>
          <w:rtl/>
        </w:rPr>
        <w:t>לפיה משנת 2023 לא יינתן רישיון חדש לנסיעה מיוחדת למונית שאיננה רכב נקי, לא קודמה על ידי משרד התחבורה להצעת חקיקה, זאת בחריגה מלוחות הזמנים שנקבעו בהחלטת הממשלה.</w:t>
      </w:r>
      <w:r w:rsidRPr="00236CC3">
        <w:rPr>
          <w:rFonts w:ascii="Tahoma" w:eastAsiaTheme="minorHAnsi" w:hAnsi="Tahoma" w:cs="Tahoma" w:hint="cs"/>
          <w:color w:val="000000" w:themeColor="text1"/>
          <w:sz w:val="19"/>
          <w:szCs w:val="19"/>
          <w:rtl/>
        </w:rPr>
        <w:t xml:space="preserve"> נוסף </w:t>
      </w:r>
      <w:r w:rsidRPr="00236CC3">
        <w:rPr>
          <w:rFonts w:ascii="Tahoma" w:eastAsiaTheme="minorHAnsi" w:hAnsi="Tahoma" w:cs="Tahoma" w:hint="cs"/>
          <w:sz w:val="19"/>
          <w:szCs w:val="19"/>
          <w:rtl/>
        </w:rPr>
        <w:t>על כך</w:t>
      </w:r>
      <w:r w:rsidRPr="00236CC3">
        <w:rPr>
          <w:rFonts w:ascii="David" w:eastAsiaTheme="minorHAnsi" w:hAnsi="David" w:hint="cs"/>
          <w:b/>
          <w:bCs/>
          <w:sz w:val="24"/>
          <w:rtl/>
        </w:rPr>
        <w:t xml:space="preserve"> </w:t>
      </w:r>
      <w:r w:rsidRPr="00236CC3">
        <w:rPr>
          <w:rFonts w:ascii="Tahoma" w:eastAsiaTheme="minorHAnsi" w:hAnsi="Tahoma" w:cs="Tahoma"/>
          <w:sz w:val="19"/>
          <w:szCs w:val="19"/>
          <w:rtl/>
        </w:rPr>
        <w:t xml:space="preserve">מדיניות מס </w:t>
      </w:r>
      <w:r w:rsidRPr="00236CC3">
        <w:rPr>
          <w:rFonts w:ascii="Tahoma" w:eastAsiaTheme="minorHAnsi" w:hAnsi="Tahoma" w:cs="Tahoma" w:hint="cs"/>
          <w:sz w:val="19"/>
          <w:szCs w:val="19"/>
          <w:rtl/>
        </w:rPr>
        <w:t xml:space="preserve">הקנייה </w:t>
      </w:r>
      <w:r w:rsidRPr="00236CC3">
        <w:rPr>
          <w:rFonts w:ascii="Tahoma" w:eastAsiaTheme="minorHAnsi" w:hAnsi="Tahoma" w:cs="Tahoma"/>
          <w:sz w:val="19"/>
          <w:szCs w:val="19"/>
          <w:rtl/>
        </w:rPr>
        <w:t xml:space="preserve">המיושמת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משרד האוצר ו</w:t>
      </w:r>
      <w:r w:rsidRPr="00236CC3">
        <w:rPr>
          <w:rFonts w:ascii="Tahoma" w:eastAsiaTheme="minorHAnsi" w:hAnsi="Tahoma" w:cs="Tahoma" w:hint="eastAsia"/>
          <w:sz w:val="19"/>
          <w:szCs w:val="19"/>
          <w:rtl/>
        </w:rPr>
        <w:t>רשות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המיסים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אשר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גובשה</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לאחר</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ת</w:t>
      </w:r>
      <w:r w:rsidRPr="00236CC3">
        <w:rPr>
          <w:rFonts w:ascii="Tahoma" w:eastAsiaTheme="minorHAnsi" w:hAnsi="Tahoma" w:cs="Tahoma" w:hint="cs"/>
          <w:sz w:val="19"/>
          <w:szCs w:val="19"/>
          <w:rtl/>
        </w:rPr>
        <w:t>י</w:t>
      </w:r>
      <w:r w:rsidRPr="00236CC3">
        <w:rPr>
          <w:rFonts w:ascii="Tahoma" w:eastAsiaTheme="minorHAnsi" w:hAnsi="Tahoma" w:cs="Tahoma" w:hint="eastAsia"/>
          <w:sz w:val="19"/>
          <w:szCs w:val="19"/>
          <w:rtl/>
        </w:rPr>
        <w:t>אום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משרד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התחבורה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אינה מעניקה תמריץ מיסוי ממשי שיעודד קניית מוניות נקיות יותר. מדיניות מס זו, אשר מותירה את המס </w:t>
      </w:r>
      <w:r w:rsidRPr="00236CC3">
        <w:rPr>
          <w:rFonts w:ascii="Tahoma" w:eastAsiaTheme="minorHAnsi" w:hAnsi="Tahoma" w:cs="Tahoma" w:hint="cs"/>
          <w:sz w:val="19"/>
          <w:szCs w:val="19"/>
          <w:rtl/>
        </w:rPr>
        <w:t xml:space="preserve">המירבי </w:t>
      </w:r>
      <w:r w:rsidRPr="00236CC3">
        <w:rPr>
          <w:rFonts w:ascii="Tahoma" w:eastAsiaTheme="minorHAnsi" w:hAnsi="Tahoma" w:cs="Tahoma"/>
          <w:sz w:val="19"/>
          <w:szCs w:val="19"/>
          <w:rtl/>
        </w:rPr>
        <w:t xml:space="preserve">המשולם </w:t>
      </w:r>
      <w:r w:rsidRPr="00236CC3">
        <w:rPr>
          <w:rFonts w:ascii="Tahoma" w:eastAsiaTheme="minorHAnsi" w:hAnsi="Tahoma" w:cs="Tahoma" w:hint="cs"/>
          <w:sz w:val="19"/>
          <w:szCs w:val="19"/>
          <w:rtl/>
        </w:rPr>
        <w:t>על שיעור של 8% לכל היותר לעומת שיעור מס קנייה מירבי של 83% לרכב פרטי, גורמת לכך שבפועל אין תמריץ מיסוי ממשי לקניית מונית מופחתת זיהום, מאחר שגם אם הציון הירוק הוא נמוך עדיין ישולם מס בשיעור של 8% לכל היותר.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הדבר אינו עולה </w:t>
      </w:r>
      <w:r w:rsidRPr="00236CC3">
        <w:rPr>
          <w:rFonts w:ascii="Tahoma" w:eastAsiaTheme="minorHAnsi" w:hAnsi="Tahoma" w:cs="Tahoma"/>
          <w:sz w:val="19"/>
          <w:szCs w:val="19"/>
          <w:rtl/>
        </w:rPr>
        <w:t>בקנה אחד עם החלטות הממשלה לצמצום זיהום האוויר ופליטות גזי החממה ולמעבר לכלכלה דלת פחמן.</w:t>
      </w:r>
      <w:r w:rsidRPr="00236CC3">
        <w:rPr>
          <w:rFonts w:ascii="Tahoma" w:eastAsiaTheme="minorHAnsi" w:hAnsi="Tahoma" w:cs="Tahoma" w:hint="cs"/>
          <w:sz w:val="19"/>
          <w:szCs w:val="19"/>
          <w:rtl/>
        </w:rPr>
        <w:t xml:space="preserve"> </w:t>
      </w:r>
    </w:p>
    <w:p w14:paraId="75B6B260"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תמריצים למעבר למוניות חשמליות </w:t>
      </w:r>
      <w:r w:rsidRPr="00236CC3">
        <w:rPr>
          <w:rFonts w:ascii="Tahoma" w:eastAsiaTheme="minorHAnsi" w:hAnsi="Tahoma" w:cs="Tahoma"/>
          <w:sz w:val="19"/>
          <w:szCs w:val="19"/>
          <w:rtl/>
        </w:rPr>
        <w:t>-</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 xml:space="preserve">ערים שונות בעולם </w:t>
      </w:r>
      <w:r w:rsidRPr="00236CC3">
        <w:rPr>
          <w:rFonts w:ascii="Tahoma" w:eastAsiaTheme="minorHAnsi" w:hAnsi="Tahoma" w:cs="Tahoma" w:hint="cs"/>
          <w:sz w:val="19"/>
          <w:szCs w:val="19"/>
          <w:rtl/>
        </w:rPr>
        <w:t xml:space="preserve">(לונדון, ברצלונה, סטוקהולם, אמסטרדם) וכן ממשלת קנדה </w:t>
      </w:r>
      <w:r w:rsidRPr="00236CC3">
        <w:rPr>
          <w:rFonts w:ascii="Tahoma" w:eastAsiaTheme="minorHAnsi" w:hAnsi="Tahoma" w:cs="Tahoma"/>
          <w:sz w:val="19"/>
          <w:szCs w:val="19"/>
          <w:rtl/>
        </w:rPr>
        <w:t xml:space="preserve">מקדמות מעבר למוניות חשמליות באמצעות מתן תמריצים כספיים שונים לנהגים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בניית תשתית להטענת המוניות במרחב הציבורי</w:t>
      </w:r>
      <w:r w:rsidRPr="00236CC3">
        <w:rPr>
          <w:rFonts w:ascii="Tahoma" w:eastAsiaTheme="minorHAnsi" w:hAnsi="Tahoma" w:cs="Tahoma" w:hint="cs"/>
          <w:sz w:val="19"/>
          <w:szCs w:val="19"/>
          <w:rtl/>
        </w:rPr>
        <w:t xml:space="preserve">. בישראל לא קודמה חקיקה שתכליתה </w:t>
      </w:r>
      <w:r w:rsidRPr="00236CC3">
        <w:rPr>
          <w:rFonts w:ascii="Tahoma" w:eastAsiaTheme="minorHAnsi" w:hAnsi="Tahoma" w:cs="Tahoma"/>
          <w:sz w:val="19"/>
          <w:szCs w:val="19"/>
          <w:rtl/>
        </w:rPr>
        <w:t>תמיכה בהחלפת מוני</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ת קיימ</w:t>
      </w:r>
      <w:r w:rsidRPr="00236CC3">
        <w:rPr>
          <w:rFonts w:ascii="Tahoma" w:eastAsiaTheme="minorHAnsi" w:hAnsi="Tahoma" w:cs="Tahoma" w:hint="cs"/>
          <w:sz w:val="19"/>
          <w:szCs w:val="19"/>
          <w:rtl/>
        </w:rPr>
        <w:t>ות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למוניות</w:t>
      </w:r>
      <w:r w:rsidRPr="00236CC3">
        <w:rPr>
          <w:rFonts w:ascii="Tahoma" w:eastAsiaTheme="minorHAnsi" w:hAnsi="Tahoma" w:cs="Tahoma"/>
          <w:sz w:val="19"/>
          <w:szCs w:val="19"/>
          <w:rtl/>
        </w:rPr>
        <w:t xml:space="preserve"> מאופס</w:t>
      </w:r>
      <w:r w:rsidRPr="00236CC3">
        <w:rPr>
          <w:rFonts w:ascii="Tahoma" w:eastAsiaTheme="minorHAnsi" w:hAnsi="Tahoma" w:cs="Tahoma" w:hint="cs"/>
          <w:sz w:val="19"/>
          <w:szCs w:val="19"/>
          <w:rtl/>
        </w:rPr>
        <w:t>ות</w:t>
      </w:r>
      <w:r w:rsidRPr="00236CC3">
        <w:rPr>
          <w:rFonts w:ascii="Tahoma" w:eastAsiaTheme="minorHAnsi" w:hAnsi="Tahoma" w:cs="Tahoma"/>
          <w:sz w:val="19"/>
          <w:szCs w:val="19"/>
          <w:rtl/>
        </w:rPr>
        <w:t xml:space="preserve"> פליטה</w:t>
      </w:r>
      <w:r w:rsidRPr="00236CC3">
        <w:rPr>
          <w:rFonts w:ascii="Tahoma" w:eastAsiaTheme="minorHAnsi" w:hAnsi="Tahoma" w:cs="Tahoma" w:hint="cs"/>
          <w:sz w:val="19"/>
          <w:szCs w:val="19"/>
          <w:rtl/>
        </w:rPr>
        <w:t>.</w:t>
      </w:r>
    </w:p>
    <w:p w14:paraId="7CE5F41F" w14:textId="77777777" w:rsidR="00236CC3" w:rsidRPr="00236CC3" w:rsidRDefault="00236CC3" w:rsidP="00236CC3">
      <w:pPr>
        <w:spacing w:after="240" w:line="288" w:lineRule="auto"/>
        <w:ind w:left="-143" w:right="-567"/>
        <w:rPr>
          <w:rFonts w:ascii="Tahoma" w:eastAsiaTheme="minorHAnsi" w:hAnsi="Tahoma" w:cs="Tahoma"/>
          <w:sz w:val="19"/>
          <w:szCs w:val="19"/>
        </w:rPr>
      </w:pPr>
    </w:p>
    <w:p w14:paraId="1CD35528" w14:textId="77777777" w:rsidR="00236CC3" w:rsidRPr="00236CC3" w:rsidRDefault="00000000" w:rsidP="00236CC3">
      <w:pPr>
        <w:bidi w:val="0"/>
        <w:spacing w:after="160" w:line="259" w:lineRule="auto"/>
        <w:jc w:val="left"/>
        <w:rPr>
          <w:rFonts w:eastAsiaTheme="minorHAnsi"/>
        </w:rPr>
      </w:pPr>
      <w:r w:rsidRPr="00236CC3">
        <w:rPr>
          <w:rFonts w:eastAsiaTheme="minorHAnsi"/>
        </w:rPr>
        <w:br w:type="page"/>
      </w:r>
    </w:p>
    <w:p w14:paraId="727697CD" w14:textId="77777777" w:rsidR="00236CC3" w:rsidRPr="00236CC3" w:rsidRDefault="00000000" w:rsidP="00236CC3">
      <w:pPr>
        <w:spacing w:before="200" w:line="288" w:lineRule="auto"/>
        <w:ind w:left="-851"/>
        <w:rPr>
          <w:rFonts w:ascii="Tahoma" w:eastAsiaTheme="minorHAnsi" w:hAnsi="Tahoma" w:cs="Tahoma"/>
          <w:b/>
          <w:bCs/>
          <w:rtl/>
        </w:rPr>
      </w:pPr>
      <w:r w:rsidRPr="00236CC3">
        <w:rPr>
          <w:rFonts w:ascii="Tahoma" w:eastAsiaTheme="minorHAnsi" w:hAnsi="Tahoma" w:cs="Tahoma"/>
          <w:b/>
          <w:bCs/>
          <w:noProof/>
          <w:rtl/>
        </w:rPr>
        <w:lastRenderedPageBreak/>
        <w:t>מוניות שירות:</w:t>
      </w:r>
    </w:p>
    <w:p w14:paraId="4AAA7D1F" w14:textId="77777777" w:rsidR="00236CC3" w:rsidRPr="00236CC3" w:rsidRDefault="00236CC3" w:rsidP="00236CC3">
      <w:pPr>
        <w:ind w:left="-710" w:right="-567"/>
        <w:rPr>
          <w:rFonts w:eastAsiaTheme="minorHAnsi"/>
          <w:sz w:val="4"/>
          <w:szCs w:val="8"/>
          <w:rtl/>
        </w:rPr>
      </w:pPr>
    </w:p>
    <w:p w14:paraId="098EEC9A"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הרפורמה בענף מוניות השירות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הרפורמה </w:t>
      </w:r>
      <w:r w:rsidRPr="00236CC3">
        <w:rPr>
          <w:rFonts w:ascii="Tahoma" w:eastAsiaTheme="minorHAnsi" w:hAnsi="Tahoma" w:cs="Tahoma" w:hint="cs"/>
          <w:sz w:val="19"/>
          <w:szCs w:val="19"/>
          <w:rtl/>
        </w:rPr>
        <w:t>שקידם משרד התחבורה</w:t>
      </w:r>
      <w:r w:rsidRPr="00236CC3">
        <w:rPr>
          <w:rFonts w:ascii="Tahoma" w:eastAsiaTheme="minorHAnsi" w:hAnsi="Tahoma" w:cs="Tahoma"/>
          <w:sz w:val="19"/>
          <w:szCs w:val="19"/>
          <w:rtl/>
        </w:rPr>
        <w:t xml:space="preserve"> בענף מוניות השירות, שנועדה להפוך את מגמת הדעיכה</w:t>
      </w:r>
      <w:r w:rsidRPr="00236CC3">
        <w:rPr>
          <w:rFonts w:ascii="Tahoma" w:eastAsiaTheme="minorHAnsi" w:hAnsi="Tahoma" w:cs="Tahoma" w:hint="cs"/>
          <w:sz w:val="19"/>
          <w:szCs w:val="19"/>
          <w:rtl/>
        </w:rPr>
        <w:t xml:space="preserve"> בפעילותן</w:t>
      </w:r>
      <w:r w:rsidRPr="00236CC3">
        <w:rPr>
          <w:rFonts w:ascii="Tahoma" w:eastAsiaTheme="minorHAnsi" w:hAnsi="Tahoma" w:cs="Tahoma"/>
          <w:sz w:val="19"/>
          <w:szCs w:val="19"/>
          <w:rtl/>
        </w:rPr>
        <w:t xml:space="preserve"> ולהגדיל את מספר</w:t>
      </w:r>
      <w:r w:rsidRPr="00236CC3">
        <w:rPr>
          <w:rFonts w:ascii="Tahoma" w:eastAsiaTheme="minorHAnsi" w:hAnsi="Tahoma" w:cs="Tahoma" w:hint="cs"/>
          <w:sz w:val="19"/>
          <w:szCs w:val="19"/>
          <w:rtl/>
        </w:rPr>
        <w:t>ן</w:t>
      </w:r>
      <w:r w:rsidRPr="00236CC3">
        <w:rPr>
          <w:rFonts w:ascii="Tahoma" w:eastAsiaTheme="minorHAnsi" w:hAnsi="Tahoma" w:cs="Tahoma"/>
          <w:sz w:val="19"/>
          <w:szCs w:val="19"/>
          <w:rtl/>
        </w:rPr>
        <w:t xml:space="preserve"> עד פי שלושה, ל-2,500 מוניות, </w:t>
      </w:r>
      <w:r w:rsidRPr="00236CC3">
        <w:rPr>
          <w:rFonts w:ascii="Tahoma" w:eastAsiaTheme="minorHAnsi" w:hAnsi="Tahoma" w:cs="Tahoma"/>
          <w:b/>
          <w:bCs/>
          <w:sz w:val="19"/>
          <w:szCs w:val="19"/>
          <w:rtl/>
        </w:rPr>
        <w:t>נכשלה</w:t>
      </w:r>
      <w:r w:rsidRPr="00236CC3">
        <w:rPr>
          <w:rFonts w:ascii="Tahoma" w:eastAsiaTheme="minorHAnsi" w:hAnsi="Tahoma" w:cs="Tahoma"/>
          <w:sz w:val="19"/>
          <w:szCs w:val="19"/>
          <w:rtl/>
        </w:rPr>
        <w:t xml:space="preserve"> ולא השיגה את מטרותיה. נהפוך הוא, </w:t>
      </w:r>
      <w:r w:rsidRPr="00236CC3">
        <w:rPr>
          <w:rFonts w:ascii="Tahoma" w:eastAsiaTheme="minorHAnsi" w:hAnsi="Tahoma" w:cs="Tahoma"/>
          <w:b/>
          <w:bCs/>
          <w:sz w:val="19"/>
          <w:szCs w:val="19"/>
          <w:rtl/>
        </w:rPr>
        <w:t>מספר מוניות השירות צנח ב-93%</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מ-844 ב</w:t>
      </w:r>
      <w:r w:rsidRPr="00236CC3">
        <w:rPr>
          <w:rFonts w:ascii="Tahoma" w:eastAsiaTheme="minorHAnsi" w:hAnsi="Tahoma" w:cs="Tahoma" w:hint="cs"/>
          <w:sz w:val="19"/>
          <w:szCs w:val="19"/>
          <w:rtl/>
        </w:rPr>
        <w:t xml:space="preserve">שנת </w:t>
      </w:r>
      <w:r w:rsidRPr="00236CC3">
        <w:rPr>
          <w:rFonts w:ascii="Tahoma" w:eastAsiaTheme="minorHAnsi" w:hAnsi="Tahoma" w:cs="Tahoma"/>
          <w:sz w:val="19"/>
          <w:szCs w:val="19"/>
          <w:rtl/>
        </w:rPr>
        <w:t>2017 ל-59 ב</w:t>
      </w:r>
      <w:r w:rsidRPr="00236CC3">
        <w:rPr>
          <w:rFonts w:ascii="Tahoma" w:eastAsiaTheme="minorHAnsi" w:hAnsi="Tahoma" w:cs="Tahoma" w:hint="cs"/>
          <w:sz w:val="19"/>
          <w:szCs w:val="19"/>
          <w:rtl/>
        </w:rPr>
        <w:t xml:space="preserve">שנת </w:t>
      </w:r>
      <w:r w:rsidRPr="00236CC3">
        <w:rPr>
          <w:rFonts w:ascii="Tahoma" w:eastAsiaTheme="minorHAnsi" w:hAnsi="Tahoma" w:cs="Tahoma"/>
          <w:sz w:val="19"/>
          <w:szCs w:val="19"/>
          <w:rtl/>
        </w:rPr>
        <w:t>2023</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הירידה בפעילות נמשכה בשנים 2018 </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2023, וביתר שאת מינואר 2022. ב-31.12.21 קווים רבים לא עברו תהליך מכרז ופעלו במתכונת הישנה, על סמך רישיונות הפעלה ותיקים. בעקבות כישלונו של משרד התחבורה בהשלמת ההליכים התחרותיים במועד, ובעקבות אי-הארכה של ההסדר </w:t>
      </w:r>
      <w:r w:rsidRPr="00236CC3">
        <w:rPr>
          <w:rFonts w:ascii="Tahoma" w:eastAsiaTheme="minorHAnsi" w:hAnsi="Tahoma" w:cs="Tahoma" w:hint="cs"/>
          <w:sz w:val="19"/>
          <w:szCs w:val="19"/>
          <w:rtl/>
        </w:rPr>
        <w:t>הקודם</w:t>
      </w:r>
      <w:r w:rsidRPr="00236CC3">
        <w:rPr>
          <w:rFonts w:ascii="Tahoma" w:eastAsiaTheme="minorHAnsi" w:hAnsi="Tahoma" w:cs="Tahoma"/>
          <w:sz w:val="19"/>
          <w:szCs w:val="19"/>
          <w:rtl/>
        </w:rPr>
        <w:t xml:space="preserve"> מעבר ל-31.12.21, </w:t>
      </w:r>
      <w:r w:rsidRPr="00236CC3">
        <w:rPr>
          <w:rFonts w:ascii="Tahoma" w:eastAsiaTheme="minorHAnsi" w:hAnsi="Tahoma" w:cs="Tahoma"/>
          <w:b/>
          <w:bCs/>
          <w:sz w:val="19"/>
          <w:szCs w:val="19"/>
          <w:rtl/>
        </w:rPr>
        <w:t>עשרות נהגי מוניות שירות שפעלו בעבר על סמך רישיון מהמדינה הפכו בעל כורחם למפעילים בלתי חוקיים,</w:t>
      </w:r>
      <w:r w:rsidRPr="00236CC3">
        <w:rPr>
          <w:rFonts w:ascii="Tahoma" w:eastAsiaTheme="minorHAnsi" w:hAnsi="Tahoma" w:cs="Tahoma"/>
          <w:sz w:val="19"/>
          <w:szCs w:val="19"/>
          <w:rtl/>
        </w:rPr>
        <w:t xml:space="preserve"> וזאת בטרם ניתנה לחלקם אפשרות להסדיר את מעמדם באמצעות מכרזים. </w:t>
      </w:r>
      <w:r w:rsidRPr="00236CC3">
        <w:rPr>
          <w:rFonts w:ascii="Tahoma" w:eastAsiaTheme="minorHAnsi" w:hAnsi="Tahoma" w:cs="Tahoma" w:hint="cs"/>
          <w:sz w:val="19"/>
          <w:szCs w:val="19"/>
          <w:rtl/>
        </w:rPr>
        <w:t>עקב</w:t>
      </w:r>
      <w:r w:rsidRPr="00236CC3">
        <w:rPr>
          <w:rFonts w:ascii="Tahoma" w:eastAsiaTheme="minorHAnsi" w:hAnsi="Tahoma" w:cs="Tahoma"/>
          <w:sz w:val="19"/>
          <w:szCs w:val="19"/>
          <w:rtl/>
        </w:rPr>
        <w:t xml:space="preserve"> כישלון הרפורמה, מוניות השירות אינן מספקות מענה תחבורתי משלים באזורים נרחבים במדינת ישראל.</w:t>
      </w:r>
      <w:r w:rsidRPr="00236CC3">
        <w:rPr>
          <w:rFonts w:ascii="Tahoma" w:eastAsiaTheme="minorHAnsi" w:hAnsi="Tahoma" w:cs="Tahoma" w:hint="cs"/>
          <w:sz w:val="19"/>
          <w:szCs w:val="19"/>
          <w:rtl/>
        </w:rPr>
        <w:t xml:space="preserve"> </w:t>
      </w:r>
    </w:p>
    <w:p w14:paraId="4B17775B"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tl/>
        </w:rPr>
      </w:pPr>
      <w:r w:rsidRPr="00236CC3">
        <w:rPr>
          <w:rFonts w:ascii="Tahoma" w:eastAsiaTheme="minorHAnsi" w:hAnsi="Tahoma" w:cs="Tahoma" w:hint="cs"/>
          <w:b/>
          <w:bCs/>
          <w:sz w:val="19"/>
          <w:szCs w:val="19"/>
          <w:rtl/>
        </w:rPr>
        <w:t xml:space="preserve">הפעלת מוניות שירות בחלוקה גיאוגרפית </w:t>
      </w:r>
      <w:r w:rsidRPr="00236CC3">
        <w:rPr>
          <w:rFonts w:ascii="Tahoma" w:eastAsiaTheme="minorHAnsi" w:hAnsi="Tahoma" w:cs="Tahoma"/>
          <w:sz w:val="19"/>
          <w:szCs w:val="19"/>
          <w:rtl/>
        </w:rPr>
        <w:t>- במסגרת הרפורמה בענף מוניות השירות נבחרו על ידי משרד</w:t>
      </w:r>
      <w:r w:rsidRPr="00236CC3">
        <w:rPr>
          <w:rFonts w:ascii="Tahoma" w:eastAsiaTheme="minorHAnsi" w:hAnsi="Tahoma" w:cs="Tahoma" w:hint="cs"/>
          <w:sz w:val="19"/>
          <w:szCs w:val="19"/>
          <w:rtl/>
        </w:rPr>
        <w:t xml:space="preserve"> התחבורה</w:t>
      </w:r>
      <w:r w:rsidRPr="00236CC3">
        <w:rPr>
          <w:rFonts w:ascii="Tahoma" w:eastAsiaTheme="minorHAnsi" w:hAnsi="Tahoma" w:cs="Tahoma"/>
          <w:sz w:val="19"/>
          <w:szCs w:val="19"/>
          <w:rtl/>
        </w:rPr>
        <w:t xml:space="preserve"> זוכים להפעלת</w:t>
      </w:r>
      <w:r w:rsidRPr="00236CC3">
        <w:rPr>
          <w:rFonts w:ascii="Tahoma" w:eastAsiaTheme="minorHAnsi" w:hAnsi="Tahoma" w:cs="Tahoma" w:hint="cs"/>
          <w:sz w:val="19"/>
          <w:szCs w:val="19"/>
          <w:rtl/>
        </w:rPr>
        <w:t xml:space="preserve"> מוניות שירות</w:t>
      </w:r>
      <w:r w:rsidRPr="00236CC3">
        <w:rPr>
          <w:rFonts w:ascii="Tahoma" w:eastAsiaTheme="minorHAnsi" w:hAnsi="Tahoma" w:cs="Tahoma"/>
          <w:sz w:val="19"/>
          <w:szCs w:val="19"/>
          <w:rtl/>
        </w:rPr>
        <w:t xml:space="preserve"> בעשרה אשכולות</w:t>
      </w:r>
      <w:r w:rsidRPr="00236CC3">
        <w:rPr>
          <w:rFonts w:ascii="Tahoma" w:eastAsiaTheme="minorHAnsi" w:hAnsi="Tahoma" w:cs="Tahoma" w:hint="cs"/>
          <w:sz w:val="19"/>
          <w:szCs w:val="19"/>
          <w:rtl/>
        </w:rPr>
        <w:t xml:space="preserve"> גיאוגרפיים</w:t>
      </w:r>
      <w:r w:rsidRPr="00236CC3">
        <w:rPr>
          <w:rFonts w:ascii="Tahoma" w:eastAsiaTheme="minorHAnsi" w:hAnsi="Tahoma" w:cs="Tahoma"/>
          <w:sz w:val="19"/>
          <w:szCs w:val="19"/>
          <w:rtl/>
        </w:rPr>
        <w:t xml:space="preserve"> מתוך 24 (42%). </w:t>
      </w:r>
      <w:r w:rsidRPr="00236CC3">
        <w:rPr>
          <w:rFonts w:ascii="Tahoma" w:eastAsiaTheme="minorHAnsi" w:hAnsi="Tahoma" w:cs="Tahoma" w:hint="cs"/>
          <w:sz w:val="19"/>
          <w:szCs w:val="19"/>
          <w:rtl/>
        </w:rPr>
        <w:t>במועד סיום הביקורת (מאי 2024)</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 xml:space="preserve">פעילות </w:t>
      </w:r>
      <w:r w:rsidRPr="00236CC3">
        <w:rPr>
          <w:rFonts w:ascii="Tahoma" w:eastAsiaTheme="minorHAnsi" w:hAnsi="Tahoma" w:cs="Tahoma" w:hint="cs"/>
          <w:b/>
          <w:bCs/>
          <w:sz w:val="19"/>
          <w:szCs w:val="19"/>
          <w:rtl/>
        </w:rPr>
        <w:t xml:space="preserve">רק </w:t>
      </w:r>
      <w:r w:rsidRPr="00236CC3">
        <w:rPr>
          <w:rFonts w:ascii="Tahoma" w:eastAsiaTheme="minorHAnsi" w:hAnsi="Tahoma" w:cs="Tahoma"/>
          <w:b/>
          <w:bCs/>
          <w:sz w:val="19"/>
          <w:szCs w:val="19"/>
          <w:rtl/>
        </w:rPr>
        <w:t>59 מ</w:t>
      </w:r>
      <w:r w:rsidRPr="00236CC3">
        <w:rPr>
          <w:rFonts w:ascii="Tahoma" w:eastAsiaTheme="minorHAnsi" w:hAnsi="Tahoma" w:cs="Tahoma" w:hint="cs"/>
          <w:b/>
          <w:bCs/>
          <w:sz w:val="19"/>
          <w:szCs w:val="19"/>
          <w:rtl/>
        </w:rPr>
        <w:t>-</w:t>
      </w:r>
      <w:r w:rsidRPr="00236CC3">
        <w:rPr>
          <w:rFonts w:ascii="Tahoma" w:eastAsiaTheme="minorHAnsi" w:hAnsi="Tahoma" w:cs="Tahoma"/>
          <w:b/>
          <w:bCs/>
          <w:sz w:val="19"/>
          <w:szCs w:val="19"/>
          <w:rtl/>
        </w:rPr>
        <w:t xml:space="preserve">400 </w:t>
      </w:r>
      <w:r w:rsidRPr="00236CC3">
        <w:rPr>
          <w:rFonts w:ascii="Tahoma" w:eastAsiaTheme="minorHAnsi" w:hAnsi="Tahoma" w:cs="Tahoma" w:hint="cs"/>
          <w:b/>
          <w:bCs/>
          <w:sz w:val="19"/>
          <w:szCs w:val="19"/>
          <w:rtl/>
        </w:rPr>
        <w:t>ה</w:t>
      </w:r>
      <w:r w:rsidRPr="00236CC3">
        <w:rPr>
          <w:rFonts w:ascii="Tahoma" w:eastAsiaTheme="minorHAnsi" w:hAnsi="Tahoma" w:cs="Tahoma"/>
          <w:b/>
          <w:bCs/>
          <w:sz w:val="19"/>
          <w:szCs w:val="19"/>
          <w:rtl/>
        </w:rPr>
        <w:t>מוניות</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 xml:space="preserve">(15%) שאמורות לשרת את </w:t>
      </w:r>
      <w:r w:rsidRPr="00236CC3">
        <w:rPr>
          <w:rFonts w:ascii="Tahoma" w:eastAsiaTheme="minorHAnsi" w:hAnsi="Tahoma" w:cs="Tahoma" w:hint="cs"/>
          <w:b/>
          <w:bCs/>
          <w:sz w:val="19"/>
          <w:szCs w:val="19"/>
          <w:rtl/>
        </w:rPr>
        <w:t>הציבור</w:t>
      </w:r>
      <w:r w:rsidRPr="00236CC3">
        <w:rPr>
          <w:rFonts w:ascii="Tahoma" w:eastAsiaTheme="minorHAnsi" w:hAnsi="Tahoma" w:cs="Tahoma"/>
          <w:sz w:val="19"/>
          <w:szCs w:val="19"/>
          <w:rtl/>
        </w:rPr>
        <w:t xml:space="preserve"> באשכולות אלה. מתוך עשרת האשכולות שבהם בוצע הליך מכרזי ונבחרו זוכים, </w:t>
      </w:r>
      <w:r w:rsidRPr="00236CC3">
        <w:rPr>
          <w:rFonts w:ascii="Tahoma" w:eastAsiaTheme="minorHAnsi" w:hAnsi="Tahoma" w:cs="Tahoma" w:hint="cs"/>
          <w:sz w:val="19"/>
          <w:szCs w:val="19"/>
          <w:rtl/>
        </w:rPr>
        <w:t>שישה</w:t>
      </w:r>
      <w:r w:rsidRPr="00236CC3">
        <w:rPr>
          <w:rFonts w:ascii="Tahoma" w:eastAsiaTheme="minorHAnsi" w:hAnsi="Tahoma" w:cs="Tahoma"/>
          <w:sz w:val="19"/>
          <w:szCs w:val="19"/>
          <w:rtl/>
        </w:rPr>
        <w:t xml:space="preserve"> אשכולות לא החלו כל פעילות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w:t>
      </w:r>
      <w:r w:rsidRPr="00236CC3">
        <w:rPr>
          <w:rFonts w:ascii="Tahoma" w:eastAsiaTheme="minorHAnsi" w:hAnsi="Tahoma" w:cs="Tahoma" w:hint="cs"/>
          <w:sz w:val="19"/>
          <w:szCs w:val="19"/>
          <w:rtl/>
        </w:rPr>
        <w:t>ארבעה</w:t>
      </w:r>
      <w:r w:rsidRPr="00236CC3">
        <w:rPr>
          <w:rFonts w:ascii="Tahoma" w:eastAsiaTheme="minorHAnsi" w:hAnsi="Tahoma" w:cs="Tahoma"/>
          <w:sz w:val="19"/>
          <w:szCs w:val="19"/>
          <w:rtl/>
        </w:rPr>
        <w:t xml:space="preserve"> אשכולות החלו בפעילות חלקית. אף שמשרד התחבורה תכנן אשכולות בפריסה גיאוגרפית רחבה, מנהרי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ה עד אילת, הופעלו בשנת 2023 מוניות שירות ברישיון רק בארבעה מ</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24 האשכולות המתוכננים. כל האשכולות הפעילים הם </w:t>
      </w:r>
      <w:r w:rsidRPr="00236CC3">
        <w:rPr>
          <w:rFonts w:ascii="Tahoma" w:eastAsiaTheme="minorHAnsi" w:hAnsi="Tahoma" w:cs="Tahoma" w:hint="cs"/>
          <w:sz w:val="19"/>
          <w:szCs w:val="19"/>
          <w:rtl/>
        </w:rPr>
        <w:t xml:space="preserve">רק </w:t>
      </w:r>
      <w:r w:rsidRPr="00236CC3">
        <w:rPr>
          <w:rFonts w:ascii="Tahoma" w:eastAsiaTheme="minorHAnsi" w:hAnsi="Tahoma" w:cs="Tahoma"/>
          <w:sz w:val="19"/>
          <w:szCs w:val="19"/>
          <w:rtl/>
        </w:rPr>
        <w:t>באזור תל אביב והמרכז</w:t>
      </w:r>
      <w:r w:rsidRPr="00236CC3">
        <w:rPr>
          <w:rFonts w:ascii="Tahoma" w:eastAsiaTheme="minorHAnsi" w:hAnsi="Tahoma" w:cs="Tahoma" w:hint="cs"/>
          <w:sz w:val="19"/>
          <w:szCs w:val="19"/>
          <w:rtl/>
        </w:rPr>
        <w:t>. באשכולות האלה:</w:t>
      </w:r>
      <w:r w:rsidRPr="00236CC3">
        <w:rPr>
          <w:rFonts w:ascii="Tahoma" w:eastAsiaTheme="minorHAnsi" w:hAnsi="Tahoma" w:cs="Tahoma"/>
          <w:sz w:val="19"/>
          <w:szCs w:val="19"/>
          <w:rtl/>
        </w:rPr>
        <w:t xml:space="preserve"> אילת, אשקלון-אשדוד, באר שבע וצפון הנגב, </w:t>
      </w:r>
      <w:r w:rsidRPr="00236CC3">
        <w:rPr>
          <w:rFonts w:ascii="Tahoma" w:eastAsiaTheme="minorHAnsi" w:hAnsi="Tahoma" w:cs="Tahoma" w:hint="cs"/>
          <w:sz w:val="19"/>
          <w:szCs w:val="19"/>
          <w:rtl/>
        </w:rPr>
        <w:t>תל אביב</w:t>
      </w:r>
      <w:r w:rsidRPr="00236CC3">
        <w:rPr>
          <w:rFonts w:ascii="Tahoma" w:eastAsiaTheme="minorHAnsi" w:hAnsi="Tahoma" w:cs="Tahoma"/>
          <w:sz w:val="19"/>
          <w:szCs w:val="19"/>
          <w:rtl/>
        </w:rPr>
        <w:t>-ירושלים, ירושלים עירוני, חיפה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נצרת, טבריה, מרחב עכו</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נהרי</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ה, בקעת אונו, השרון, נתניה עירוני, נתניה בין-עירוני, נתניה אזורי, פתח תקווה, ראשון לציון עירוני, רחובות עירוני ומרחבי, גוש עציון-ירושלים, ירושלים-גשר אלנבי, נתב"ג</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אזור ירושלים, נתב"ג</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אזור המרכז</w:t>
      </w:r>
      <w:r w:rsidRPr="00236CC3">
        <w:rPr>
          <w:rFonts w:ascii="Tahoma" w:eastAsiaTheme="minorHAnsi" w:hAnsi="Tahoma" w:cs="Tahoma" w:hint="cs"/>
          <w:sz w:val="19"/>
          <w:szCs w:val="19"/>
          <w:rtl/>
        </w:rPr>
        <w:t xml:space="preserve"> לא פועלים קווי השירות. </w:t>
      </w:r>
    </w:p>
    <w:p w14:paraId="5E4ACCBA"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tl/>
        </w:rPr>
      </w:pPr>
      <w:r w:rsidRPr="00236CC3">
        <w:rPr>
          <w:rFonts w:ascii="Tahoma" w:eastAsiaTheme="minorHAnsi" w:hAnsi="Tahoma" w:cs="Tahoma"/>
          <w:b/>
          <w:bCs/>
          <w:sz w:val="19"/>
          <w:szCs w:val="19"/>
          <w:rtl/>
        </w:rPr>
        <w:t xml:space="preserve">פיקוח על מוניות השירות </w:t>
      </w:r>
      <w:r w:rsidRPr="00236CC3">
        <w:rPr>
          <w:rFonts w:ascii="Tahoma" w:eastAsiaTheme="minorHAnsi" w:hAnsi="Tahoma" w:cs="Tahoma"/>
          <w:sz w:val="19"/>
          <w:szCs w:val="19"/>
          <w:rtl/>
        </w:rPr>
        <w:t>-</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נמצא כי ישנן</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165 מוניות שירות </w:t>
      </w:r>
      <w:r w:rsidRPr="00236CC3">
        <w:rPr>
          <w:rFonts w:ascii="Tahoma" w:eastAsiaTheme="minorHAnsi" w:hAnsi="Tahoma" w:cs="Tahoma" w:hint="cs"/>
          <w:sz w:val="19"/>
          <w:szCs w:val="19"/>
          <w:rtl/>
        </w:rPr>
        <w:t xml:space="preserve">שאין להן רישיון מתאים לנסיעה בקו שירות כנדרש לפי </w:t>
      </w:r>
      <w:r w:rsidRPr="00236CC3">
        <w:rPr>
          <w:rFonts w:ascii="Tahoma" w:eastAsiaTheme="minorHAnsi" w:hAnsi="Tahoma" w:cs="Tahoma"/>
          <w:sz w:val="19"/>
          <w:szCs w:val="19"/>
          <w:rtl/>
        </w:rPr>
        <w:t>תיקון 120 לפקודת התעבורה עברו מבחן רישוי שנתי ב-31 מכוני רישוי המפוקחים על ידי אגף הרכב במשרד התחבורה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זאת בניגוד להוראות הפקודה ותקנותיה. </w:t>
      </w:r>
      <w:r w:rsidRPr="00236CC3">
        <w:rPr>
          <w:rFonts w:ascii="Tahoma" w:eastAsiaTheme="minorHAnsi" w:hAnsi="Tahoma" w:cs="Tahoma"/>
          <w:sz w:val="19"/>
          <w:szCs w:val="19"/>
          <w:rtl/>
        </w:rPr>
        <w:t xml:space="preserve">עוד עלה כי אין כלי בקרה ממוחשב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 xml:space="preserve">באמצעותו </w:t>
      </w:r>
      <w:r w:rsidRPr="00236CC3">
        <w:rPr>
          <w:rFonts w:ascii="Tahoma" w:eastAsiaTheme="minorHAnsi" w:hAnsi="Tahoma" w:cs="Tahoma" w:hint="cs"/>
          <w:sz w:val="19"/>
          <w:szCs w:val="19"/>
          <w:rtl/>
        </w:rPr>
        <w:t xml:space="preserve">אפשר </w:t>
      </w:r>
      <w:r w:rsidRPr="00236CC3">
        <w:rPr>
          <w:rFonts w:ascii="Tahoma" w:eastAsiaTheme="minorHAnsi" w:hAnsi="Tahoma" w:cs="Tahoma"/>
          <w:sz w:val="19"/>
          <w:szCs w:val="19"/>
          <w:rtl/>
        </w:rPr>
        <w:t xml:space="preserve">לוודא כי למוניות השירות יש רישיון פעיל בהתאם להוראות המעודכנות. </w:t>
      </w:r>
    </w:p>
    <w:p w14:paraId="769CE045" w14:textId="77777777" w:rsidR="00236CC3" w:rsidRPr="00236CC3" w:rsidRDefault="00236CC3" w:rsidP="00236CC3">
      <w:pPr>
        <w:bidi w:val="0"/>
        <w:spacing w:after="160" w:line="259" w:lineRule="auto"/>
        <w:jc w:val="left"/>
        <w:rPr>
          <w:rFonts w:eastAsiaTheme="minorHAnsi"/>
        </w:rPr>
      </w:pPr>
    </w:p>
    <w:p w14:paraId="7B54BC10" w14:textId="77777777" w:rsidR="00236CC3" w:rsidRPr="00236CC3" w:rsidRDefault="00000000" w:rsidP="00236CC3">
      <w:pPr>
        <w:spacing w:line="360" w:lineRule="auto"/>
        <w:ind w:left="-851" w:right="-567"/>
        <w:rPr>
          <w:rFonts w:ascii="Tahoma" w:eastAsiaTheme="minorHAnsi" w:hAnsi="Tahoma" w:cs="Tahoma"/>
          <w:b/>
          <w:bCs/>
          <w:sz w:val="19"/>
          <w:szCs w:val="19"/>
          <w:rtl/>
        </w:rPr>
      </w:pPr>
      <w:r w:rsidRPr="00236CC3">
        <w:rPr>
          <w:rFonts w:ascii="Tahoma" w:eastAsiaTheme="minorHAnsi" w:hAnsi="Tahoma" w:cs="Tahoma"/>
          <w:b/>
          <w:bCs/>
          <w:rtl/>
        </w:rPr>
        <w:t>המוניות בנתב"ג:</w:t>
      </w:r>
    </w:p>
    <w:p w14:paraId="7CBF9B88"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פעילות המוניות המיוחדות בנתב"ג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 xml:space="preserve">בעקבות כישלון המכרז </w:t>
      </w:r>
      <w:r w:rsidRPr="00236CC3">
        <w:rPr>
          <w:rFonts w:ascii="Tahoma" w:eastAsiaTheme="minorHAnsi" w:hAnsi="Tahoma" w:cs="Tahoma" w:hint="cs"/>
          <w:sz w:val="19"/>
          <w:szCs w:val="19"/>
          <w:rtl/>
        </w:rPr>
        <w:t>שערכה רש"ת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ניהול והפעל</w:t>
      </w:r>
      <w:r w:rsidRPr="00236CC3">
        <w:rPr>
          <w:rFonts w:ascii="Tahoma" w:eastAsiaTheme="minorHAnsi" w:hAnsi="Tahoma" w:cs="Tahoma" w:hint="cs"/>
          <w:sz w:val="19"/>
          <w:szCs w:val="19"/>
          <w:rtl/>
        </w:rPr>
        <w:t>ה של</w:t>
      </w:r>
      <w:r w:rsidRPr="00236CC3">
        <w:rPr>
          <w:rFonts w:ascii="Tahoma" w:eastAsiaTheme="minorHAnsi" w:hAnsi="Tahoma" w:cs="Tahoma"/>
          <w:sz w:val="19"/>
          <w:szCs w:val="19"/>
          <w:rtl/>
        </w:rPr>
        <w:t xml:space="preserve"> מערך כולל של הסעות נוסעים במוניות מנתב"ג לכל רחבי הארץ, פעלו המוניות המיוחדות בנתב"ג במשך שש שנים (יוני 2017 - אוגוסט 2023) במתכונת של "שוק פתוח", </w:t>
      </w:r>
      <w:bookmarkStart w:id="61" w:name="_Hlk173332225"/>
      <w:r w:rsidRPr="00236CC3">
        <w:rPr>
          <w:rFonts w:ascii="Tahoma" w:eastAsiaTheme="minorHAnsi" w:hAnsi="Tahoma" w:cs="Tahoma" w:hint="cs"/>
          <w:sz w:val="19"/>
          <w:szCs w:val="19"/>
          <w:rtl/>
        </w:rPr>
        <w:t xml:space="preserve">כלומר ישירות על ידי רש"ת </w:t>
      </w:r>
      <w:r w:rsidRPr="00236CC3">
        <w:rPr>
          <w:rFonts w:ascii="Tahoma" w:eastAsiaTheme="minorHAnsi" w:hAnsi="Tahoma" w:cs="Tahoma"/>
          <w:sz w:val="19"/>
          <w:szCs w:val="19"/>
          <w:rtl/>
        </w:rPr>
        <w:t>ללא תאגיד המנהל אותן</w:t>
      </w:r>
      <w:r w:rsidRPr="00236CC3">
        <w:rPr>
          <w:rFonts w:ascii="Tahoma" w:eastAsiaTheme="minorHAnsi" w:hAnsi="Tahoma" w:cs="Tahoma" w:hint="cs"/>
          <w:sz w:val="19"/>
          <w:szCs w:val="19"/>
          <w:rtl/>
        </w:rPr>
        <w:t xml:space="preserve"> </w:t>
      </w:r>
      <w:bookmarkEnd w:id="61"/>
      <w:r w:rsidRPr="00236CC3">
        <w:rPr>
          <w:rFonts w:ascii="Tahoma" w:eastAsiaTheme="minorHAnsi" w:hAnsi="Tahoma" w:cs="Tahoma" w:hint="cs"/>
          <w:sz w:val="19"/>
          <w:szCs w:val="19"/>
          <w:rtl/>
        </w:rPr>
        <w:t>וניהול פעילות המוניות בנתב"ג בוצע על ידי רש"ת.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היעדר התקשרות עם תאגיד מוניות</w:t>
      </w:r>
      <w:r w:rsidRPr="00236CC3">
        <w:rPr>
          <w:rFonts w:ascii="Tahoma" w:eastAsiaTheme="minorHAnsi" w:hAnsi="Tahoma" w:cs="Tahoma"/>
          <w:sz w:val="19"/>
          <w:szCs w:val="19"/>
          <w:rtl/>
        </w:rPr>
        <w:t xml:space="preserve"> תרם הלכה למעשה לעלייה בפעילות מוניות לא מורשות ("חאפרים") בנתב"ג. בהיעדר תאגיד המנהל את מערך המוניות חלה ירידה באיכות השירות לנוסע ועלייה בעבירות שונות של נהגי מוניות, ואף </w:t>
      </w:r>
      <w:r w:rsidRPr="00236CC3">
        <w:rPr>
          <w:rFonts w:ascii="Tahoma" w:eastAsiaTheme="minorHAnsi" w:hAnsi="Tahoma" w:cs="Tahoma" w:hint="cs"/>
          <w:sz w:val="19"/>
          <w:szCs w:val="19"/>
          <w:rtl/>
        </w:rPr>
        <w:t>נמצא</w:t>
      </w:r>
      <w:r w:rsidRPr="00236CC3">
        <w:rPr>
          <w:rFonts w:ascii="Tahoma" w:eastAsiaTheme="minorHAnsi" w:hAnsi="Tahoma" w:cs="Tahoma"/>
          <w:sz w:val="19"/>
          <w:szCs w:val="19"/>
          <w:rtl/>
        </w:rPr>
        <w:t xml:space="preserve"> קושי באכיפה.</w:t>
      </w:r>
      <w:r w:rsidRPr="00236CC3">
        <w:rPr>
          <w:rFonts w:ascii="Tahoma" w:eastAsiaTheme="minorHAnsi" w:hAnsi="Tahoma" w:cs="Tahoma" w:hint="cs"/>
          <w:sz w:val="19"/>
          <w:szCs w:val="19"/>
          <w:rtl/>
        </w:rPr>
        <w:t xml:space="preserve"> </w:t>
      </w:r>
    </w:p>
    <w:p w14:paraId="5DBEBBFF"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tl/>
        </w:rPr>
      </w:pPr>
      <w:r w:rsidRPr="00236CC3">
        <w:rPr>
          <w:rFonts w:ascii="Tahoma" w:eastAsiaTheme="minorHAnsi" w:hAnsi="Tahoma" w:cs="Tahoma"/>
          <w:b/>
          <w:bCs/>
          <w:sz w:val="19"/>
          <w:szCs w:val="19"/>
          <w:rtl/>
        </w:rPr>
        <w:lastRenderedPageBreak/>
        <w:t xml:space="preserve">האכיפה מצד רשות שדות התעופה </w:t>
      </w:r>
      <w:r w:rsidRPr="00236CC3">
        <w:rPr>
          <w:rFonts w:ascii="Tahoma" w:eastAsiaTheme="minorHAnsi" w:hAnsi="Tahoma" w:cs="Tahoma" w:hint="cs"/>
          <w:b/>
          <w:bCs/>
          <w:sz w:val="19"/>
          <w:szCs w:val="19"/>
          <w:rtl/>
        </w:rPr>
        <w:t>בכל הנוגע</w:t>
      </w:r>
      <w:r w:rsidRPr="00236CC3">
        <w:rPr>
          <w:rFonts w:ascii="Tahoma" w:eastAsiaTheme="minorHAnsi" w:hAnsi="Tahoma" w:cs="Tahoma"/>
          <w:b/>
          <w:bCs/>
          <w:sz w:val="19"/>
          <w:szCs w:val="19"/>
          <w:rtl/>
        </w:rPr>
        <w:t xml:space="preserve"> </w:t>
      </w:r>
      <w:r w:rsidRPr="00236CC3">
        <w:rPr>
          <w:rFonts w:ascii="Tahoma" w:eastAsiaTheme="minorHAnsi" w:hAnsi="Tahoma" w:cs="Tahoma" w:hint="cs"/>
          <w:b/>
          <w:bCs/>
          <w:sz w:val="19"/>
          <w:szCs w:val="19"/>
          <w:rtl/>
        </w:rPr>
        <w:t>ל</w:t>
      </w:r>
      <w:r w:rsidRPr="00236CC3">
        <w:rPr>
          <w:rFonts w:ascii="Tahoma" w:eastAsiaTheme="minorHAnsi" w:hAnsi="Tahoma" w:cs="Tahoma"/>
          <w:b/>
          <w:bCs/>
          <w:sz w:val="19"/>
          <w:szCs w:val="19"/>
          <w:rtl/>
        </w:rPr>
        <w:t>התנהגות נהגי המוניות המיוחדות בנתב"ג</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 רש"ת</w:t>
      </w:r>
      <w:r w:rsidRPr="00236CC3">
        <w:rPr>
          <w:rFonts w:ascii="Tahoma" w:eastAsiaTheme="minorHAnsi" w:hAnsi="Tahoma" w:cs="Tahoma"/>
          <w:sz w:val="19"/>
          <w:szCs w:val="19"/>
          <w:rtl/>
        </w:rPr>
        <w:t xml:space="preserve"> מתמודדת בשנים האחרונות עם </w:t>
      </w:r>
      <w:r w:rsidRPr="00236CC3">
        <w:rPr>
          <w:rFonts w:ascii="Tahoma" w:eastAsiaTheme="minorHAnsi" w:hAnsi="Tahoma" w:cs="Tahoma"/>
          <w:b/>
          <w:bCs/>
          <w:sz w:val="19"/>
          <w:szCs w:val="19"/>
          <w:rtl/>
        </w:rPr>
        <w:t>עבירות חוזרות ונשנות של נהגי מוניות</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שידול נוסעים על ידי הנהגים</w:t>
      </w:r>
      <w:r w:rsidRPr="00236CC3">
        <w:rPr>
          <w:rFonts w:ascii="Tahoma" w:eastAsiaTheme="minorHAnsi" w:hAnsi="Tahoma" w:cs="Tahoma" w:hint="cs"/>
          <w:sz w:val="19"/>
          <w:szCs w:val="19"/>
          <w:rtl/>
        </w:rPr>
        <w:t xml:space="preserve"> או מי מטעמם, סירוב לבצע נסיעות, אי-הפעלת מונה, הפקעת מחירים </w:t>
      </w:r>
      <w:r w:rsidRPr="00236CC3">
        <w:rPr>
          <w:rFonts w:ascii="Tahoma" w:eastAsiaTheme="minorHAnsi" w:hAnsi="Tahoma" w:cs="Tahoma"/>
          <w:sz w:val="19"/>
          <w:szCs w:val="19"/>
          <w:rtl/>
        </w:rPr>
        <w:t>ו</w:t>
      </w:r>
      <w:r w:rsidRPr="00236CC3">
        <w:rPr>
          <w:rFonts w:ascii="Tahoma" w:eastAsiaTheme="minorHAnsi" w:hAnsi="Tahoma" w:cs="Tahoma" w:hint="cs"/>
          <w:sz w:val="19"/>
          <w:szCs w:val="19"/>
          <w:rtl/>
        </w:rPr>
        <w:t xml:space="preserve">אפילו </w:t>
      </w:r>
      <w:r w:rsidRPr="00236CC3">
        <w:rPr>
          <w:rFonts w:ascii="Tahoma" w:eastAsiaTheme="minorHAnsi" w:hAnsi="Tahoma" w:cs="Tahoma"/>
          <w:sz w:val="19"/>
          <w:szCs w:val="19"/>
          <w:rtl/>
        </w:rPr>
        <w:t xml:space="preserve">תופעות של אלימות. </w:t>
      </w:r>
      <w:r w:rsidRPr="00236CC3">
        <w:rPr>
          <w:rFonts w:ascii="Tahoma" w:eastAsiaTheme="minorHAnsi" w:hAnsi="Tahoma" w:cs="Tahoma" w:hint="cs"/>
          <w:sz w:val="19"/>
          <w:szCs w:val="19"/>
          <w:rtl/>
        </w:rPr>
        <w:t>המסמכים שרש"ת העבירה למשרד מבקר המדינה העלו כי היא</w:t>
      </w:r>
      <w:r w:rsidRPr="00236CC3">
        <w:rPr>
          <w:rFonts w:ascii="Tahoma" w:eastAsiaTheme="minorHAnsi" w:hAnsi="Tahoma" w:cs="Tahoma"/>
          <w:sz w:val="19"/>
          <w:szCs w:val="19"/>
          <w:rtl/>
        </w:rPr>
        <w:t xml:space="preserve"> אינה ממצה את אמצעי האכיפה העומדים לרשותה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וכי חסרות לה סמ</w:t>
      </w:r>
      <w:r w:rsidRPr="00236CC3">
        <w:rPr>
          <w:rFonts w:ascii="Tahoma" w:eastAsiaTheme="minorHAnsi" w:hAnsi="Tahoma" w:cs="Tahoma"/>
          <w:sz w:val="19"/>
          <w:szCs w:val="19"/>
          <w:rtl/>
        </w:rPr>
        <w:t xml:space="preserve">כויות אכיפה נגד חלק מהעבירות </w:t>
      </w:r>
      <w:r w:rsidRPr="00236CC3">
        <w:rPr>
          <w:rFonts w:ascii="Tahoma" w:eastAsiaTheme="minorHAnsi" w:hAnsi="Tahoma" w:cs="Tahoma" w:hint="cs"/>
          <w:sz w:val="19"/>
          <w:szCs w:val="19"/>
          <w:rtl/>
        </w:rPr>
        <w:t>המתבצעות בשטחה</w:t>
      </w:r>
      <w:r w:rsidRPr="00236CC3">
        <w:rPr>
          <w:rFonts w:ascii="Tahoma" w:eastAsiaTheme="minorHAnsi" w:hAnsi="Tahoma" w:cs="Tahoma"/>
          <w:sz w:val="19"/>
          <w:szCs w:val="19"/>
          <w:rtl/>
        </w:rPr>
        <w:t>.</w:t>
      </w:r>
    </w:p>
    <w:p w14:paraId="793F0EC2"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עיכובים במכרזים למוניות שירות בנתב"ג</w:t>
      </w:r>
      <w:r w:rsidRPr="00236CC3">
        <w:rPr>
          <w:rFonts w:ascii="Tahoma" w:eastAsiaTheme="minorHAnsi" w:hAnsi="Tahoma" w:cs="Tahoma"/>
          <w:sz w:val="19"/>
          <w:szCs w:val="19"/>
          <w:rtl/>
        </w:rPr>
        <w:t xml:space="preserve"> - הרפורמה בענף מוניות השירות הותנעה בשנת 2018, אולם עד לסוף</w:t>
      </w:r>
      <w:r w:rsidRPr="00236CC3">
        <w:rPr>
          <w:rFonts w:ascii="Tahoma" w:eastAsiaTheme="minorHAnsi" w:hAnsi="Tahoma" w:cs="Tahoma" w:hint="cs"/>
          <w:sz w:val="19"/>
          <w:szCs w:val="19"/>
          <w:rtl/>
        </w:rPr>
        <w:t xml:space="preserve"> שנת</w:t>
      </w:r>
      <w:r w:rsidRPr="00236CC3">
        <w:rPr>
          <w:rFonts w:ascii="Tahoma" w:eastAsiaTheme="minorHAnsi" w:hAnsi="Tahoma" w:cs="Tahoma"/>
          <w:sz w:val="19"/>
          <w:szCs w:val="19"/>
          <w:rtl/>
        </w:rPr>
        <w:t xml:space="preserve"> 2023 משרד התחבורה לא פרסם מכרז עבור קווי השירות בנתב"ג.</w:t>
      </w:r>
      <w:r w:rsidRPr="00236CC3">
        <w:rPr>
          <w:rFonts w:ascii="Tahoma" w:eastAsiaTheme="minorHAnsi" w:hAnsi="Tahoma" w:cs="Tahoma" w:hint="cs"/>
          <w:sz w:val="19"/>
          <w:szCs w:val="19"/>
          <w:rtl/>
        </w:rPr>
        <w:t xml:space="preserve"> בשנת 2018</w:t>
      </w:r>
      <w:r w:rsidRPr="00236CC3">
        <w:rPr>
          <w:rFonts w:ascii="Tahoma" w:eastAsiaTheme="minorHAnsi" w:hAnsi="Tahoma" w:cs="Tahoma"/>
          <w:sz w:val="19"/>
          <w:szCs w:val="19"/>
          <w:rtl/>
        </w:rPr>
        <w:t xml:space="preserve"> משרד התחבורה </w:t>
      </w:r>
      <w:r w:rsidRPr="00236CC3">
        <w:rPr>
          <w:rFonts w:ascii="Tahoma" w:eastAsiaTheme="minorHAnsi" w:hAnsi="Tahoma" w:cs="Tahoma" w:hint="cs"/>
          <w:sz w:val="19"/>
          <w:szCs w:val="19"/>
          <w:rtl/>
        </w:rPr>
        <w:t>החל ב</w:t>
      </w:r>
      <w:r w:rsidRPr="00236CC3">
        <w:rPr>
          <w:rFonts w:ascii="Tahoma" w:eastAsiaTheme="minorHAnsi" w:hAnsi="Tahoma" w:cs="Tahoma"/>
          <w:sz w:val="19"/>
          <w:szCs w:val="19"/>
          <w:rtl/>
        </w:rPr>
        <w:t>תכנ</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ן מכרזים</w:t>
      </w:r>
      <w:r w:rsidRPr="00236CC3">
        <w:rPr>
          <w:rFonts w:ascii="Tahoma" w:eastAsiaTheme="minorHAnsi" w:hAnsi="Tahoma" w:cs="Tahoma" w:hint="cs"/>
          <w:sz w:val="19"/>
          <w:szCs w:val="19"/>
          <w:rtl/>
        </w:rPr>
        <w:t xml:space="preserve"> לקווי שירות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בכל הארץ, ובכלל זה </w:t>
      </w:r>
      <w:r w:rsidRPr="00236CC3">
        <w:rPr>
          <w:rFonts w:ascii="Tahoma" w:eastAsiaTheme="minorHAnsi" w:hAnsi="Tahoma" w:cs="Tahoma"/>
          <w:sz w:val="19"/>
          <w:szCs w:val="19"/>
          <w:rtl/>
        </w:rPr>
        <w:t>מנתב"ג לאזור ירושלים ולאזור המרכז</w:t>
      </w:r>
      <w:r w:rsidRPr="00236CC3">
        <w:rPr>
          <w:rFonts w:ascii="Tahoma" w:eastAsiaTheme="minorHAnsi" w:hAnsi="Tahoma" w:cs="Tahoma" w:hint="cs"/>
          <w:sz w:val="19"/>
          <w:szCs w:val="19"/>
          <w:rtl/>
        </w:rPr>
        <w:t xml:space="preserve"> בלבד. בביקורת עלה כי לא תוכנן מכרז לאזור חיפה והצפון</w:t>
      </w:r>
      <w:r w:rsidRPr="00236CC3">
        <w:rPr>
          <w:rFonts w:ascii="Tahoma" w:eastAsiaTheme="minorHAnsi" w:hAnsi="Tahoma" w:cs="Tahoma"/>
          <w:sz w:val="19"/>
          <w:szCs w:val="19"/>
          <w:rtl/>
        </w:rPr>
        <w:t>, אף על פי ש</w:t>
      </w:r>
      <w:r w:rsidRPr="00236CC3">
        <w:rPr>
          <w:rFonts w:ascii="Tahoma" w:eastAsiaTheme="minorHAnsi" w:hAnsi="Tahoma" w:cs="Tahoma" w:hint="cs"/>
          <w:sz w:val="19"/>
          <w:szCs w:val="19"/>
          <w:rtl/>
        </w:rPr>
        <w:t xml:space="preserve">פועל </w:t>
      </w:r>
      <w:r w:rsidRPr="00236CC3">
        <w:rPr>
          <w:rFonts w:ascii="Tahoma" w:eastAsiaTheme="minorHAnsi" w:hAnsi="Tahoma" w:cs="Tahoma"/>
          <w:sz w:val="19"/>
          <w:szCs w:val="19"/>
          <w:rtl/>
        </w:rPr>
        <w:t xml:space="preserve">גם קו שירות לאזור </w:t>
      </w:r>
      <w:r w:rsidRPr="00236CC3">
        <w:rPr>
          <w:rFonts w:ascii="Tahoma" w:eastAsiaTheme="minorHAnsi" w:hAnsi="Tahoma" w:cs="Tahoma" w:hint="cs"/>
          <w:sz w:val="19"/>
          <w:szCs w:val="19"/>
          <w:rtl/>
        </w:rPr>
        <w:t>זה שגם אותו נדרש להסדיר</w:t>
      </w:r>
      <w:r w:rsidRPr="00236CC3">
        <w:rPr>
          <w:rFonts w:ascii="Tahoma" w:eastAsiaTheme="minorHAnsi" w:hAnsi="Tahoma" w:cs="Tahoma"/>
          <w:sz w:val="19"/>
          <w:szCs w:val="19"/>
          <w:rtl/>
        </w:rPr>
        <w:t>. אי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הארכת תוקף </w:t>
      </w:r>
      <w:r w:rsidRPr="00236CC3">
        <w:rPr>
          <w:rFonts w:ascii="Tahoma" w:eastAsiaTheme="minorHAnsi" w:hAnsi="Tahoma" w:cs="Tahoma" w:hint="cs"/>
          <w:sz w:val="19"/>
          <w:szCs w:val="19"/>
          <w:rtl/>
        </w:rPr>
        <w:t>הוראות המעבר</w:t>
      </w:r>
      <w:r w:rsidRPr="00236CC3">
        <w:rPr>
          <w:rFonts w:ascii="Tahoma" w:eastAsiaTheme="minorHAnsi" w:hAnsi="Tahoma" w:cs="Tahoma"/>
          <w:sz w:val="19"/>
          <w:szCs w:val="19"/>
          <w:rtl/>
        </w:rPr>
        <w:t xml:space="preserve"> שא</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פשר</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 xml:space="preserve"> את הפעלת קווי מוניות השירות במתכונת הישנה בסוף</w:t>
      </w:r>
      <w:r w:rsidRPr="00236CC3">
        <w:rPr>
          <w:rFonts w:ascii="Tahoma" w:eastAsiaTheme="minorHAnsi" w:hAnsi="Tahoma" w:cs="Tahoma" w:hint="cs"/>
          <w:sz w:val="19"/>
          <w:szCs w:val="19"/>
          <w:rtl/>
        </w:rPr>
        <w:t xml:space="preserve"> שנת</w:t>
      </w:r>
      <w:r w:rsidRPr="00236CC3">
        <w:rPr>
          <w:rFonts w:ascii="Tahoma" w:eastAsiaTheme="minorHAnsi" w:hAnsi="Tahoma" w:cs="Tahoma"/>
          <w:sz w:val="19"/>
          <w:szCs w:val="19"/>
          <w:rtl/>
        </w:rPr>
        <w:t xml:space="preserve"> 2021 ועיכוב תהליכים מכרזיים להסדרת הקווים על פי המתכונת החדשה, הפכו את מפעילי קווי השירות - ובכללם קווי השירות בנתב"ג - למפעילים בלתי חוקיים, וטרם ניתנה לחלקם אפשרות להסדיר את מעמדם באמצעות מכרזים. בין </w:t>
      </w:r>
      <w:r w:rsidRPr="00236CC3">
        <w:rPr>
          <w:rFonts w:ascii="Tahoma" w:eastAsiaTheme="minorHAnsi" w:hAnsi="Tahoma" w:cs="Tahoma" w:hint="cs"/>
          <w:sz w:val="19"/>
          <w:szCs w:val="19"/>
          <w:rtl/>
        </w:rPr>
        <w:t>רש"ת</w:t>
      </w:r>
      <w:r w:rsidRPr="00236CC3">
        <w:rPr>
          <w:rFonts w:ascii="Tahoma" w:eastAsiaTheme="minorHAnsi" w:hAnsi="Tahoma" w:cs="Tahoma"/>
          <w:sz w:val="19"/>
          <w:szCs w:val="19"/>
          <w:rtl/>
        </w:rPr>
        <w:t xml:space="preserve"> למשרד התחבורה התנהלו מגעים להסדרת קווי השירות באזור נתב"ג, אולם אלו לא הבשילו לכדי הסדרת הקווים, </w:t>
      </w:r>
      <w:r w:rsidRPr="00236CC3">
        <w:rPr>
          <w:rFonts w:ascii="Tahoma" w:eastAsiaTheme="minorHAnsi" w:hAnsi="Tahoma" w:cs="Tahoma" w:hint="cs"/>
          <w:sz w:val="19"/>
          <w:szCs w:val="19"/>
          <w:rtl/>
        </w:rPr>
        <w:t xml:space="preserve">והם </w:t>
      </w:r>
      <w:r w:rsidRPr="00236CC3">
        <w:rPr>
          <w:rFonts w:ascii="Tahoma" w:eastAsiaTheme="minorHAnsi" w:hAnsi="Tahoma" w:cs="Tahoma"/>
          <w:sz w:val="19"/>
          <w:szCs w:val="19"/>
          <w:rtl/>
        </w:rPr>
        <w:t>פועלים ללא מסגרת חוקית.</w:t>
      </w:r>
    </w:p>
    <w:p w14:paraId="0326229D"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חלופה חוקית בעלות נמוכה מעלות </w:t>
      </w:r>
      <w:r w:rsidRPr="00236CC3">
        <w:rPr>
          <w:rFonts w:ascii="Tahoma" w:eastAsiaTheme="minorHAnsi" w:hAnsi="Tahoma" w:cs="Tahoma" w:hint="cs"/>
          <w:b/>
          <w:bCs/>
          <w:sz w:val="19"/>
          <w:szCs w:val="19"/>
          <w:rtl/>
        </w:rPr>
        <w:t>ה</w:t>
      </w:r>
      <w:r w:rsidRPr="00236CC3">
        <w:rPr>
          <w:rFonts w:ascii="Tahoma" w:eastAsiaTheme="minorHAnsi" w:hAnsi="Tahoma" w:cs="Tahoma"/>
          <w:b/>
          <w:bCs/>
          <w:sz w:val="19"/>
          <w:szCs w:val="19"/>
          <w:rtl/>
        </w:rPr>
        <w:t>נסיעה במונית מיוחדת</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hint="cs"/>
          <w:sz w:val="19"/>
          <w:szCs w:val="19"/>
          <w:rtl/>
        </w:rPr>
        <w:t>אף</w:t>
      </w:r>
      <w:r w:rsidRPr="00236CC3">
        <w:rPr>
          <w:rFonts w:ascii="Tahoma" w:eastAsiaTheme="minorHAnsi" w:hAnsi="Tahoma" w:cs="Tahoma"/>
          <w:sz w:val="19"/>
          <w:szCs w:val="19"/>
          <w:rtl/>
        </w:rPr>
        <w:t xml:space="preserve"> שנמל התעופה בן גוריון פועל </w:t>
      </w:r>
      <w:r w:rsidRPr="00236CC3">
        <w:rPr>
          <w:rFonts w:ascii="Tahoma" w:eastAsiaTheme="minorHAnsi" w:hAnsi="Tahoma" w:cs="Tahoma" w:hint="cs"/>
          <w:sz w:val="19"/>
          <w:szCs w:val="19"/>
          <w:rtl/>
        </w:rPr>
        <w:t>במשך</w:t>
      </w:r>
      <w:r w:rsidRPr="00236CC3">
        <w:rPr>
          <w:rFonts w:ascii="Tahoma" w:eastAsiaTheme="minorHAnsi" w:hAnsi="Tahoma" w:cs="Tahoma"/>
          <w:sz w:val="19"/>
          <w:szCs w:val="19"/>
          <w:rtl/>
        </w:rPr>
        <w:t xml:space="preserve"> כל שעות היממה ובכל ימות השבוע, </w:t>
      </w:r>
      <w:r w:rsidRPr="00236CC3">
        <w:rPr>
          <w:rFonts w:ascii="Tahoma" w:eastAsiaTheme="minorHAnsi" w:hAnsi="Tahoma" w:cs="Tahoma" w:hint="cs"/>
          <w:sz w:val="19"/>
          <w:szCs w:val="19"/>
          <w:rtl/>
        </w:rPr>
        <w:t>ואילו</w:t>
      </w:r>
      <w:r w:rsidRPr="00236CC3">
        <w:rPr>
          <w:rFonts w:ascii="Tahoma" w:eastAsiaTheme="minorHAnsi" w:hAnsi="Tahoma" w:cs="Tahoma"/>
          <w:sz w:val="19"/>
          <w:szCs w:val="19"/>
          <w:rtl/>
        </w:rPr>
        <w:t xml:space="preserve"> התחבורה הציבורית הסדירה </w:t>
      </w:r>
      <w:r w:rsidRPr="00236CC3">
        <w:rPr>
          <w:rFonts w:ascii="Tahoma" w:eastAsiaTheme="minorHAnsi" w:hAnsi="Tahoma" w:cs="Tahoma" w:hint="cs"/>
          <w:sz w:val="19"/>
          <w:szCs w:val="19"/>
          <w:rtl/>
        </w:rPr>
        <w:t>(רכבות ואוטובוסים)</w:t>
      </w:r>
      <w:r w:rsidRPr="00236CC3">
        <w:rPr>
          <w:rFonts w:ascii="Tahoma" w:eastAsiaTheme="minorHAnsi" w:hAnsi="Tahoma" w:cs="Tahoma" w:hint="cs"/>
          <w:sz w:val="19"/>
          <w:szCs w:val="19"/>
        </w:rPr>
        <w:t xml:space="preserve"> </w:t>
      </w:r>
      <w:r w:rsidRPr="00236CC3">
        <w:rPr>
          <w:rFonts w:ascii="Tahoma" w:eastAsiaTheme="minorHAnsi" w:hAnsi="Tahoma" w:cs="Tahoma"/>
          <w:sz w:val="19"/>
          <w:szCs w:val="19"/>
          <w:rtl/>
        </w:rPr>
        <w:t>אינה פועלת בכל שעות היממה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ומוניות השירות באזור נתב"ג פועלות ללא רישיון משרד התחבורה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משרד התחבורה לא הסדיר </w:t>
      </w:r>
      <w:r w:rsidRPr="00236CC3">
        <w:rPr>
          <w:rFonts w:ascii="Tahoma" w:eastAsiaTheme="minorHAnsi" w:hAnsi="Tahoma" w:cs="Tahoma"/>
          <w:sz w:val="19"/>
          <w:szCs w:val="19"/>
          <w:rtl/>
        </w:rPr>
        <w:t xml:space="preserve">לציבור בשעות </w:t>
      </w:r>
      <w:r w:rsidRPr="00236CC3">
        <w:rPr>
          <w:rFonts w:ascii="Tahoma" w:eastAsiaTheme="minorHAnsi" w:hAnsi="Tahoma" w:cs="Tahoma" w:hint="cs"/>
          <w:sz w:val="19"/>
          <w:szCs w:val="19"/>
          <w:rtl/>
        </w:rPr>
        <w:t>שבהן לא פועלת התחבורה</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הסדירה </w:t>
      </w:r>
      <w:r w:rsidRPr="00236CC3">
        <w:rPr>
          <w:rFonts w:ascii="Tahoma" w:eastAsiaTheme="minorHAnsi" w:hAnsi="Tahoma" w:cs="Tahoma"/>
          <w:sz w:val="19"/>
          <w:szCs w:val="19"/>
          <w:rtl/>
        </w:rPr>
        <w:t xml:space="preserve">חלופה </w:t>
      </w:r>
      <w:r w:rsidRPr="00236CC3">
        <w:rPr>
          <w:rFonts w:ascii="Tahoma" w:eastAsiaTheme="minorHAnsi" w:hAnsi="Tahoma" w:cs="Tahoma" w:hint="cs"/>
          <w:sz w:val="19"/>
          <w:szCs w:val="19"/>
          <w:rtl/>
        </w:rPr>
        <w:t xml:space="preserve">חוקית </w:t>
      </w:r>
      <w:r w:rsidRPr="00236CC3">
        <w:rPr>
          <w:rFonts w:ascii="Tahoma" w:eastAsiaTheme="minorHAnsi" w:hAnsi="Tahoma" w:cs="Tahoma"/>
          <w:sz w:val="19"/>
          <w:szCs w:val="19"/>
          <w:rtl/>
        </w:rPr>
        <w:t>בעלות הנמוכה מעלות הנסיעה במונית מיוחדת.</w:t>
      </w:r>
    </w:p>
    <w:p w14:paraId="690A9781"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hint="eastAsia"/>
          <w:b/>
          <w:bCs/>
          <w:sz w:val="19"/>
          <w:szCs w:val="19"/>
          <w:rtl/>
        </w:rPr>
        <w:t>שילוט</w:t>
      </w:r>
      <w:r w:rsidRPr="00236CC3">
        <w:rPr>
          <w:rFonts w:ascii="Tahoma" w:eastAsiaTheme="minorHAnsi" w:hAnsi="Tahoma" w:cs="Tahoma"/>
          <w:b/>
          <w:bCs/>
          <w:sz w:val="19"/>
          <w:szCs w:val="19"/>
          <w:rtl/>
        </w:rPr>
        <w:t xml:space="preserve"> בנתב"ג</w:t>
      </w:r>
      <w:r w:rsidRPr="00236CC3">
        <w:rPr>
          <w:rFonts w:ascii="Tahoma" w:eastAsiaTheme="minorHAnsi" w:hAnsi="Tahoma" w:cs="Tahoma" w:hint="cs"/>
          <w:b/>
          <w:bCs/>
          <w:sz w:val="19"/>
          <w:szCs w:val="19"/>
          <w:rtl/>
        </w:rPr>
        <w:t xml:space="preserve"> בנוגע למוניות שירות - </w:t>
      </w:r>
      <w:r w:rsidRPr="00236CC3">
        <w:rPr>
          <w:rFonts w:ascii="Tahoma" w:eastAsiaTheme="minorHAnsi" w:hAnsi="Tahoma" w:cs="Tahoma" w:hint="eastAsia"/>
          <w:sz w:val="19"/>
          <w:szCs w:val="19"/>
          <w:rtl/>
        </w:rPr>
        <w:t>במהלך</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הב</w:t>
      </w:r>
      <w:r w:rsidRPr="00236CC3">
        <w:rPr>
          <w:rFonts w:ascii="Tahoma" w:eastAsiaTheme="minorHAnsi" w:hAnsi="Tahoma" w:cs="Tahoma" w:hint="cs"/>
          <w:sz w:val="19"/>
          <w:szCs w:val="19"/>
          <w:rtl/>
        </w:rPr>
        <w:t>י</w:t>
      </w:r>
      <w:r w:rsidRPr="00236CC3">
        <w:rPr>
          <w:rFonts w:ascii="Tahoma" w:eastAsiaTheme="minorHAnsi" w:hAnsi="Tahoma" w:cs="Tahoma" w:hint="eastAsia"/>
          <w:sz w:val="19"/>
          <w:szCs w:val="19"/>
          <w:rtl/>
        </w:rPr>
        <w:t>קורת</w:t>
      </w:r>
      <w:r w:rsidRPr="00236CC3">
        <w:rPr>
          <w:rFonts w:ascii="Tahoma" w:eastAsiaTheme="minorHAnsi" w:hAnsi="Tahoma" w:cs="Tahoma"/>
          <w:sz w:val="19"/>
          <w:szCs w:val="19"/>
          <w:rtl/>
        </w:rPr>
        <w:t xml:space="preserve"> נמצא כי</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באזורי ההמתנה למוניות בנתב"ג מוצבים כמה שלטים הנושאים את סמל רשות שדות התעופה הממשלתית, ובהם מחירוני נסיעה ולוח זמנים של מוניות שירות. זאת, אף על פי שתוקף הרישיון של מוניות השירות באזור נתב"ג פג בסוף 2021.</w:t>
      </w:r>
      <w:r w:rsidRPr="00236CC3">
        <w:rPr>
          <w:rFonts w:ascii="Tahoma" w:eastAsiaTheme="minorHAnsi" w:hAnsi="Tahoma" w:cs="Tahoma" w:hint="cs"/>
          <w:b/>
          <w:bCs/>
          <w:sz w:val="19"/>
          <w:szCs w:val="19"/>
          <w:rtl/>
        </w:rPr>
        <w:t xml:space="preserve"> </w:t>
      </w:r>
      <w:r w:rsidRPr="00236CC3">
        <w:rPr>
          <w:rFonts w:ascii="Tahoma" w:eastAsiaTheme="minorHAnsi" w:hAnsi="Tahoma" w:cs="Tahoma" w:hint="eastAsia"/>
          <w:sz w:val="19"/>
          <w:szCs w:val="19"/>
          <w:rtl/>
        </w:rPr>
        <w:t>יצוין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w:t>
      </w:r>
      <w:r w:rsidRPr="00236CC3">
        <w:rPr>
          <w:rFonts w:eastAsiaTheme="minorHAnsi"/>
          <w:rtl/>
        </w:rPr>
        <w:t xml:space="preserve"> </w:t>
      </w:r>
      <w:r w:rsidRPr="00236CC3">
        <w:rPr>
          <w:rFonts w:ascii="Tahoma" w:eastAsiaTheme="minorHAnsi" w:hAnsi="Tahoma" w:cs="Tahoma"/>
          <w:sz w:val="19"/>
          <w:szCs w:val="19"/>
          <w:rtl/>
        </w:rPr>
        <w:t xml:space="preserve">רש"ת מסרה למשרד מבקר המדינה בתשובתה מיולי 2024 כי היא מקבלת את הביקורת בעניין זה, והסירה את השלט שעליו הצביע משרד מבקר המדינה </w:t>
      </w:r>
      <w:r w:rsidRPr="00236CC3">
        <w:rPr>
          <w:rFonts w:ascii="Tahoma" w:eastAsiaTheme="minorHAnsi" w:hAnsi="Tahoma" w:cs="Tahoma" w:hint="cs"/>
          <w:sz w:val="19"/>
          <w:szCs w:val="19"/>
          <w:rtl/>
        </w:rPr>
        <w:t>בביקורת</w:t>
      </w:r>
      <w:r w:rsidRPr="00236CC3">
        <w:rPr>
          <w:rFonts w:ascii="Tahoma" w:eastAsiaTheme="minorHAnsi" w:hAnsi="Tahoma" w:cs="Tahoma"/>
          <w:sz w:val="19"/>
          <w:szCs w:val="19"/>
          <w:rtl/>
        </w:rPr>
        <w:t>.</w:t>
      </w:r>
    </w:p>
    <w:p w14:paraId="56633217" w14:textId="77777777" w:rsidR="00236CC3" w:rsidRPr="00236CC3" w:rsidRDefault="00236CC3" w:rsidP="00236CC3">
      <w:pPr>
        <w:spacing w:after="240" w:line="288" w:lineRule="auto"/>
        <w:ind w:right="-567"/>
        <w:rPr>
          <w:rFonts w:ascii="Tahoma" w:eastAsiaTheme="minorHAnsi" w:hAnsi="Tahoma" w:cs="Tahoma"/>
          <w:sz w:val="19"/>
          <w:szCs w:val="19"/>
          <w:rtl/>
        </w:rPr>
      </w:pPr>
    </w:p>
    <w:p w14:paraId="3685815C" w14:textId="77777777" w:rsidR="00236CC3" w:rsidRPr="008F2D4E" w:rsidRDefault="00000000" w:rsidP="00236CC3">
      <w:pPr>
        <w:spacing w:before="120" w:line="288" w:lineRule="auto"/>
        <w:ind w:left="-851" w:right="-567"/>
        <w:rPr>
          <w:rFonts w:ascii="Tahoma" w:eastAsiaTheme="minorHAnsi" w:hAnsi="Tahoma" w:cs="Tahoma"/>
          <w:sz w:val="19"/>
          <w:szCs w:val="19"/>
          <w:rtl/>
        </w:rPr>
      </w:pPr>
      <w:r w:rsidRPr="00236CC3">
        <w:rPr>
          <w:rFonts w:ascii="Tahoma" w:eastAsiaTheme="minorHAnsi" w:hAnsi="Tahoma" w:cs="Tahoma" w:hint="cs"/>
          <w:b/>
          <w:bCs/>
          <w:sz w:val="19"/>
          <w:szCs w:val="19"/>
          <w:rtl/>
        </w:rPr>
        <w:t xml:space="preserve">מבקר המדינה מתניהו אנגלמן ממליץ </w:t>
      </w:r>
      <w:r w:rsidRPr="008F2D4E">
        <w:rPr>
          <w:rFonts w:ascii="Tahoma" w:eastAsiaTheme="minorHAnsi" w:hAnsi="Tahoma" w:cs="Tahoma" w:hint="cs"/>
          <w:sz w:val="19"/>
          <w:szCs w:val="19"/>
          <w:rtl/>
        </w:rPr>
        <w:t xml:space="preserve">לשר האוצר ולשרת התחבורה, בהתייעצות עם ועדת המחירים המשותפת למשרד התחבורה ומשרד האוצר, לעדכן את בסיס תעריפי הנסיעה במוניות מיוחדות, תוך הצגת מסמך מסכם שיסביר את המודל הכלכלי והנחות העבודה שמהם נגזר עדכון תעריפי הנסיעה. כמו כן, </w:t>
      </w:r>
      <w:r w:rsidRPr="008F2D4E">
        <w:rPr>
          <w:rFonts w:ascii="Tahoma" w:eastAsiaTheme="minorHAnsi" w:hAnsi="Tahoma" w:cs="Tahoma"/>
          <w:sz w:val="19"/>
          <w:szCs w:val="19"/>
          <w:rtl/>
        </w:rPr>
        <w:t xml:space="preserve">על משרד התחבורה, </w:t>
      </w:r>
      <w:r w:rsidRPr="008F2D4E">
        <w:rPr>
          <w:rFonts w:ascii="Tahoma" w:eastAsiaTheme="minorHAnsi" w:hAnsi="Tahoma" w:cs="Tahoma" w:hint="cs"/>
          <w:sz w:val="19"/>
          <w:szCs w:val="19"/>
          <w:rtl/>
        </w:rPr>
        <w:t xml:space="preserve">משרד </w:t>
      </w:r>
      <w:r w:rsidRPr="008F2D4E">
        <w:rPr>
          <w:rFonts w:ascii="Tahoma" w:eastAsiaTheme="minorHAnsi" w:hAnsi="Tahoma" w:cs="Tahoma"/>
          <w:sz w:val="19"/>
          <w:szCs w:val="19"/>
          <w:rtl/>
        </w:rPr>
        <w:t xml:space="preserve">האוצר, </w:t>
      </w:r>
      <w:r w:rsidRPr="008F2D4E">
        <w:rPr>
          <w:rFonts w:ascii="Tahoma" w:eastAsiaTheme="minorHAnsi" w:hAnsi="Tahoma" w:cs="Tahoma" w:hint="eastAsia"/>
          <w:sz w:val="19"/>
          <w:szCs w:val="19"/>
          <w:rtl/>
        </w:rPr>
        <w:t>ר</w:t>
      </w:r>
      <w:r w:rsidRPr="008F2D4E">
        <w:rPr>
          <w:rFonts w:ascii="Tahoma" w:eastAsiaTheme="minorHAnsi" w:hAnsi="Tahoma" w:cs="Tahoma"/>
          <w:sz w:val="19"/>
          <w:szCs w:val="19"/>
          <w:rtl/>
        </w:rPr>
        <w:t>שות המיסים</w:t>
      </w:r>
      <w:r w:rsidRPr="008F2D4E">
        <w:rPr>
          <w:rFonts w:ascii="Tahoma" w:eastAsiaTheme="minorHAnsi" w:hAnsi="Tahoma" w:cs="Tahoma" w:hint="cs"/>
          <w:sz w:val="19"/>
          <w:szCs w:val="19"/>
          <w:rtl/>
        </w:rPr>
        <w:t xml:space="preserve"> ורש"ת </w:t>
      </w:r>
      <w:r w:rsidRPr="008F2D4E">
        <w:rPr>
          <w:rFonts w:ascii="Tahoma" w:eastAsiaTheme="minorHAnsi" w:hAnsi="Tahoma" w:cs="Tahoma"/>
          <w:sz w:val="19"/>
          <w:szCs w:val="19"/>
          <w:rtl/>
        </w:rPr>
        <w:t xml:space="preserve">לפעול </w:t>
      </w:r>
      <w:r w:rsidRPr="008F2D4E">
        <w:rPr>
          <w:rFonts w:ascii="Tahoma" w:eastAsiaTheme="minorHAnsi" w:hAnsi="Tahoma" w:cs="Tahoma" w:hint="cs"/>
          <w:sz w:val="19"/>
          <w:szCs w:val="19"/>
          <w:rtl/>
        </w:rPr>
        <w:t xml:space="preserve">כל אחד בתחומו ותוך </w:t>
      </w:r>
      <w:r w:rsidRPr="008F2D4E">
        <w:rPr>
          <w:rFonts w:ascii="Tahoma" w:eastAsiaTheme="minorHAnsi" w:hAnsi="Tahoma" w:cs="Tahoma"/>
          <w:sz w:val="19"/>
          <w:szCs w:val="19"/>
          <w:rtl/>
        </w:rPr>
        <w:t xml:space="preserve">שיתוף </w:t>
      </w:r>
      <w:r w:rsidRPr="008F2D4E">
        <w:rPr>
          <w:rFonts w:ascii="Tahoma" w:eastAsiaTheme="minorHAnsi" w:hAnsi="Tahoma" w:cs="Tahoma" w:hint="cs"/>
          <w:sz w:val="19"/>
          <w:szCs w:val="19"/>
          <w:rtl/>
        </w:rPr>
        <w:t xml:space="preserve">פעולה ככל הנדרש כדי </w:t>
      </w:r>
      <w:r w:rsidRPr="008F2D4E">
        <w:rPr>
          <w:rFonts w:ascii="Tahoma" w:eastAsiaTheme="minorHAnsi" w:hAnsi="Tahoma" w:cs="Tahoma"/>
          <w:sz w:val="19"/>
          <w:szCs w:val="19"/>
          <w:rtl/>
        </w:rPr>
        <w:t xml:space="preserve">לתקן את הליקויים </w:t>
      </w:r>
      <w:r w:rsidRPr="008F2D4E">
        <w:rPr>
          <w:rFonts w:ascii="Tahoma" w:eastAsiaTheme="minorHAnsi" w:hAnsi="Tahoma" w:cs="Tahoma" w:hint="cs"/>
          <w:sz w:val="19"/>
          <w:szCs w:val="19"/>
          <w:rtl/>
        </w:rPr>
        <w:t>שצוינו</w:t>
      </w:r>
      <w:r w:rsidRPr="008F2D4E">
        <w:rPr>
          <w:rFonts w:ascii="Tahoma" w:eastAsiaTheme="minorHAnsi" w:hAnsi="Tahoma" w:cs="Tahoma"/>
          <w:sz w:val="19"/>
          <w:szCs w:val="19"/>
          <w:rtl/>
        </w:rPr>
        <w:t xml:space="preserve"> בדוח זה. </w:t>
      </w:r>
      <w:r w:rsidRPr="008F2D4E">
        <w:rPr>
          <w:rFonts w:ascii="Tahoma" w:eastAsiaTheme="minorHAnsi" w:hAnsi="Tahoma" w:cs="Tahoma" w:hint="cs"/>
          <w:sz w:val="19"/>
          <w:szCs w:val="19"/>
          <w:rtl/>
        </w:rPr>
        <w:t xml:space="preserve"> המבקר מדגיש כי </w:t>
      </w:r>
      <w:r w:rsidRPr="008F2D4E">
        <w:rPr>
          <w:rFonts w:ascii="Tahoma" w:eastAsiaTheme="minorHAnsi" w:hAnsi="Tahoma" w:cs="Tahoma"/>
          <w:sz w:val="19"/>
          <w:szCs w:val="19"/>
          <w:rtl/>
        </w:rPr>
        <w:t>יישום ההמלצות השזורות בפרקי</w:t>
      </w:r>
      <w:r w:rsidRPr="008F2D4E">
        <w:rPr>
          <w:rFonts w:ascii="Tahoma" w:eastAsiaTheme="minorHAnsi" w:hAnsi="Tahoma" w:cs="Tahoma" w:hint="cs"/>
          <w:sz w:val="19"/>
          <w:szCs w:val="19"/>
          <w:rtl/>
        </w:rPr>
        <w:t xml:space="preserve"> </w:t>
      </w:r>
      <w:r w:rsidRPr="008F2D4E">
        <w:rPr>
          <w:rFonts w:ascii="Tahoma" w:eastAsiaTheme="minorHAnsi" w:hAnsi="Tahoma" w:cs="Tahoma"/>
          <w:sz w:val="19"/>
          <w:szCs w:val="19"/>
          <w:rtl/>
        </w:rPr>
        <w:t xml:space="preserve">הדוח עשוי </w:t>
      </w:r>
      <w:r w:rsidRPr="008F2D4E">
        <w:rPr>
          <w:rFonts w:ascii="Tahoma" w:eastAsiaTheme="minorHAnsi" w:hAnsi="Tahoma" w:cs="Tahoma" w:hint="cs"/>
          <w:sz w:val="19"/>
          <w:szCs w:val="19"/>
          <w:rtl/>
        </w:rPr>
        <w:t>לשפר את תהליכי ההסדרה בענף המוניות ולהביא לעלייה ברמת השירות לאזרח בהיבטים של קבלת שירות הסעות בהיקף נרחב יותר, מחיר מפוקח והוגן, צמצום זיהום האוויר של המוניות והעלאת רמת הבטיחות לנוסעים.</w:t>
      </w:r>
    </w:p>
    <w:p w14:paraId="3AC07A91" w14:textId="77777777" w:rsidR="00236CC3" w:rsidRPr="008F2D4E" w:rsidRDefault="00000000" w:rsidP="00236CC3">
      <w:pPr>
        <w:bidi w:val="0"/>
        <w:spacing w:after="160" w:line="259" w:lineRule="auto"/>
        <w:jc w:val="left"/>
        <w:rPr>
          <w:rFonts w:ascii="Tahoma" w:eastAsiaTheme="minorHAnsi" w:hAnsi="Tahoma" w:cs="Tahoma"/>
          <w:sz w:val="19"/>
          <w:szCs w:val="19"/>
          <w:rtl/>
        </w:rPr>
      </w:pPr>
      <w:r w:rsidRPr="008F2D4E">
        <w:rPr>
          <w:rFonts w:ascii="Tahoma" w:eastAsiaTheme="minorHAnsi" w:hAnsi="Tahoma" w:cs="Tahoma"/>
          <w:sz w:val="19"/>
          <w:szCs w:val="19"/>
          <w:rtl/>
        </w:rPr>
        <w:br w:type="page"/>
      </w:r>
    </w:p>
    <w:p w14:paraId="052AE5D8" w14:textId="77777777" w:rsidR="00236CC3" w:rsidRPr="00236CC3" w:rsidRDefault="00236CC3" w:rsidP="00236CC3">
      <w:pPr>
        <w:spacing w:line="288" w:lineRule="auto"/>
        <w:ind w:left="-851" w:right="-567"/>
        <w:rPr>
          <w:rFonts w:ascii="Tahoma" w:eastAsiaTheme="minorHAnsi" w:hAnsi="Tahoma" w:cs="Tahoma"/>
          <w:sz w:val="19"/>
          <w:szCs w:val="19"/>
          <w:rtl/>
        </w:rPr>
      </w:pP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05380A5B" w14:textId="77777777" w:rsidTr="00236CC3">
        <w:tc>
          <w:tcPr>
            <w:tcW w:w="9783" w:type="dxa"/>
          </w:tcPr>
          <w:p w14:paraId="59C048CA" w14:textId="77777777" w:rsidR="00236CC3" w:rsidRPr="00AD2D9C" w:rsidRDefault="00000000" w:rsidP="00AD2D9C">
            <w:pPr>
              <w:pStyle w:val="1"/>
              <w:jc w:val="left"/>
              <w:rPr>
                <w:rFonts w:ascii="Tahoma" w:hAnsi="Tahoma" w:cs="Tahoma"/>
                <w:sz w:val="40"/>
                <w:szCs w:val="40"/>
                <w:rtl/>
              </w:rPr>
            </w:pPr>
            <w:bookmarkStart w:id="62" w:name="_Toc179710265"/>
            <w:bookmarkStart w:id="63" w:name="_Hlk170899411"/>
            <w:bookmarkStart w:id="64" w:name="_Hlk148609208"/>
            <w:r w:rsidRPr="00AD2D9C">
              <w:rPr>
                <w:rFonts w:ascii="Tahoma" w:hAnsi="Tahoma" w:cs="Tahoma"/>
                <w:sz w:val="40"/>
                <w:szCs w:val="40"/>
                <w:rtl/>
              </w:rPr>
              <w:t>הנגשת התחבורה הציבורית לאנשים עם מוגבלות - ביקורת מעקב</w:t>
            </w:r>
            <w:bookmarkEnd w:id="62"/>
          </w:p>
          <w:p w14:paraId="40B54580" w14:textId="77777777" w:rsidR="00236CC3" w:rsidRPr="00236CC3" w:rsidRDefault="00236CC3" w:rsidP="00236CC3">
            <w:pPr>
              <w:tabs>
                <w:tab w:val="center" w:pos="4153"/>
                <w:tab w:val="right" w:pos="8306"/>
              </w:tabs>
              <w:spacing w:before="120" w:line="288" w:lineRule="auto"/>
              <w:jc w:val="left"/>
              <w:rPr>
                <w:rFonts w:ascii="Tahoma" w:hAnsi="Tahoma" w:cs="Tahoma"/>
                <w:rtl/>
              </w:rPr>
            </w:pPr>
          </w:p>
        </w:tc>
      </w:tr>
    </w:tbl>
    <w:p w14:paraId="51F20A24" w14:textId="77777777" w:rsidR="00236CC3" w:rsidRPr="00236CC3" w:rsidRDefault="00000000" w:rsidP="00236CC3">
      <w:pPr>
        <w:spacing w:line="288" w:lineRule="auto"/>
        <w:ind w:left="-851"/>
        <w:rPr>
          <w:rFonts w:ascii="Tahoma" w:eastAsiaTheme="minorHAnsi" w:hAnsi="Tahoma" w:cs="Tahoma"/>
          <w:rtl/>
        </w:rPr>
      </w:pPr>
      <w:r w:rsidRPr="00236CC3">
        <w:rPr>
          <w:rFonts w:ascii="Tahoma" w:eastAsiaTheme="minorHAnsi" w:hAnsi="Tahoma" w:cs="Tahoma"/>
          <w:noProof/>
          <w:rtl/>
        </w:rPr>
        <w:drawing>
          <wp:inline distT="0" distB="0" distL="0" distR="0" wp14:anchorId="719E14FF" wp14:editId="58987717">
            <wp:extent cx="1674111" cy="381000"/>
            <wp:effectExtent l="0" t="0" r="2540" b="0"/>
            <wp:docPr id="1743882399" name="תמונה 174388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399"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2"/>
        <w:gridCol w:w="416"/>
        <w:gridCol w:w="2135"/>
        <w:gridCol w:w="417"/>
        <w:gridCol w:w="2135"/>
        <w:gridCol w:w="417"/>
        <w:gridCol w:w="1990"/>
      </w:tblGrid>
      <w:tr w:rsidR="004F19B3" w14:paraId="7CD39D12" w14:textId="77777777" w:rsidTr="00236CC3">
        <w:trPr>
          <w:trHeight w:val="283"/>
        </w:trPr>
        <w:tc>
          <w:tcPr>
            <w:tcW w:w="2132" w:type="dxa"/>
            <w:tcBorders>
              <w:bottom w:val="single" w:sz="12" w:space="0" w:color="auto"/>
            </w:tcBorders>
            <w:shd w:val="clear" w:color="auto" w:fill="auto"/>
            <w:vAlign w:val="bottom"/>
          </w:tcPr>
          <w:p w14:paraId="4D7BF30D"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tl/>
              </w:rPr>
            </w:pPr>
            <w:r w:rsidRPr="00D1243A">
              <w:rPr>
                <w:rFonts w:ascii="Tahoma" w:hAnsi="Tahoma" w:cs="Tahoma"/>
                <w:b/>
                <w:bCs/>
                <w:spacing w:val="-10"/>
                <w:sz w:val="36"/>
                <w:szCs w:val="36"/>
                <w:rtl/>
              </w:rPr>
              <w:t xml:space="preserve">1.096 </w:t>
            </w:r>
            <w:r w:rsidRPr="00D1243A">
              <w:rPr>
                <w:rFonts w:ascii="Tahoma" w:hAnsi="Tahoma" w:cs="Tahoma"/>
                <w:b/>
                <w:bCs/>
                <w:spacing w:val="-10"/>
                <w:sz w:val="26"/>
                <w:szCs w:val="26"/>
                <w:rtl/>
              </w:rPr>
              <w:t>מיליון</w:t>
            </w:r>
            <w:r w:rsidRPr="00D1243A">
              <w:rPr>
                <w:rFonts w:ascii="Tahoma" w:hAnsi="Tahoma" w:cs="Tahoma"/>
                <w:b/>
                <w:bCs/>
                <w:spacing w:val="-10"/>
                <w:sz w:val="36"/>
                <w:szCs w:val="36"/>
                <w:rtl/>
              </w:rPr>
              <w:t xml:space="preserve"> </w:t>
            </w:r>
          </w:p>
        </w:tc>
        <w:tc>
          <w:tcPr>
            <w:tcW w:w="416" w:type="dxa"/>
            <w:vAlign w:val="bottom"/>
          </w:tcPr>
          <w:p w14:paraId="272809BF" w14:textId="77777777" w:rsidR="00236CC3" w:rsidRPr="00D1243A" w:rsidRDefault="00236CC3" w:rsidP="00236CC3">
            <w:pPr>
              <w:tabs>
                <w:tab w:val="center" w:pos="4153"/>
                <w:tab w:val="right" w:pos="8306"/>
              </w:tabs>
              <w:spacing w:after="30" w:line="240" w:lineRule="auto"/>
              <w:jc w:val="left"/>
              <w:rPr>
                <w:rFonts w:ascii="Tahoma" w:hAnsi="Tahoma" w:cs="Tahoma"/>
                <w:b/>
                <w:bCs/>
                <w:spacing w:val="-10"/>
              </w:rPr>
            </w:pPr>
          </w:p>
        </w:tc>
        <w:tc>
          <w:tcPr>
            <w:tcW w:w="2135" w:type="dxa"/>
            <w:tcBorders>
              <w:bottom w:val="single" w:sz="12" w:space="0" w:color="auto"/>
            </w:tcBorders>
            <w:vAlign w:val="bottom"/>
          </w:tcPr>
          <w:p w14:paraId="460ABDED"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tl/>
              </w:rPr>
            </w:pPr>
            <w:r w:rsidRPr="00D1243A">
              <w:rPr>
                <w:rFonts w:ascii="Tahoma" w:hAnsi="Tahoma" w:cs="Tahoma"/>
                <w:b/>
                <w:bCs/>
                <w:spacing w:val="-10"/>
                <w:sz w:val="36"/>
                <w:szCs w:val="36"/>
                <w:rtl/>
              </w:rPr>
              <w:t>908,000</w:t>
            </w:r>
            <w:r w:rsidRPr="00D1243A">
              <w:rPr>
                <w:rFonts w:ascii="Tahoma" w:hAnsi="Tahoma" w:cs="Tahoma"/>
                <w:b/>
                <w:bCs/>
                <w:spacing w:val="-10"/>
                <w:sz w:val="26"/>
                <w:szCs w:val="26"/>
                <w:rtl/>
              </w:rPr>
              <w:t xml:space="preserve"> </w:t>
            </w:r>
          </w:p>
        </w:tc>
        <w:tc>
          <w:tcPr>
            <w:tcW w:w="417" w:type="dxa"/>
            <w:vAlign w:val="bottom"/>
          </w:tcPr>
          <w:p w14:paraId="25250943" w14:textId="77777777" w:rsidR="00236CC3" w:rsidRPr="00D1243A" w:rsidRDefault="00236CC3" w:rsidP="00236CC3">
            <w:pPr>
              <w:tabs>
                <w:tab w:val="center" w:pos="4153"/>
                <w:tab w:val="right" w:pos="8306"/>
              </w:tabs>
              <w:spacing w:afterLines="60" w:after="144" w:line="240" w:lineRule="auto"/>
              <w:jc w:val="left"/>
              <w:rPr>
                <w:rFonts w:ascii="Tahoma" w:hAnsi="Tahoma" w:cs="Tahoma"/>
                <w:b/>
                <w:bCs/>
                <w:spacing w:val="-10"/>
              </w:rPr>
            </w:pPr>
          </w:p>
        </w:tc>
        <w:tc>
          <w:tcPr>
            <w:tcW w:w="2135" w:type="dxa"/>
            <w:tcBorders>
              <w:bottom w:val="single" w:sz="12" w:space="0" w:color="auto"/>
            </w:tcBorders>
            <w:vAlign w:val="bottom"/>
          </w:tcPr>
          <w:p w14:paraId="18E112DA"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Pr>
            </w:pPr>
            <w:r w:rsidRPr="00D1243A">
              <w:rPr>
                <w:rFonts w:ascii="Tahoma" w:hAnsi="Tahoma" w:cs="Tahoma"/>
                <w:b/>
                <w:bCs/>
                <w:spacing w:val="-10"/>
                <w:sz w:val="36"/>
                <w:szCs w:val="36"/>
                <w:rtl/>
              </w:rPr>
              <w:t>26</w:t>
            </w:r>
            <w:r w:rsidRPr="00D1243A">
              <w:rPr>
                <w:rFonts w:ascii="Tahoma" w:hAnsi="Tahoma" w:cs="Tahoma"/>
                <w:b/>
                <w:bCs/>
                <w:spacing w:val="-10"/>
                <w:sz w:val="26"/>
                <w:szCs w:val="26"/>
                <w:rtl/>
              </w:rPr>
              <w:t xml:space="preserve"> שנה</w:t>
            </w:r>
          </w:p>
        </w:tc>
        <w:tc>
          <w:tcPr>
            <w:tcW w:w="417" w:type="dxa"/>
            <w:vAlign w:val="bottom"/>
          </w:tcPr>
          <w:p w14:paraId="0D9D01ED" w14:textId="77777777" w:rsidR="00236CC3" w:rsidRPr="00D1243A" w:rsidRDefault="00236CC3" w:rsidP="00236CC3">
            <w:pPr>
              <w:tabs>
                <w:tab w:val="center" w:pos="4153"/>
                <w:tab w:val="right" w:pos="8306"/>
              </w:tabs>
              <w:spacing w:afterLines="60" w:after="144" w:line="240" w:lineRule="auto"/>
              <w:jc w:val="left"/>
              <w:rPr>
                <w:rFonts w:ascii="Tahoma" w:hAnsi="Tahoma" w:cs="Tahoma"/>
                <w:b/>
                <w:bCs/>
                <w:spacing w:val="-10"/>
              </w:rPr>
            </w:pPr>
          </w:p>
        </w:tc>
        <w:tc>
          <w:tcPr>
            <w:tcW w:w="1990" w:type="dxa"/>
            <w:tcBorders>
              <w:bottom w:val="single" w:sz="12" w:space="0" w:color="auto"/>
            </w:tcBorders>
            <w:vAlign w:val="bottom"/>
          </w:tcPr>
          <w:p w14:paraId="5B5F9492"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tl/>
              </w:rPr>
            </w:pPr>
            <w:r w:rsidRPr="00D1243A">
              <w:rPr>
                <w:rFonts w:ascii="Tahoma" w:hAnsi="Tahoma" w:cs="Tahoma"/>
                <w:b/>
                <w:bCs/>
                <w:spacing w:val="-10"/>
                <w:sz w:val="36"/>
                <w:szCs w:val="36"/>
                <w:rtl/>
              </w:rPr>
              <w:t xml:space="preserve">19 </w:t>
            </w:r>
            <w:r w:rsidRPr="00D1243A">
              <w:rPr>
                <w:rFonts w:ascii="Tahoma" w:hAnsi="Tahoma" w:cs="Tahoma"/>
                <w:b/>
                <w:bCs/>
                <w:spacing w:val="-10"/>
                <w:sz w:val="26"/>
                <w:szCs w:val="26"/>
                <w:rtl/>
              </w:rPr>
              <w:t>שנה</w:t>
            </w:r>
          </w:p>
        </w:tc>
      </w:tr>
      <w:tr w:rsidR="004F19B3" w14:paraId="2446FA8C" w14:textId="77777777" w:rsidTr="00236CC3">
        <w:trPr>
          <w:trHeight w:val="85"/>
        </w:trPr>
        <w:tc>
          <w:tcPr>
            <w:tcW w:w="9642" w:type="dxa"/>
            <w:gridSpan w:val="7"/>
            <w:shd w:val="clear" w:color="auto" w:fill="auto"/>
            <w:vAlign w:val="center"/>
          </w:tcPr>
          <w:p w14:paraId="5D3DBB4A" w14:textId="77777777" w:rsidR="00236CC3" w:rsidRPr="00236CC3" w:rsidRDefault="00236CC3" w:rsidP="00236CC3">
            <w:pPr>
              <w:tabs>
                <w:tab w:val="center" w:pos="4153"/>
                <w:tab w:val="right" w:pos="8306"/>
              </w:tabs>
              <w:spacing w:line="288" w:lineRule="auto"/>
              <w:rPr>
                <w:rFonts w:ascii="Tahoma" w:hAnsi="Tahoma" w:cs="Tahoma"/>
                <w:spacing w:val="-10"/>
                <w:sz w:val="6"/>
                <w:szCs w:val="6"/>
                <w:rtl/>
              </w:rPr>
            </w:pPr>
          </w:p>
        </w:tc>
      </w:tr>
      <w:tr w:rsidR="004F19B3" w14:paraId="4B9BEB65" w14:textId="77777777" w:rsidTr="00236CC3">
        <w:trPr>
          <w:trHeight w:val="1155"/>
        </w:trPr>
        <w:tc>
          <w:tcPr>
            <w:tcW w:w="2132" w:type="dxa"/>
          </w:tcPr>
          <w:p w14:paraId="52069F94" w14:textId="77777777" w:rsidR="00236CC3" w:rsidRPr="00236CC3" w:rsidRDefault="00000000" w:rsidP="00236CC3">
            <w:pPr>
              <w:tabs>
                <w:tab w:val="center" w:pos="4153"/>
                <w:tab w:val="right" w:pos="8306"/>
              </w:tabs>
              <w:spacing w:line="240" w:lineRule="auto"/>
              <w:ind w:right="23"/>
              <w:jc w:val="left"/>
              <w:rPr>
                <w:rFonts w:ascii="Tahoma" w:hAnsi="Tahoma" w:cs="Tahoma"/>
                <w:b/>
                <w:bCs/>
                <w:sz w:val="19"/>
                <w:szCs w:val="19"/>
                <w:rtl/>
              </w:rPr>
            </w:pPr>
            <w:r w:rsidRPr="00236CC3">
              <w:rPr>
                <w:rFonts w:ascii="Tahoma" w:hAnsi="Tahoma" w:cs="Tahoma"/>
                <w:sz w:val="19"/>
                <w:szCs w:val="19"/>
                <w:rtl/>
              </w:rPr>
              <w:t xml:space="preserve">מספר האנשים עם מוגבלות בישראל בשנת 2022; שיעורם כ-11.5% מכלל האוכלוסייה באותה השנה </w:t>
            </w:r>
          </w:p>
        </w:tc>
        <w:tc>
          <w:tcPr>
            <w:tcW w:w="416" w:type="dxa"/>
          </w:tcPr>
          <w:p w14:paraId="6324DEFC" w14:textId="77777777" w:rsidR="00236CC3" w:rsidRPr="00236CC3" w:rsidRDefault="00236CC3" w:rsidP="00236CC3">
            <w:pPr>
              <w:tabs>
                <w:tab w:val="center" w:pos="4153"/>
                <w:tab w:val="right" w:pos="8306"/>
              </w:tabs>
              <w:spacing w:line="240" w:lineRule="auto"/>
              <w:jc w:val="left"/>
              <w:rPr>
                <w:rFonts w:ascii="Tahoma" w:hAnsi="Tahoma" w:cs="Tahoma"/>
                <w:rtl/>
              </w:rPr>
            </w:pPr>
          </w:p>
        </w:tc>
        <w:tc>
          <w:tcPr>
            <w:tcW w:w="2135" w:type="dxa"/>
          </w:tcPr>
          <w:p w14:paraId="188B4AC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מספר האנשים בני 20 ומעלה עם מוגבלות תפקודית חמורה</w:t>
            </w:r>
            <w:r>
              <w:rPr>
                <w:rFonts w:ascii="Tahoma" w:hAnsi="Tahoma" w:cs="Tahoma"/>
                <w:sz w:val="19"/>
                <w:szCs w:val="19"/>
                <w:vertAlign w:val="superscript"/>
                <w:rtl/>
              </w:rPr>
              <w:footnoteReference w:id="7"/>
            </w:r>
            <w:r w:rsidRPr="00236CC3">
              <w:rPr>
                <w:rFonts w:ascii="Tahoma" w:hAnsi="Tahoma" w:cs="Tahoma"/>
                <w:sz w:val="19"/>
                <w:szCs w:val="19"/>
                <w:rtl/>
              </w:rPr>
              <w:t>; שיעורם כ-16% מכלל האוכלוסייה בגילים אלה בשנת 2022</w:t>
            </w:r>
          </w:p>
        </w:tc>
        <w:tc>
          <w:tcPr>
            <w:tcW w:w="417" w:type="dxa"/>
          </w:tcPr>
          <w:p w14:paraId="32C191D6"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47047FC8"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חלפו מאז חקיקת חוק השוויון (שנת 1998), וטרם נקבעה בחוק חובת ההנגשה בקווי האוטובוס הבין-עירוניים</w:t>
            </w:r>
            <w:r>
              <w:rPr>
                <w:rFonts w:ascii="Tahoma" w:hAnsi="Tahoma" w:cs="Tahoma"/>
                <w:sz w:val="19"/>
                <w:szCs w:val="19"/>
                <w:vertAlign w:val="superscript"/>
                <w:rtl/>
              </w:rPr>
              <w:footnoteReference w:id="8"/>
            </w:r>
          </w:p>
        </w:tc>
        <w:tc>
          <w:tcPr>
            <w:tcW w:w="417" w:type="dxa"/>
          </w:tcPr>
          <w:p w14:paraId="12A6E89C"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1990" w:type="dxa"/>
          </w:tcPr>
          <w:p w14:paraId="2836710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עברו מאז תיקון חוק השוויון (שנת 2005), שבו נקבע כי שר הפנים יתקין תקנות דרכים נגישות, והן טרם הותקנו </w:t>
            </w:r>
          </w:p>
        </w:tc>
      </w:tr>
      <w:tr w:rsidR="004F19B3" w14:paraId="6AB820E9" w14:textId="77777777" w:rsidTr="00236CC3">
        <w:trPr>
          <w:trHeight w:val="197"/>
        </w:trPr>
        <w:tc>
          <w:tcPr>
            <w:tcW w:w="9642" w:type="dxa"/>
            <w:gridSpan w:val="7"/>
          </w:tcPr>
          <w:p w14:paraId="37A25C35" w14:textId="77777777" w:rsidR="00236CC3" w:rsidRPr="00236CC3" w:rsidRDefault="00236CC3" w:rsidP="00236CC3">
            <w:pPr>
              <w:tabs>
                <w:tab w:val="center" w:pos="4153"/>
                <w:tab w:val="right" w:pos="8306"/>
              </w:tabs>
              <w:spacing w:line="288" w:lineRule="auto"/>
              <w:jc w:val="center"/>
              <w:rPr>
                <w:rFonts w:ascii="Tahoma" w:hAnsi="Tahoma" w:cs="Tahoma"/>
                <w:sz w:val="6"/>
                <w:szCs w:val="6"/>
                <w:rtl/>
              </w:rPr>
            </w:pPr>
          </w:p>
        </w:tc>
      </w:tr>
    </w:tbl>
    <w:p w14:paraId="34D38BAC" w14:textId="77777777" w:rsidR="00236CC3" w:rsidRPr="00236CC3" w:rsidRDefault="00236CC3" w:rsidP="00236CC3">
      <w:pPr>
        <w:spacing w:line="288" w:lineRule="auto"/>
        <w:rPr>
          <w:rFonts w:ascii="Tahoma" w:eastAsiaTheme="minorHAnsi" w:hAnsi="Tahoma" w:cs="Tahoma"/>
          <w:sz w:val="2"/>
          <w:szCs w:val="2"/>
        </w:rPr>
      </w:pP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78"/>
        <w:gridCol w:w="2135"/>
        <w:gridCol w:w="280"/>
        <w:gridCol w:w="2272"/>
        <w:gridCol w:w="279"/>
        <w:gridCol w:w="2128"/>
      </w:tblGrid>
      <w:tr w:rsidR="004F19B3" w14:paraId="3CAB0EAC" w14:textId="77777777" w:rsidTr="00236CC3">
        <w:trPr>
          <w:trHeight w:val="227"/>
        </w:trPr>
        <w:tc>
          <w:tcPr>
            <w:tcW w:w="2270" w:type="dxa"/>
            <w:tcBorders>
              <w:bottom w:val="single" w:sz="12" w:space="0" w:color="auto"/>
            </w:tcBorders>
            <w:vAlign w:val="center"/>
          </w:tcPr>
          <w:p w14:paraId="32A21715"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Pr>
            </w:pPr>
            <w:r w:rsidRPr="00D1243A">
              <w:rPr>
                <w:rFonts w:ascii="Tahoma" w:hAnsi="Tahoma" w:cs="Tahoma"/>
                <w:b/>
                <w:bCs/>
                <w:spacing w:val="-10"/>
                <w:sz w:val="36"/>
                <w:szCs w:val="36"/>
                <w:rtl/>
              </w:rPr>
              <w:t xml:space="preserve">2.6% </w:t>
            </w:r>
            <w:r w:rsidRPr="00D1243A">
              <w:rPr>
                <w:rFonts w:ascii="Tahoma" w:hAnsi="Tahoma" w:cs="Tahoma"/>
                <w:b/>
                <w:bCs/>
                <w:spacing w:val="-10"/>
                <w:sz w:val="26"/>
                <w:szCs w:val="26"/>
                <w:rtl/>
              </w:rPr>
              <w:t>ו</w:t>
            </w:r>
            <w:r w:rsidRPr="00D1243A">
              <w:rPr>
                <w:rFonts w:ascii="Tahoma" w:hAnsi="Tahoma" w:cs="Tahoma" w:hint="cs"/>
                <w:b/>
                <w:bCs/>
                <w:spacing w:val="-10"/>
                <w:sz w:val="26"/>
                <w:szCs w:val="26"/>
                <w:rtl/>
              </w:rPr>
              <w:t>-</w:t>
            </w:r>
            <w:r w:rsidRPr="00D1243A">
              <w:rPr>
                <w:rFonts w:ascii="Tahoma" w:hAnsi="Tahoma" w:cs="Tahoma"/>
                <w:b/>
                <w:bCs/>
                <w:spacing w:val="-10"/>
                <w:sz w:val="36"/>
                <w:szCs w:val="36"/>
                <w:rtl/>
              </w:rPr>
              <w:t xml:space="preserve">4.3% </w:t>
            </w:r>
            <w:r w:rsidRPr="00D1243A">
              <w:rPr>
                <w:rFonts w:ascii="Tahoma" w:hAnsi="Tahoma" w:cs="Tahoma"/>
                <w:b/>
                <w:bCs/>
                <w:spacing w:val="-10"/>
                <w:sz w:val="26"/>
                <w:szCs w:val="26"/>
                <w:rtl/>
              </w:rPr>
              <w:t>בלבד</w:t>
            </w:r>
          </w:p>
        </w:tc>
        <w:tc>
          <w:tcPr>
            <w:tcW w:w="278" w:type="dxa"/>
          </w:tcPr>
          <w:p w14:paraId="0F5C530E" w14:textId="77777777" w:rsidR="00236CC3" w:rsidRPr="00D1243A" w:rsidRDefault="00236CC3" w:rsidP="00236CC3">
            <w:pPr>
              <w:tabs>
                <w:tab w:val="center" w:pos="4153"/>
                <w:tab w:val="right" w:pos="8306"/>
              </w:tabs>
              <w:spacing w:after="30" w:line="240" w:lineRule="auto"/>
              <w:jc w:val="left"/>
              <w:rPr>
                <w:rFonts w:ascii="Tahoma" w:hAnsi="Tahoma" w:cs="Tahoma"/>
                <w:b/>
                <w:bCs/>
                <w:spacing w:val="-10"/>
              </w:rPr>
            </w:pPr>
          </w:p>
        </w:tc>
        <w:tc>
          <w:tcPr>
            <w:tcW w:w="2135" w:type="dxa"/>
            <w:tcBorders>
              <w:bottom w:val="single" w:sz="12" w:space="0" w:color="auto"/>
            </w:tcBorders>
            <w:vAlign w:val="bottom"/>
          </w:tcPr>
          <w:p w14:paraId="63EAEC11"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Pr>
            </w:pPr>
            <w:r w:rsidRPr="00D1243A">
              <w:rPr>
                <w:rFonts w:ascii="Tahoma" w:hAnsi="Tahoma" w:cs="Tahoma"/>
                <w:b/>
                <w:bCs/>
                <w:spacing w:val="-10"/>
                <w:sz w:val="36"/>
                <w:szCs w:val="36"/>
                <w:rtl/>
              </w:rPr>
              <w:t>10.5%</w:t>
            </w:r>
          </w:p>
        </w:tc>
        <w:tc>
          <w:tcPr>
            <w:tcW w:w="280" w:type="dxa"/>
            <w:vAlign w:val="bottom"/>
          </w:tcPr>
          <w:p w14:paraId="466F39EB" w14:textId="77777777" w:rsidR="00236CC3" w:rsidRPr="00D1243A" w:rsidRDefault="00236CC3" w:rsidP="00236CC3">
            <w:pPr>
              <w:tabs>
                <w:tab w:val="center" w:pos="4153"/>
                <w:tab w:val="right" w:pos="8306"/>
              </w:tabs>
              <w:spacing w:after="30" w:line="240" w:lineRule="auto"/>
              <w:jc w:val="left"/>
              <w:rPr>
                <w:rFonts w:ascii="Tahoma" w:hAnsi="Tahoma" w:cs="Tahoma"/>
                <w:b/>
                <w:bCs/>
                <w:spacing w:val="-10"/>
              </w:rPr>
            </w:pPr>
          </w:p>
        </w:tc>
        <w:tc>
          <w:tcPr>
            <w:tcW w:w="2272" w:type="dxa"/>
            <w:tcBorders>
              <w:bottom w:val="single" w:sz="12" w:space="0" w:color="auto"/>
            </w:tcBorders>
            <w:vAlign w:val="bottom"/>
          </w:tcPr>
          <w:p w14:paraId="340DBBDF"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Pr>
            </w:pPr>
            <w:r w:rsidRPr="00D1243A">
              <w:rPr>
                <w:rFonts w:ascii="Tahoma" w:hAnsi="Tahoma" w:cs="Tahoma"/>
                <w:b/>
                <w:bCs/>
                <w:spacing w:val="-10"/>
                <w:sz w:val="26"/>
                <w:szCs w:val="26"/>
                <w:rtl/>
              </w:rPr>
              <w:t>כ-</w:t>
            </w:r>
            <w:r w:rsidRPr="00D1243A">
              <w:rPr>
                <w:rFonts w:ascii="Tahoma" w:hAnsi="Tahoma" w:cs="Tahoma"/>
                <w:b/>
                <w:bCs/>
                <w:spacing w:val="-10"/>
                <w:sz w:val="36"/>
                <w:szCs w:val="36"/>
                <w:rtl/>
              </w:rPr>
              <w:t xml:space="preserve">48% </w:t>
            </w:r>
          </w:p>
        </w:tc>
        <w:tc>
          <w:tcPr>
            <w:tcW w:w="279" w:type="dxa"/>
            <w:vAlign w:val="bottom"/>
          </w:tcPr>
          <w:p w14:paraId="0DED2924" w14:textId="77777777" w:rsidR="00236CC3" w:rsidRPr="00D1243A" w:rsidRDefault="00236CC3" w:rsidP="00236CC3">
            <w:pPr>
              <w:tabs>
                <w:tab w:val="center" w:pos="4153"/>
                <w:tab w:val="right" w:pos="8306"/>
              </w:tabs>
              <w:spacing w:after="30" w:line="240" w:lineRule="auto"/>
              <w:jc w:val="left"/>
              <w:rPr>
                <w:rFonts w:ascii="Tahoma" w:hAnsi="Tahoma" w:cs="Tahoma"/>
                <w:b/>
                <w:bCs/>
                <w:spacing w:val="-10"/>
              </w:rPr>
            </w:pPr>
          </w:p>
        </w:tc>
        <w:tc>
          <w:tcPr>
            <w:tcW w:w="2128" w:type="dxa"/>
            <w:tcBorders>
              <w:bottom w:val="single" w:sz="12" w:space="0" w:color="auto"/>
            </w:tcBorders>
            <w:vAlign w:val="bottom"/>
          </w:tcPr>
          <w:p w14:paraId="5E4FF65C" w14:textId="77777777" w:rsidR="00236CC3" w:rsidRPr="00D1243A" w:rsidRDefault="00000000" w:rsidP="00236CC3">
            <w:pPr>
              <w:tabs>
                <w:tab w:val="center" w:pos="4153"/>
                <w:tab w:val="right" w:pos="8306"/>
              </w:tabs>
              <w:spacing w:after="30" w:line="240" w:lineRule="auto"/>
              <w:jc w:val="left"/>
              <w:rPr>
                <w:rFonts w:ascii="Tahoma" w:hAnsi="Tahoma" w:cs="Tahoma"/>
                <w:b/>
                <w:bCs/>
                <w:spacing w:val="-10"/>
                <w:sz w:val="36"/>
                <w:szCs w:val="36"/>
              </w:rPr>
            </w:pPr>
            <w:r w:rsidRPr="00D1243A">
              <w:rPr>
                <w:rFonts w:ascii="Tahoma" w:hAnsi="Tahoma" w:cs="Tahoma"/>
                <w:b/>
                <w:bCs/>
                <w:spacing w:val="-10"/>
                <w:sz w:val="36"/>
                <w:szCs w:val="36"/>
                <w:rtl/>
              </w:rPr>
              <w:t xml:space="preserve">300 </w:t>
            </w:r>
            <w:r w:rsidRPr="00D1243A">
              <w:rPr>
                <w:rFonts w:ascii="Tahoma" w:hAnsi="Tahoma" w:cs="Tahoma"/>
                <w:b/>
                <w:bCs/>
                <w:spacing w:val="-10"/>
                <w:sz w:val="26"/>
                <w:szCs w:val="26"/>
                <w:rtl/>
              </w:rPr>
              <w:t>עד</w:t>
            </w:r>
            <w:r w:rsidRPr="00D1243A">
              <w:rPr>
                <w:rFonts w:ascii="Tahoma" w:hAnsi="Tahoma" w:cs="Tahoma"/>
                <w:b/>
                <w:bCs/>
                <w:spacing w:val="-10"/>
                <w:sz w:val="36"/>
                <w:szCs w:val="36"/>
                <w:rtl/>
              </w:rPr>
              <w:t xml:space="preserve"> 800</w:t>
            </w:r>
          </w:p>
        </w:tc>
      </w:tr>
      <w:tr w:rsidR="004F19B3" w14:paraId="13400BE9" w14:textId="77777777" w:rsidTr="00236CC3">
        <w:trPr>
          <w:trHeight w:val="70"/>
        </w:trPr>
        <w:tc>
          <w:tcPr>
            <w:tcW w:w="9642" w:type="dxa"/>
            <w:gridSpan w:val="7"/>
            <w:vAlign w:val="center"/>
          </w:tcPr>
          <w:p w14:paraId="095EC1DE" w14:textId="77777777" w:rsidR="00236CC3" w:rsidRPr="00236CC3" w:rsidRDefault="00236CC3" w:rsidP="00236CC3">
            <w:pPr>
              <w:tabs>
                <w:tab w:val="center" w:pos="4153"/>
                <w:tab w:val="right" w:pos="8306"/>
              </w:tabs>
              <w:spacing w:line="288" w:lineRule="auto"/>
              <w:rPr>
                <w:rFonts w:ascii="Tahoma" w:hAnsi="Tahoma" w:cs="Tahoma"/>
                <w:spacing w:val="-10"/>
                <w:sz w:val="6"/>
                <w:szCs w:val="6"/>
                <w:rtl/>
              </w:rPr>
            </w:pPr>
          </w:p>
        </w:tc>
      </w:tr>
      <w:tr w:rsidR="004F19B3" w14:paraId="23481A7B" w14:textId="77777777" w:rsidTr="00236CC3">
        <w:trPr>
          <w:trHeight w:val="1153"/>
        </w:trPr>
        <w:tc>
          <w:tcPr>
            <w:tcW w:w="2270" w:type="dxa"/>
          </w:tcPr>
          <w:p w14:paraId="1B15AE35"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שיעור קווי האוטובוס הבין-עירוניים המונגשים מכלל קווי האוטובוס הבין-עירוניים בשנת 2023; ושיעור הקווים הבין-עירוניים המונגשים המתוכננים לשנת 2024</w:t>
            </w:r>
          </w:p>
        </w:tc>
        <w:tc>
          <w:tcPr>
            <w:tcW w:w="278" w:type="dxa"/>
          </w:tcPr>
          <w:p w14:paraId="29C8E27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35" w:type="dxa"/>
          </w:tcPr>
          <w:p w14:paraId="1AA41C4A"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השיעור הממוצע של ממצאים לא-תקינים בנושא נגישות הפנים (נגישות חושית) בקווי האוטובוס הבין-עירוניים, שנמצאו אצל רוב מפעילי התח"ץ במחצית הראשונה של שנת 2023</w:t>
            </w:r>
          </w:p>
          <w:p w14:paraId="24DDF370"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280" w:type="dxa"/>
          </w:tcPr>
          <w:p w14:paraId="71D0DE22" w14:textId="77777777" w:rsidR="00236CC3" w:rsidRPr="00236CC3" w:rsidRDefault="00000000" w:rsidP="00236CC3">
            <w:pPr>
              <w:tabs>
                <w:tab w:val="center" w:pos="4153"/>
                <w:tab w:val="right" w:pos="8306"/>
              </w:tabs>
              <w:spacing w:line="240" w:lineRule="auto"/>
              <w:jc w:val="left"/>
              <w:rPr>
                <w:rFonts w:ascii="Tahoma" w:hAnsi="Tahoma" w:cs="Tahoma"/>
                <w:sz w:val="19"/>
                <w:szCs w:val="19"/>
                <w:rtl/>
              </w:rPr>
            </w:pPr>
            <w:r w:rsidRPr="00236CC3">
              <w:rPr>
                <w:rFonts w:ascii="Tahoma" w:hAnsi="Tahoma" w:cs="Tahoma"/>
                <w:sz w:val="19"/>
                <w:szCs w:val="19"/>
                <w:rtl/>
              </w:rPr>
              <w:t xml:space="preserve"> </w:t>
            </w:r>
          </w:p>
        </w:tc>
        <w:tc>
          <w:tcPr>
            <w:tcW w:w="2272" w:type="dxa"/>
          </w:tcPr>
          <w:p w14:paraId="74E6C55F"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שיעור תחנות אוטובוס שאישר משרד התחבורה להנגיש בפברואר 2023 לכ-109 רשויות מקומיות </w:t>
            </w:r>
            <w:bookmarkStart w:id="65" w:name="_Hlk170209693"/>
            <w:r w:rsidRPr="00236CC3">
              <w:rPr>
                <w:rFonts w:ascii="Tahoma" w:hAnsi="Tahoma" w:cs="Tahoma"/>
                <w:sz w:val="19"/>
                <w:szCs w:val="19"/>
                <w:rtl/>
              </w:rPr>
              <w:t xml:space="preserve">מתוך סך הבקשות שהגישו </w:t>
            </w:r>
            <w:bookmarkEnd w:id="65"/>
            <w:r w:rsidRPr="00236CC3">
              <w:rPr>
                <w:rFonts w:ascii="Tahoma" w:hAnsi="Tahoma" w:cs="Tahoma"/>
                <w:sz w:val="19"/>
                <w:szCs w:val="19"/>
                <w:rtl/>
              </w:rPr>
              <w:t>(5,852 מתוך 12,234)</w:t>
            </w:r>
          </w:p>
        </w:tc>
        <w:tc>
          <w:tcPr>
            <w:tcW w:w="279" w:type="dxa"/>
          </w:tcPr>
          <w:p w14:paraId="542EB3A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128" w:type="dxa"/>
          </w:tcPr>
          <w:p w14:paraId="1EAE643C"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 xml:space="preserve">מספר המוניות המונגשות החסרות ברחבי הארץ (נכון לשנת 2023) כדי לתת מענה מלא לאנשים עם מוגבלות, לפי אומדן שחישב משרד מבקר המדינה בהתאם לנתוני משרד התחבורה </w:t>
            </w:r>
          </w:p>
        </w:tc>
      </w:tr>
    </w:tbl>
    <w:p w14:paraId="202C9B81" w14:textId="77777777" w:rsidR="00236CC3" w:rsidRPr="00236CC3" w:rsidRDefault="00236CC3" w:rsidP="00236CC3">
      <w:pPr>
        <w:spacing w:line="288" w:lineRule="auto"/>
        <w:rPr>
          <w:rFonts w:ascii="Tahoma" w:eastAsiaTheme="minorHAnsi" w:hAnsi="Tahoma" w:cs="Tahoma"/>
          <w:rtl/>
        </w:rPr>
      </w:pPr>
    </w:p>
    <w:p w14:paraId="6A566DE4" w14:textId="77777777" w:rsidR="00236CC3" w:rsidRPr="00236CC3" w:rsidRDefault="00000000" w:rsidP="00236CC3">
      <w:pPr>
        <w:spacing w:line="288" w:lineRule="auto"/>
        <w:ind w:left="-710"/>
        <w:rPr>
          <w:rFonts w:ascii="Tahoma" w:eastAsiaTheme="minorHAnsi" w:hAnsi="Tahoma" w:cs="Tahoma"/>
          <w:noProof/>
          <w:rtl/>
        </w:rPr>
      </w:pPr>
      <w:r w:rsidRPr="00236CC3">
        <w:rPr>
          <w:rFonts w:ascii="Tahoma" w:eastAsiaTheme="minorHAnsi" w:hAnsi="Tahoma" w:cs="Tahoma"/>
          <w:noProof/>
        </w:rPr>
        <w:drawing>
          <wp:inline distT="0" distB="0" distL="0" distR="0" wp14:anchorId="6C1DA251" wp14:editId="47E8EC05">
            <wp:extent cx="6104255" cy="438829"/>
            <wp:effectExtent l="0" t="0" r="0" b="0"/>
            <wp:docPr id="1743882403" name="תמונה 174388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03"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10C2AF5A" w14:textId="77777777" w:rsidR="00236CC3" w:rsidRPr="00236CC3" w:rsidRDefault="00000000" w:rsidP="00236CC3">
      <w:pPr>
        <w:spacing w:before="240" w:after="160" w:line="288" w:lineRule="auto"/>
        <w:ind w:left="-709" w:right="-567"/>
        <w:rPr>
          <w:rFonts w:ascii="Tahoma" w:eastAsiaTheme="minorHAnsi" w:hAnsi="Tahoma" w:cs="Tahoma"/>
          <w:rtl/>
        </w:rPr>
      </w:pPr>
      <w:r w:rsidRPr="00236CC3">
        <w:rPr>
          <w:rFonts w:ascii="Tahoma" w:eastAsiaTheme="minorHAnsi" w:hAnsi="Tahoma" w:cs="Tahoma"/>
          <w:noProof/>
          <w:rtl/>
        </w:rPr>
        <w:drawing>
          <wp:inline distT="0" distB="0" distL="0" distR="0" wp14:anchorId="4DB3598D" wp14:editId="747F58FA">
            <wp:extent cx="2616789" cy="200650"/>
            <wp:effectExtent l="0" t="0" r="0" b="9525"/>
            <wp:docPr id="3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17CDDC46"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66" w:name="_Hlk157435491"/>
      <w:r w:rsidRPr="00236CC3">
        <w:rPr>
          <w:rFonts w:ascii="Tahoma" w:eastAsiaTheme="minorHAnsi" w:hAnsi="Tahoma" w:cs="Tahoma"/>
          <w:b/>
          <w:bCs/>
          <w:sz w:val="19"/>
          <w:szCs w:val="19"/>
          <w:rtl/>
        </w:rPr>
        <w:t>התקנת תקנות דרכים נגישות</w:t>
      </w:r>
      <w:r w:rsidRPr="00236CC3">
        <w:rPr>
          <w:rFonts w:ascii="Tahoma" w:eastAsiaTheme="minorHAnsi" w:hAnsi="Tahoma" w:cs="Tahoma"/>
          <w:sz w:val="19"/>
          <w:szCs w:val="19"/>
          <w:rtl/>
        </w:rPr>
        <w:t xml:space="preserve"> - </w:t>
      </w:r>
      <w:bookmarkStart w:id="67" w:name="_Hlk160980284"/>
      <w:bookmarkEnd w:id="66"/>
      <w:r w:rsidRPr="00236CC3">
        <w:rPr>
          <w:rFonts w:ascii="Tahoma" w:eastAsiaTheme="minorHAnsi" w:hAnsi="Tahoma" w:cs="Tahoma"/>
          <w:sz w:val="19"/>
          <w:szCs w:val="19"/>
          <w:rtl/>
        </w:rPr>
        <w:t>תיקון מס' 2 לחוק שוויון זכויות לאנשים עם מוגבלות משנת 2005 קובע כי צמתים ומדרכות "יתוכננו, ייבנו ויותאמו" באופן המאפשר נגישות לאדם עם מוגבלות, וכי שר הפנים יקבע את התאמות הנגישות הנדרשות. בביקורת הקודמת עלה כי במועד סיומה (מרץ 2021) טרם התקין שר הפנים תקנות דרכים נגישות.</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בתגובתו על ממצאי ביקורת הקודמת מסר משרד הפנים שהיעד הוא כי במושב הקיץ של הכנסת בשנת 2022 יונחו תקנות אלו על שולחן ועדת העבודה של הכנסת. עם זאת, במועד סיום ביקורת המעקב (מרץ 2024) נמצא כי 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כ-19 שנה לאחר מועד התיקון לחוק השוויון ולמרות החלטת בג"ץ מיוני 2023 והמלצת מבקר המדינה בדוח הביקורת הקודם, שר הפנים טרם התקין את תקנות דרכים נגישות. עם זאת, נמצא כי שר הפנים, באמצעות משרד הפנים, התחיל תהליך לקידום התקנת התקנות, אשר נכון למועד סיום ביקורת המעקב, עדיין לא הסתיים.</w:t>
      </w:r>
      <w:bookmarkEnd w:id="67"/>
    </w:p>
    <w:p w14:paraId="4F883555"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68" w:name="_Hlk157435521"/>
      <w:r w:rsidRPr="00236CC3">
        <w:rPr>
          <w:rFonts w:ascii="Tahoma" w:eastAsiaTheme="minorHAnsi" w:hAnsi="Tahoma" w:cs="Tahoma"/>
          <w:b/>
          <w:bCs/>
          <w:sz w:val="19"/>
          <w:szCs w:val="19"/>
          <w:rtl/>
        </w:rPr>
        <w:t>חסמים בהנגשת התחבורה הציבורית לאנשים עם מוגבלות</w:t>
      </w:r>
      <w:r w:rsidRPr="00236CC3">
        <w:rPr>
          <w:rFonts w:ascii="Tahoma" w:eastAsiaTheme="minorHAnsi" w:hAnsi="Tahoma" w:cs="Tahoma"/>
          <w:sz w:val="19"/>
          <w:szCs w:val="19"/>
          <w:rtl/>
        </w:rPr>
        <w:t xml:space="preserve"> - </w:t>
      </w:r>
      <w:bookmarkStart w:id="69" w:name="_Hlk160980314"/>
      <w:bookmarkEnd w:id="68"/>
      <w:r w:rsidRPr="00236CC3">
        <w:rPr>
          <w:rFonts w:ascii="Tahoma" w:eastAsiaTheme="minorHAnsi" w:hAnsi="Tahoma" w:cs="Tahoma"/>
          <w:sz w:val="19"/>
          <w:szCs w:val="19"/>
          <w:rtl/>
        </w:rPr>
        <w:t>בביקורת הקודמת עלה כי משרד התחבורה ביצע בשנת 2019 סקר תובנות בעניין הנגשת התח"ץ לאנשים עם מוגבלות. עם זאת, בסקר לא נכללו הנתונים שלהלן על אנשים עם מוגבלות המשתמשים בתח״ץ: מספר המשתמשים, הרגלי הנסיעה שלהם, החסמים המונעים מהם להשתמש בתח"ץ, ממצאים והסיבות לחוסר הניידות שלהם. כמו כן בעקבות הסקר לא גובשו הצעות להסרת החסמים. בביקורת המעקב נמצא כי 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נמצא כי משרד התחבורה הכין סקירת ספרות מקצועית כדי לקדם את הסרת החסמים בהנגשת התח"ץ לאנשים עם מוגבלות. עוד נמצא בביקורת המעקב כי תוכנית האב להנגשת התח"ץ נמצאת בשלבי הכנה במשרד התחבורה אך עדיין לא אושרה. עם זאת, משרד התחבורה לא הכין סקר הכולל את הנתונים האמורים על אנשים עם מוגבלות - מספר המשתמשים, הרגלי הנסיעה שלהם, חסמים המונעים מהם להשתמש בתח"ץ, ממצאים והסיבות לחוסר הניידות שלהם.</w:t>
      </w:r>
      <w:bookmarkEnd w:id="69"/>
    </w:p>
    <w:p w14:paraId="3772D7CB" w14:textId="77777777" w:rsidR="00236CC3" w:rsidRPr="00236CC3" w:rsidRDefault="00000000" w:rsidP="00236CC3">
      <w:pPr>
        <w:numPr>
          <w:ilvl w:val="0"/>
          <w:numId w:val="21"/>
        </w:numPr>
        <w:spacing w:after="120" w:line="288" w:lineRule="auto"/>
        <w:ind w:left="-142" w:right="-567" w:hanging="595"/>
        <w:rPr>
          <w:rFonts w:ascii="Tahoma" w:eastAsiaTheme="minorHAnsi" w:hAnsi="Tahoma" w:cs="Tahoma"/>
          <w:sz w:val="19"/>
          <w:szCs w:val="19"/>
        </w:rPr>
      </w:pPr>
      <w:bookmarkStart w:id="70" w:name="_Hlk157435585"/>
      <w:bookmarkStart w:id="71" w:name="_Hlk170216005"/>
      <w:r w:rsidRPr="00236CC3">
        <w:rPr>
          <w:rFonts w:ascii="Tahoma" w:eastAsiaTheme="minorHAnsi" w:hAnsi="Tahoma" w:cs="Tahoma"/>
          <w:b/>
          <w:bCs/>
          <w:sz w:val="19"/>
          <w:szCs w:val="19"/>
          <w:rtl/>
        </w:rPr>
        <w:t>הנגשת אוטובוסים עירוניים</w:t>
      </w:r>
      <w:r w:rsidRPr="00236CC3">
        <w:rPr>
          <w:rFonts w:ascii="Tahoma" w:eastAsiaTheme="minorHAnsi" w:hAnsi="Tahoma" w:cs="Tahoma"/>
          <w:sz w:val="19"/>
          <w:szCs w:val="19"/>
          <w:rtl/>
        </w:rPr>
        <w:t xml:space="preserve"> - </w:t>
      </w:r>
      <w:bookmarkStart w:id="72" w:name="_Hlk160980368"/>
      <w:bookmarkEnd w:id="70"/>
      <w:r w:rsidRPr="00236CC3">
        <w:rPr>
          <w:rFonts w:ascii="Tahoma" w:eastAsiaTheme="minorHAnsi" w:hAnsi="Tahoma" w:cs="Tahoma"/>
          <w:sz w:val="19"/>
          <w:szCs w:val="19"/>
          <w:rtl/>
        </w:rPr>
        <w:t xml:space="preserve">בביקורת הקודמת עלה כי במועד סיומה (מרץ 2021) טרם נעשו תיקונים בתקנות שוויון זכויות לאנשים עם מוגבלות (הסדרת נגישות לשירותי תחבורה ציבורית), התשס"ג-2003, בעקבות השינויים הטכנולוגיים </w:t>
      </w:r>
      <w:bookmarkEnd w:id="71"/>
      <w:r w:rsidRPr="00236CC3">
        <w:rPr>
          <w:rFonts w:ascii="Tahoma" w:eastAsiaTheme="minorHAnsi" w:hAnsi="Tahoma" w:cs="Tahoma"/>
          <w:sz w:val="19"/>
          <w:szCs w:val="19"/>
          <w:rtl/>
        </w:rPr>
        <w:t>שחלו מאז התקנתן, וכי משרד התחבורה לא הכין תוכנית מקיפה ומפורטת לטיפול בנושא זה, וזאת על מנת לשפר את נגישות השירות למשתמשי התח"ץ בקווי אוטובוס עירוניים. בביקורת המעקב נמצא כי 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xml:space="preserve">. במועד סיום ביקורת המעקב (מרץ 2024) עלה כי למרות השינויים הטכנולוגיים העדכניים שחלו מאז התקנתן של התקנות בשנת 2003 ומאז תיקונן בשנת 2016 ולמרות הליקויים שעלו בדוח הביקורת הקודם, המחזקים את הצורך בתיקון האמור, משרד התחבורה לא בחן תיקון של התקנות האמורות, אף שתיקונן הוא בסמכות שר התחבורה. בנוסף, משרד התחבורה לא הכין תכנית מקיפה ומפורטת לשיפור </w:t>
      </w:r>
      <w:bookmarkStart w:id="73" w:name="_Hlk170742990"/>
      <w:r w:rsidRPr="00236CC3">
        <w:rPr>
          <w:rFonts w:ascii="Tahoma" w:eastAsiaTheme="minorHAnsi" w:hAnsi="Tahoma" w:cs="Tahoma"/>
          <w:sz w:val="19"/>
          <w:szCs w:val="19"/>
          <w:rtl/>
        </w:rPr>
        <w:t>נגישות השירות למשתמשי התח"ץ בקווי אוטובוס עירוניים</w:t>
      </w:r>
      <w:bookmarkEnd w:id="73"/>
      <w:r w:rsidRPr="00236CC3">
        <w:rPr>
          <w:rFonts w:ascii="Tahoma" w:eastAsiaTheme="minorHAnsi" w:hAnsi="Tahoma" w:cs="Tahoma"/>
          <w:sz w:val="19"/>
          <w:szCs w:val="19"/>
          <w:rtl/>
        </w:rPr>
        <w:t>, בעקבות השיפורים הטכנולוגיים האמורים שחלו מאז התקנת התקנות בשנת 2003.</w:t>
      </w:r>
      <w:bookmarkEnd w:id="72"/>
    </w:p>
    <w:p w14:paraId="4BCD5F63"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74" w:name="_Hlk155084379"/>
      <w:bookmarkStart w:id="75" w:name="_Hlk157435604"/>
      <w:r w:rsidRPr="00236CC3">
        <w:rPr>
          <w:rFonts w:ascii="Tahoma" w:eastAsiaTheme="minorHAnsi" w:hAnsi="Tahoma" w:cs="Tahoma"/>
          <w:b/>
          <w:bCs/>
          <w:sz w:val="19"/>
          <w:szCs w:val="19"/>
          <w:rtl/>
        </w:rPr>
        <w:t>הנגשת אוטובוסים בין-עירוניים</w:t>
      </w:r>
      <w:r w:rsidRPr="00236CC3">
        <w:rPr>
          <w:rFonts w:ascii="Tahoma" w:eastAsiaTheme="minorHAnsi" w:hAnsi="Tahoma" w:cs="Tahoma"/>
          <w:sz w:val="19"/>
          <w:szCs w:val="19"/>
          <w:rtl/>
        </w:rPr>
        <w:t xml:space="preserve"> </w:t>
      </w:r>
    </w:p>
    <w:p w14:paraId="20D12E3C" w14:textId="77777777" w:rsidR="00236CC3" w:rsidRPr="00236CC3" w:rsidRDefault="00000000" w:rsidP="00236CC3">
      <w:pPr>
        <w:numPr>
          <w:ilvl w:val="0"/>
          <w:numId w:val="24"/>
        </w:numPr>
        <w:spacing w:after="160" w:line="288" w:lineRule="auto"/>
        <w:ind w:left="266" w:right="-567" w:hanging="357"/>
        <w:rPr>
          <w:rFonts w:ascii="Tahoma" w:eastAsiaTheme="minorHAnsi" w:hAnsi="Tahoma" w:cs="Tahoma"/>
          <w:sz w:val="19"/>
          <w:szCs w:val="19"/>
        </w:rPr>
      </w:pPr>
      <w:r w:rsidRPr="00236CC3">
        <w:rPr>
          <w:rFonts w:ascii="Tahoma" w:eastAsiaTheme="minorHAnsi" w:hAnsi="Tahoma" w:cs="Tahoma"/>
          <w:b/>
          <w:bCs/>
          <w:sz w:val="19"/>
          <w:szCs w:val="19"/>
          <w:rtl/>
        </w:rPr>
        <w:t>אסדרת הנגשת אוטובוסים בין-עירוניים</w:t>
      </w:r>
      <w:r w:rsidRPr="00236CC3">
        <w:rPr>
          <w:rFonts w:ascii="Tahoma" w:eastAsiaTheme="minorHAnsi" w:hAnsi="Tahoma" w:cs="Tahoma"/>
          <w:sz w:val="19"/>
          <w:szCs w:val="19"/>
          <w:rtl/>
        </w:rPr>
        <w:t xml:space="preserve"> </w:t>
      </w:r>
      <w:bookmarkEnd w:id="74"/>
      <w:r w:rsidRPr="00236CC3">
        <w:rPr>
          <w:rFonts w:ascii="Tahoma" w:eastAsiaTheme="minorHAnsi" w:hAnsi="Tahoma" w:cs="Tahoma"/>
          <w:sz w:val="19"/>
          <w:szCs w:val="19"/>
          <w:rtl/>
        </w:rPr>
        <w:t xml:space="preserve">- </w:t>
      </w:r>
      <w:bookmarkStart w:id="76" w:name="_Hlk160980404"/>
      <w:bookmarkEnd w:id="75"/>
      <w:r w:rsidRPr="00236CC3">
        <w:rPr>
          <w:rFonts w:ascii="Tahoma" w:eastAsiaTheme="minorHAnsi" w:hAnsi="Tahoma" w:cs="Tahoma"/>
          <w:sz w:val="19"/>
          <w:szCs w:val="19"/>
          <w:rtl/>
        </w:rPr>
        <w:t>בביקורת הקודמת עלה כי גם שחוק השוויון חוקק בשנת 1998, טרם נקבעה בחוק חובה להנגשה פיזית של אוטובוסים בין-עירוניים. משרד התחבורה ציין בתגובה על ממצאי הדוח הקודם, ובדוח הערות ראש הממשלה</w:t>
      </w:r>
      <w:r>
        <w:rPr>
          <w:rFonts w:ascii="Tahoma" w:eastAsiaTheme="minorHAnsi" w:hAnsi="Tahoma" w:cs="Tahoma"/>
          <w:sz w:val="19"/>
          <w:szCs w:val="19"/>
          <w:vertAlign w:val="superscript"/>
          <w:rtl/>
        </w:rPr>
        <w:footnoteReference w:id="9"/>
      </w:r>
      <w:r w:rsidRPr="00236CC3">
        <w:rPr>
          <w:rFonts w:ascii="Tahoma" w:eastAsiaTheme="minorHAnsi" w:hAnsi="Tahoma" w:cs="Tahoma"/>
          <w:sz w:val="19"/>
          <w:szCs w:val="19"/>
          <w:rtl/>
        </w:rPr>
        <w:t>, כי הוא מגבש זה שנתיים הצעה לעדכון מקיף של תקנות שוויון לאנשים עם מוגבלות. במסגרת זו צפויות להתעדכן תקנות קיימות ולהתווסף תקנות חדשות הנוגעות לנגישות רכבת מקומית ורכבת מטרו, לכלבי שירות, לשימוש בטכנולוגיות חדשות ועוד. בביקורת המעקב נמצא כי</w:t>
      </w:r>
      <w:r w:rsidRPr="00236CC3">
        <w:rPr>
          <w:rFonts w:ascii="Tahoma" w:eastAsiaTheme="minorHAnsi" w:hAnsi="Tahoma" w:cs="Tahoma"/>
          <w:b/>
          <w:bCs/>
          <w:sz w:val="19"/>
          <w:szCs w:val="19"/>
          <w:rtl/>
        </w:rPr>
        <w:t xml:space="preserve"> הליקוי לא תוקן</w:t>
      </w:r>
      <w:r w:rsidRPr="00236CC3">
        <w:rPr>
          <w:rFonts w:ascii="Tahoma" w:eastAsiaTheme="minorHAnsi" w:hAnsi="Tahoma" w:cs="Tahoma"/>
          <w:sz w:val="19"/>
          <w:szCs w:val="19"/>
          <w:rtl/>
        </w:rPr>
        <w:t xml:space="preserve">. עלה כי משרד התחבורה לא קבע חובה להנגשה פיזית של אוטובוסים בין-עירוניים בחקיקה ראשית, אף על פי שחוק השוויון חוקק כאמור בשנת 1998, וחלפו כבר כ-26 שנים. הדבר אינו עולה בקנה אחד עם </w:t>
      </w:r>
      <w:bookmarkStart w:id="77" w:name="_Hlk170209658"/>
      <w:r w:rsidRPr="00236CC3">
        <w:rPr>
          <w:rFonts w:ascii="Tahoma" w:eastAsiaTheme="minorHAnsi" w:hAnsi="Tahoma" w:cs="Tahoma"/>
          <w:sz w:val="19"/>
          <w:szCs w:val="19"/>
          <w:rtl/>
        </w:rPr>
        <w:t xml:space="preserve">מדיניות משרד התחבורה שלפיה יש לאפשר </w:t>
      </w:r>
      <w:bookmarkEnd w:id="77"/>
      <w:r w:rsidRPr="00236CC3">
        <w:rPr>
          <w:rFonts w:ascii="Tahoma" w:eastAsiaTheme="minorHAnsi" w:hAnsi="Tahoma" w:cs="Tahoma"/>
          <w:sz w:val="19"/>
          <w:szCs w:val="19"/>
          <w:rtl/>
        </w:rPr>
        <w:t>לכל אדם הנע בכיסא גלגלים להגיע למחוז חפצו באמצעות תח"ץ מונגשת ונוחה.</w:t>
      </w:r>
      <w:bookmarkEnd w:id="76"/>
    </w:p>
    <w:p w14:paraId="13E78266" w14:textId="77777777" w:rsidR="00236CC3" w:rsidRPr="00236CC3" w:rsidRDefault="00000000" w:rsidP="00236CC3">
      <w:pPr>
        <w:numPr>
          <w:ilvl w:val="0"/>
          <w:numId w:val="24"/>
        </w:numPr>
        <w:spacing w:after="120" w:line="288" w:lineRule="auto"/>
        <w:ind w:left="266" w:right="-567" w:hanging="357"/>
        <w:rPr>
          <w:rFonts w:ascii="Tahoma" w:eastAsiaTheme="minorHAnsi" w:hAnsi="Tahoma" w:cs="Tahoma"/>
          <w:sz w:val="19"/>
          <w:szCs w:val="19"/>
        </w:rPr>
      </w:pPr>
      <w:bookmarkStart w:id="78" w:name="_Hlk157435643"/>
      <w:r w:rsidRPr="00236CC3">
        <w:rPr>
          <w:rFonts w:ascii="Tahoma" w:eastAsiaTheme="minorHAnsi" w:hAnsi="Tahoma" w:cs="Tahoma"/>
          <w:b/>
          <w:bCs/>
          <w:sz w:val="19"/>
          <w:szCs w:val="19"/>
          <w:rtl/>
        </w:rPr>
        <w:t>הנגשת אוטובוסים בין-עירוניים</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(מוגבלות פיזית)</w:t>
      </w:r>
      <w:r w:rsidRPr="00236CC3">
        <w:rPr>
          <w:rFonts w:ascii="Tahoma" w:eastAsiaTheme="minorHAnsi" w:hAnsi="Tahoma" w:cs="Tahoma"/>
          <w:sz w:val="19"/>
          <w:szCs w:val="19"/>
          <w:rtl/>
        </w:rPr>
        <w:t xml:space="preserve"> - </w:t>
      </w:r>
      <w:bookmarkStart w:id="79" w:name="_Hlk160980451"/>
      <w:bookmarkEnd w:id="78"/>
      <w:r w:rsidRPr="00236CC3">
        <w:rPr>
          <w:rFonts w:ascii="Tahoma" w:eastAsiaTheme="minorHAnsi" w:hAnsi="Tahoma" w:cs="Tahoma"/>
          <w:sz w:val="19"/>
          <w:szCs w:val="19"/>
          <w:rtl/>
        </w:rPr>
        <w:t>בביקורת הקודמת עלה כי משרד התחבורה לא קידם את הנגשת האוטובוסים הבין-עירוניים, ומלבד מכתב נציבות השוויון לכנסת משנת 2018 לא אותרו פניות בכתב של הנציבות ומשרד התחבורה לקידום הנגשתם. בביקורת המעקב נמצא כי 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אף שחוק השוויון לא תוקן ואין דרישה חוקית להנגיש את האוטובוסים הבין-עירוניים, משרד התחבורה החל בביצוע תוכנית ניסיונית (פיילוט) להנגשת אוטובוסים בקווים הבין-עירוניים. בשנים 2023 - 2024 מתוכננים לפעול כ-44 קווי אוטובוס בין-עירוניים נגישים באמצעות כ-114 אוטובוסים מונגשים אשר יפעלו בכ-56 ערים ברחבי הארץ; בשנת 2023 פעלו כ-27 קווי אוטובוס בין-עירוניים באמצעות כ-74 אוטובוסים מונגשים, ובשנת 2024 מתוכננים לפעול עוד כ-17 קווי אוטובוס בין-עירוניים באמצעות עוד כ-40 אוטובוסים מונגשים. עוד עלה בביקורת המעקב כי בנובמבר 2023, על פי הנתונים של משרד התחבורה, היו כ-1,032 קווי אוטובוס המוגדרים במשרד התחבורה כקווים בין-עירוניים. כ-27 קווי האוטובוס הבין-עירוניים המונגשים שפעלו במסגרת הפיילוט בשנת 2023 הם אפוא כ-2.6% מסך קווי האוטובוס הבין-עירוניים בישראל; וכ-44 הקווים הבין עירוניים-המונגשים המתוכננים לשנת 2024 הם אפוא כ-4.3% מסך קווי האוטובוס הבין-עירוניים בישראל.</w:t>
      </w:r>
      <w:bookmarkEnd w:id="79"/>
    </w:p>
    <w:p w14:paraId="33824B49"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80" w:name="_Hlk157435666"/>
      <w:r w:rsidRPr="00236CC3">
        <w:rPr>
          <w:rFonts w:ascii="Tahoma" w:eastAsiaTheme="minorHAnsi" w:hAnsi="Tahoma" w:cs="Tahoma"/>
          <w:b/>
          <w:bCs/>
          <w:sz w:val="19"/>
          <w:szCs w:val="19"/>
          <w:rtl/>
        </w:rPr>
        <w:t>הנגשת תחנות אוטובוס</w:t>
      </w:r>
      <w:r w:rsidRPr="00236CC3">
        <w:rPr>
          <w:rFonts w:ascii="Tahoma" w:eastAsiaTheme="minorHAnsi" w:hAnsi="Tahoma" w:cs="Tahoma"/>
          <w:sz w:val="19"/>
          <w:szCs w:val="19"/>
          <w:rtl/>
        </w:rPr>
        <w:t xml:space="preserve"> - </w:t>
      </w:r>
      <w:bookmarkStart w:id="81" w:name="_Hlk160980501"/>
      <w:bookmarkEnd w:id="80"/>
      <w:r w:rsidRPr="00236CC3">
        <w:rPr>
          <w:rFonts w:ascii="Tahoma" w:eastAsiaTheme="minorHAnsi" w:hAnsi="Tahoma" w:cs="Tahoma"/>
          <w:sz w:val="19"/>
          <w:szCs w:val="19"/>
          <w:rtl/>
        </w:rPr>
        <w:t>בביקורת הקודמת עלה כי בשנת 2019 היו כ-10,000 תחנות מונגשות, ונותרו כ-13,500 תחנות עירוניות וכ-3,500 תחנות לשירות בין-עירוני שאינן מונגשות. עוד עלה בביקורת הקודמת כי בכ-37.5% מ-80 היישובים שנבדקו לא הונגשו כל התחנות, וב-22.5% מהיישובים שנבדקו הונגשו פחות מ-85% מהתחנות. בביקורת המעקב נמצא כי 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עלה כי במרץ 2022 פרסם משרד התחבורה קול קורא כדי לסייע לרשויות המקומיות להשלים את תהליך ההנגשה של תחנות האוטובוסים שבתחום אחריותן בעזרת סיוע כספי מהתקציב של משרד התחבורה. עוד עלה בביקורת המעקב ומנתונים של משרד התחבורה כי עד פברואר 2023 פנו כ-109 רשויות מקומיות בבקשות להנגשה של כ-12,234</w:t>
      </w:r>
      <w:r>
        <w:rPr>
          <w:rFonts w:ascii="Tahoma" w:eastAsiaTheme="minorHAnsi" w:hAnsi="Tahoma" w:cs="Tahoma"/>
          <w:sz w:val="19"/>
          <w:szCs w:val="19"/>
          <w:vertAlign w:val="superscript"/>
          <w:rtl/>
        </w:rPr>
        <w:footnoteReference w:id="10"/>
      </w:r>
      <w:r w:rsidRPr="00236CC3">
        <w:rPr>
          <w:rFonts w:ascii="Tahoma" w:eastAsiaTheme="minorHAnsi" w:hAnsi="Tahoma" w:cs="Tahoma"/>
          <w:sz w:val="19"/>
          <w:szCs w:val="19"/>
          <w:rtl/>
        </w:rPr>
        <w:t xml:space="preserve"> תחנות אוטובוס. משרד התחבורה אישר עד אותו מועד להנגיש כ-5,852 תחנות (כ-48% מסך הבקשות) בעלות כוללת של כ-76.5 מיליון ש״ח, שישולמו לרשויות המקומיות מתקציב משרד התחבורה; עבור עוד כ-5,344 תחנות (כ-44% מסך הבקשות) לא אושר תקציב להנגשה כיוון שנדרשות פעולות לתחזוקתן שאינן קשורות להנגשה. יצוין כי על פי מסמכי משרד התחבורה על הרשויות המקומיות לסיים את הנגשת התחנות שאושרו לא יאוחר מסוף שנת 2025, והמועד האחרון לניצול התקציב שקבע משרד התחבורה להנגשת התחנות הוא ספטמבר 2024. בביקורת המעקב גם עלה כי במועד סיומה (מרץ 2024) לא היה למשרד התחבורה מידע כולל על מספר תחנות האוטובוס שהונגשו ברשויות המקומיות על פי התוכנית שאושרה; משרד התחבורה לא עודכן על ידי הרשויות המקומיות בנוגע למספר תחנות האוטובוסים הנמצאות בתחום שיפוטן שאכן הונגשו ממרץ 2022, בהתאם לחובתן על פי הוראות נוהל דיווח יישום תקנות הנגישות למשרד התחבורה מינואר 2011;והוא לא עמד על קבלת דיווח ועדכון מאת הרשויות המקומיות</w:t>
      </w:r>
      <w:bookmarkStart w:id="82" w:name="_Hlk157435687"/>
      <w:bookmarkStart w:id="83" w:name="_Hlk160980540"/>
      <w:bookmarkEnd w:id="81"/>
      <w:r w:rsidRPr="00236CC3">
        <w:rPr>
          <w:rFonts w:ascii="Tahoma" w:eastAsiaTheme="minorHAnsi" w:hAnsi="Tahoma" w:cs="Tahoma"/>
          <w:sz w:val="19"/>
          <w:szCs w:val="19"/>
          <w:rtl/>
        </w:rPr>
        <w:t xml:space="preserve"> בעניין זה.</w:t>
      </w:r>
    </w:p>
    <w:p w14:paraId="288F0D42"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84" w:name="_Hlk157435737"/>
      <w:bookmarkEnd w:id="82"/>
      <w:bookmarkEnd w:id="83"/>
      <w:r w:rsidRPr="00236CC3">
        <w:rPr>
          <w:rFonts w:ascii="Tahoma" w:eastAsiaTheme="minorHAnsi" w:hAnsi="Tahoma" w:cs="Tahoma"/>
          <w:b/>
          <w:bCs/>
          <w:sz w:val="19"/>
          <w:szCs w:val="19"/>
          <w:rtl/>
        </w:rPr>
        <w:t xml:space="preserve">כוח אדם באגף נגישות לתחבורה ציבורית במשרד התחבורה </w:t>
      </w:r>
      <w:r w:rsidRPr="00236CC3">
        <w:rPr>
          <w:rFonts w:ascii="Tahoma" w:eastAsiaTheme="minorHAnsi" w:hAnsi="Tahoma" w:cs="Tahoma"/>
          <w:sz w:val="19"/>
          <w:szCs w:val="19"/>
          <w:rtl/>
        </w:rPr>
        <w:t xml:space="preserve">- </w:t>
      </w:r>
      <w:bookmarkStart w:id="85" w:name="_Hlk160980573"/>
      <w:bookmarkEnd w:id="84"/>
      <w:r w:rsidRPr="00236CC3">
        <w:rPr>
          <w:rFonts w:ascii="Tahoma" w:eastAsiaTheme="minorHAnsi" w:hAnsi="Tahoma" w:cs="Tahoma"/>
          <w:sz w:val="19"/>
          <w:szCs w:val="19"/>
          <w:rtl/>
        </w:rPr>
        <w:t>בביקורת הקודמת עלה כי מלבד מנהל האגף, אין עוד עובדים באגף הנגישות, ושני יועצים חיצוניים מסייעים למנהל האגף בעבודה השוטפת. עוד עלה כי בשנתיים שקדמו לתקופת הביקורת הקודמת (ספטמבר 2020 עד מרץ 2021) תוכנן להקים יחידות משנה במסגרת האגף כדי לאפשר לו לבצע את כל משימותיו; אך בפועל המשרד לא קידם את התוכנית והאגף נותר במתכונתו הנוכחית. בביקורת המעקב נמצא כי</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xml:space="preserve"> באגף הנגישות אין עובדים מלבד מנהל האגף ולא הוקמו בו יחידות משנה, ומנהל האגף ממשיך להיעזר ביועצים חיצוניים.</w:t>
      </w:r>
    </w:p>
    <w:p w14:paraId="12FC595F"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86" w:name="_Hlk157435767"/>
      <w:bookmarkEnd w:id="85"/>
      <w:r w:rsidRPr="00236CC3">
        <w:rPr>
          <w:rFonts w:ascii="Tahoma" w:eastAsiaTheme="minorHAnsi" w:hAnsi="Tahoma" w:cs="Tahoma"/>
          <w:b/>
          <w:bCs/>
          <w:sz w:val="19"/>
          <w:szCs w:val="19"/>
          <w:rtl/>
        </w:rPr>
        <w:t>דיווחים של מפעילי תח"ץ למשרד התחבורה ופרסום מידע לציבור בנושא הנגישות</w:t>
      </w:r>
      <w:r w:rsidRPr="00236CC3">
        <w:rPr>
          <w:rFonts w:ascii="Tahoma" w:eastAsiaTheme="minorHAnsi" w:hAnsi="Tahoma" w:cs="Tahoma"/>
          <w:sz w:val="19"/>
          <w:szCs w:val="19"/>
          <w:rtl/>
        </w:rPr>
        <w:t xml:space="preserve"> - </w:t>
      </w:r>
      <w:bookmarkStart w:id="87" w:name="_Hlk160980602"/>
      <w:bookmarkEnd w:id="86"/>
      <w:r w:rsidRPr="00236CC3">
        <w:rPr>
          <w:rFonts w:ascii="Tahoma" w:eastAsiaTheme="minorHAnsi" w:hAnsi="Tahoma" w:cs="Tahoma"/>
          <w:sz w:val="19"/>
          <w:szCs w:val="19"/>
          <w:rtl/>
        </w:rPr>
        <w:t>בביקורת הקודמת עלה כי לא נמצאו באגף הנגישות דיווחים שהתקבלו ממפעילי התח"ץ על פי נוהל של משרד התחבורה, וכי משרד התחבורה לא דרש מידע על הפרסום של המפעילים לציבור בנושא נגישות שירותי התח"ץ, על התקנת שלטים סטטיים ועל אופן הטיפול בתלונות הציבור. כמו כן הרשות הארצית לתח"ץ לא הפיקה דוח חצי-שנתי בנוגע לתחנות אוטובוס שבהן ניתן שירות עירוני. בביקורת המעקב נמצא כי</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xml:space="preserve">. עלה כי בהתאם לנתוני משרד התחבורה ותשובת משרד התחבורה למשרד מבקר המדינה מאפריל 2024 לא נמצאו דיווחים של מפעילי התח"ץ כפי שנקבע בנוהל דיווח יישום תקנות הנגישות למשרד התחבורה מינואר 2011, של משרד התחבורה עצמו. </w:t>
      </w:r>
    </w:p>
    <w:p w14:paraId="75FD546B"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bookmarkStart w:id="88" w:name="_Hlk157435790"/>
      <w:bookmarkEnd w:id="87"/>
      <w:r w:rsidRPr="00236CC3">
        <w:rPr>
          <w:rFonts w:ascii="Tahoma" w:eastAsiaTheme="minorHAnsi" w:hAnsi="Tahoma" w:cs="Tahoma"/>
          <w:b/>
          <w:bCs/>
          <w:sz w:val="19"/>
          <w:szCs w:val="19"/>
          <w:rtl/>
        </w:rPr>
        <w:t>תלונות בנושא הנגישות המתקבלות במשרד התחבורה</w:t>
      </w:r>
      <w:r w:rsidRPr="00236CC3">
        <w:rPr>
          <w:rFonts w:ascii="Tahoma" w:eastAsiaTheme="minorHAnsi" w:hAnsi="Tahoma" w:cs="Tahoma"/>
          <w:sz w:val="19"/>
          <w:szCs w:val="19"/>
          <w:rtl/>
        </w:rPr>
        <w:t xml:space="preserve"> - </w:t>
      </w:r>
      <w:bookmarkStart w:id="89" w:name="_Hlk160980637"/>
      <w:r w:rsidRPr="00236CC3">
        <w:rPr>
          <w:rFonts w:ascii="Tahoma" w:eastAsiaTheme="minorHAnsi" w:hAnsi="Tahoma" w:cs="Tahoma"/>
          <w:sz w:val="19"/>
          <w:szCs w:val="19"/>
          <w:rtl/>
        </w:rPr>
        <w:t>בביקורת הקודמת עלה כי הדוחות השנתיים אינם נדרשים לנושא הנגישות או מציגים פילוח של ממצאים בנושא זה, וזאת בכל אחד מהתחומים המוצגים בדוחות, כגון ניתוח אמצעי התחבורה השונים וניתוח הפעילות בדרג המפעיל. בביקורת המעקב נמצא כי</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הליקוי</w:t>
      </w:r>
      <w:r w:rsidRPr="00236CC3">
        <w:rPr>
          <w:rFonts w:ascii="Tahoma" w:eastAsiaTheme="minorHAnsi" w:hAnsi="Tahoma" w:cs="Tahoma"/>
          <w:b/>
          <w:bCs/>
          <w:sz w:val="19"/>
          <w:szCs w:val="19"/>
          <w:rtl/>
        </w:rPr>
        <w:t xml:space="preserve"> תוקן במידה מועטה</w:t>
      </w:r>
      <w:r w:rsidRPr="00236CC3">
        <w:rPr>
          <w:rFonts w:ascii="Tahoma" w:eastAsiaTheme="minorHAnsi" w:hAnsi="Tahoma" w:cs="Tahoma"/>
          <w:sz w:val="19"/>
          <w:szCs w:val="19"/>
          <w:rtl/>
        </w:rPr>
        <w:t>. מפילוח נושאי הפניות למשרד התחבורה לשנת 2022 המוצגים בדוח עולה כי הוא אינו כולל את נושא הנגשת התח"ץ או פילוח לפי נושא זה.</w:t>
      </w:r>
      <w:bookmarkStart w:id="90" w:name="_Hlk157435810"/>
      <w:bookmarkEnd w:id="88"/>
      <w:bookmarkEnd w:id="89"/>
      <w:r w:rsidRPr="00236CC3">
        <w:rPr>
          <w:rFonts w:ascii="Tahoma" w:eastAsiaTheme="minorHAnsi" w:hAnsi="Tahoma" w:cs="Tahoma"/>
          <w:sz w:val="19"/>
          <w:szCs w:val="19"/>
          <w:rtl/>
        </w:rPr>
        <w:t xml:space="preserve"> </w:t>
      </w:r>
      <w:bookmarkStart w:id="91" w:name="_Hlk173423330"/>
      <w:r w:rsidRPr="00236CC3">
        <w:rPr>
          <w:rFonts w:ascii="Tahoma" w:eastAsiaTheme="minorHAnsi" w:hAnsi="Tahoma" w:cs="Tahoma"/>
          <w:sz w:val="19"/>
          <w:szCs w:val="19"/>
          <w:rtl/>
        </w:rPr>
        <w:t>יוצא מכך כי למשרד התחבורה אין מידע לגבי התלונות המתקבלות בנושא הנגשת התח"ץ, והדבר פוגע ביכולתו לבצע פיקוח ובקרה על מפעילי התח"ץ.</w:t>
      </w:r>
      <w:bookmarkEnd w:id="91"/>
      <w:r w:rsidRPr="00236CC3">
        <w:rPr>
          <w:rFonts w:ascii="Tahoma" w:eastAsiaTheme="minorHAnsi" w:hAnsi="Tahoma" w:cs="Tahoma"/>
          <w:sz w:val="19"/>
          <w:szCs w:val="19"/>
          <w:rtl/>
        </w:rPr>
        <w:t xml:space="preserve"> יצוין כי משרד התחבורה עורך עדכון לטופס ממשל זמין להגשת פניות ציבור לרשות הארצית לתחבורה ציבורית. לדברי משרד התחבורה, הטופס העדכני מתוכנן לעלות לאוויר ברבעון השלישי של שנת 2024, ובו יהיה ניתן לבחור ב"נגישות" בנושא הפנייה.</w:t>
      </w:r>
    </w:p>
    <w:p w14:paraId="129C94F2"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מוניות מונגשות</w:t>
      </w:r>
    </w:p>
    <w:p w14:paraId="1C0AB5FF" w14:textId="77777777" w:rsidR="00236CC3" w:rsidRPr="00236CC3" w:rsidRDefault="00000000" w:rsidP="00236CC3">
      <w:pPr>
        <w:numPr>
          <w:ilvl w:val="0"/>
          <w:numId w:val="25"/>
        </w:numPr>
        <w:spacing w:after="160" w:line="288" w:lineRule="auto"/>
        <w:ind w:left="266" w:right="-567" w:hanging="357"/>
        <w:rPr>
          <w:rFonts w:ascii="Tahoma" w:eastAsiaTheme="minorHAnsi" w:hAnsi="Tahoma" w:cs="Tahoma"/>
          <w:sz w:val="19"/>
          <w:szCs w:val="19"/>
          <w:rtl/>
        </w:rPr>
      </w:pPr>
      <w:r w:rsidRPr="00236CC3">
        <w:rPr>
          <w:rFonts w:ascii="Tahoma" w:eastAsiaTheme="minorHAnsi" w:hAnsi="Tahoma" w:cs="Tahoma"/>
          <w:b/>
          <w:bCs/>
          <w:sz w:val="19"/>
          <w:szCs w:val="19"/>
          <w:rtl/>
        </w:rPr>
        <w:t>כמות המוניות המונגשות</w:t>
      </w:r>
      <w:r w:rsidRPr="00236CC3">
        <w:rPr>
          <w:rFonts w:ascii="Tahoma" w:eastAsiaTheme="minorHAnsi" w:hAnsi="Tahoma" w:cs="Tahoma"/>
          <w:sz w:val="19"/>
          <w:szCs w:val="19"/>
          <w:rtl/>
        </w:rPr>
        <w:t xml:space="preserve"> - </w:t>
      </w:r>
      <w:bookmarkStart w:id="92" w:name="_Hlk160980664"/>
      <w:r w:rsidRPr="00236CC3">
        <w:rPr>
          <w:rFonts w:ascii="Tahoma" w:eastAsiaTheme="minorHAnsi" w:hAnsi="Tahoma" w:cs="Tahoma"/>
          <w:sz w:val="19"/>
          <w:szCs w:val="19"/>
          <w:rtl/>
        </w:rPr>
        <w:t>בביקורת הקודמת עלה כי חולקו רישיונות להפעלת כ-950 מוניות מונגשות, ביחס של מונית נגישה אחת ל-1,600 אנשים עם מוגבלות, לעומת יחס של מונית לא מונגשת אחת ל-340 אנשים ללא מוגבלות. בביקורת המעקב נמצא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xml:space="preserve">, ועל פי החישובים שעשה משרד מבקר המדינה בהתבססו על נתונים של משרד התחבורה, חסרות בין 300 ל-800 מוניות מונגשות בפועל כדי לתת שירות מלא לאנשים עם מוגבלות המתניידים בכיסא גלגלים, והמחסור אף ילך ויגדל. כן נמצא בביקורת המעקב כי ההסדר הנוכחי להפעלת מוניות מונגשות, שבו נקבעה גם כמות הרישיונות למונית מונגשת, עומד לפוג בשנת 2024, שכן בתקנות שוויון זכויות לאנשים עם מוגבלות (הנחה מאגרת רישיון להפעלת מונית נגישה), התשע"ד-2014 (תקנות המוניות המונגשות), נקבע כי עשר שנים לאחר קבלת רישיון למונית מונגשת יוכל בעל הרישיון להפוך אותה למונית רגילה. </w:t>
      </w:r>
      <w:bookmarkStart w:id="93" w:name="_Hlk161563672"/>
      <w:r w:rsidRPr="00236CC3">
        <w:rPr>
          <w:rFonts w:ascii="Tahoma" w:eastAsiaTheme="minorHAnsi" w:hAnsi="Tahoma" w:cs="Tahoma"/>
          <w:sz w:val="19"/>
          <w:szCs w:val="19"/>
          <w:rtl/>
        </w:rPr>
        <w:t>נמצא כי משרד התחבורה לא גיבש הסדר חדש הקובע את מספר המוניות המונגשות הרצוי. משרד התחבורה בוחן חלופות להפעלה של שירותי המוניות הנגישות משנת 2024 ואילך, אך עדיין לא נבחרה חלופה.</w:t>
      </w:r>
      <w:bookmarkEnd w:id="93"/>
      <w:r w:rsidRPr="00236CC3">
        <w:rPr>
          <w:rFonts w:ascii="Tahoma" w:eastAsiaTheme="minorHAnsi" w:hAnsi="Tahoma" w:cs="Tahoma"/>
          <w:sz w:val="19"/>
          <w:szCs w:val="19"/>
          <w:rtl/>
        </w:rPr>
        <w:t xml:space="preserve"> כמו כן, נמצא כי החלטות הוועדה לפניות הציבור של הכנסת ממרץ 2022 בנושא מחסור במוניות מונגשות לנכים לא יושמו על ידי משרד התחבורה; ביניהן: עדכון תקנות המוניות המונגשות, ופרסום מידע מעודכן ומדויק באתר המרשתת של משרד התחבורה לגבי בעלי המוניות המונגשות ולגבי התאגידים המפעילים אותן.</w:t>
      </w:r>
    </w:p>
    <w:bookmarkEnd w:id="90"/>
    <w:bookmarkEnd w:id="92"/>
    <w:p w14:paraId="61F4C64F" w14:textId="77777777" w:rsidR="00236CC3" w:rsidRPr="00236CC3" w:rsidRDefault="00000000" w:rsidP="00236CC3">
      <w:pPr>
        <w:numPr>
          <w:ilvl w:val="0"/>
          <w:numId w:val="25"/>
        </w:numPr>
        <w:spacing w:after="160" w:line="288" w:lineRule="auto"/>
        <w:ind w:left="266" w:right="-567" w:hanging="357"/>
        <w:rPr>
          <w:rFonts w:ascii="Tahoma" w:eastAsiaTheme="minorHAnsi" w:hAnsi="Tahoma" w:cs="Tahoma"/>
          <w:sz w:val="19"/>
          <w:szCs w:val="19"/>
        </w:rPr>
      </w:pPr>
      <w:r w:rsidRPr="00236CC3">
        <w:rPr>
          <w:rFonts w:ascii="Tahoma" w:eastAsiaTheme="minorHAnsi" w:hAnsi="Tahoma" w:cs="Tahoma"/>
          <w:b/>
          <w:bCs/>
          <w:sz w:val="19"/>
          <w:szCs w:val="19"/>
          <w:rtl/>
        </w:rPr>
        <w:t>הסכמים עם מפעילי המוניות המונגשות</w:t>
      </w:r>
      <w:r w:rsidRPr="00236CC3">
        <w:rPr>
          <w:rFonts w:ascii="Tahoma" w:eastAsiaTheme="minorHAnsi" w:hAnsi="Tahoma" w:cs="Tahoma"/>
          <w:sz w:val="19"/>
          <w:szCs w:val="19"/>
          <w:rtl/>
        </w:rPr>
        <w:t xml:space="preserve"> - בביקורת הקודמת עלה כי הגיוס של מפעילי המוניות המונגשות נעשה בלי שמשרד התחבורה קבע קריטריונים או תנאי סף, וכל גוף שהגיש בקשה קיבל את הרישיון על בסיס מספר הרישיונות שמשרד התחבורה הקצה לכך. לאחר קבלת הזיכיונות, ואף לאחר התחלת השירות על ידי המפעילים השונים, לא גיבש עימם משרד התחבורה הסכם כדי להסדיר את חובותיהם ואת זכויותיהם הנוגעות למתן שירות זה. בביקורת המעקב נמצא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עד מועד סיום ביקורת המעקב (מרץ 2024) לא גיבש משרד התחבורה הסכמים עם מפעילי המוניות המונגשות כדי להסדיר את חובותיהם וזכויותיהם הנוגעות למתן שירות זה, וגם לצורך פיקוח ובקרה עליהם. כיוון שכך, משרד התחבורה מסתמך על נוהל מונית מונגשת שקבע, ובו נאמר כי המשרד יקיים תהליכי פיקוח ובקרה שוטפים על מפעילי המוניות המונגשות, ללא פירוט כיצד יעשה זאת. יצוין כי בפועל משרד התחבורה אינו מקיים פיקוח ובקרה על המפעילים.</w:t>
      </w:r>
    </w:p>
    <w:p w14:paraId="0668BA44" w14:textId="77777777" w:rsidR="00236CC3" w:rsidRPr="00236CC3" w:rsidRDefault="00000000" w:rsidP="00236CC3">
      <w:pPr>
        <w:numPr>
          <w:ilvl w:val="0"/>
          <w:numId w:val="25"/>
        </w:numPr>
        <w:spacing w:after="160" w:line="288" w:lineRule="auto"/>
        <w:ind w:left="266" w:right="-567" w:hanging="357"/>
        <w:rPr>
          <w:rFonts w:ascii="Tahoma" w:eastAsiaTheme="minorHAnsi" w:hAnsi="Tahoma" w:cs="Tahoma"/>
          <w:sz w:val="19"/>
          <w:szCs w:val="19"/>
        </w:rPr>
      </w:pPr>
      <w:r w:rsidRPr="00236CC3">
        <w:rPr>
          <w:rFonts w:ascii="Tahoma" w:eastAsiaTheme="minorHAnsi" w:hAnsi="Tahoma" w:cs="Tahoma"/>
          <w:b/>
          <w:bCs/>
          <w:sz w:val="19"/>
          <w:szCs w:val="19"/>
          <w:rtl/>
        </w:rPr>
        <w:t>מחיר נסיעה במונית מונגשת וניהול יומני נסיעה</w:t>
      </w:r>
      <w:r w:rsidRPr="00236CC3">
        <w:rPr>
          <w:rFonts w:ascii="Tahoma" w:eastAsiaTheme="minorHAnsi" w:hAnsi="Tahoma" w:cs="Tahoma"/>
          <w:sz w:val="19"/>
          <w:szCs w:val="19"/>
          <w:rtl/>
        </w:rPr>
        <w:t xml:space="preserve"> - בביקורת הקודמת עלה כי אף על פי שהתאגידים המפעילים מוניות מונגשות זכו בהנחה של כ-95% בתשלום האגרה עבור רישיון למונית מונגשת, עלו ליקויים בכל הנוגע לגביית תעריפים גבוהים ולהיעדר תיעוד ביומני הנסיעות, כפי שנדרש בנוהל המונית המונגשת משנת 2014. בביקורת המעקב נמצא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נמצא כי משרד התחבורה אינו בודק אם התאגידים המפעילים מוניות מונגשות אכן מתעדים נסיעות ביומני הנסיעות כנדרש ואם נהגי המוניות המונגשות מפקיעים את מחירי הנסיעה בהן.</w:t>
      </w:r>
    </w:p>
    <w:p w14:paraId="7ABE75F3" w14:textId="77777777" w:rsidR="00236CC3" w:rsidRPr="00236CC3" w:rsidRDefault="00000000" w:rsidP="00236CC3">
      <w:pPr>
        <w:numPr>
          <w:ilvl w:val="0"/>
          <w:numId w:val="25"/>
        </w:numPr>
        <w:spacing w:after="160" w:line="288" w:lineRule="auto"/>
        <w:ind w:left="266" w:right="-567" w:hanging="357"/>
        <w:rPr>
          <w:rFonts w:ascii="Tahoma" w:eastAsiaTheme="minorHAnsi" w:hAnsi="Tahoma" w:cs="Tahoma"/>
          <w:b/>
          <w:bCs/>
          <w:sz w:val="19"/>
          <w:szCs w:val="19"/>
        </w:rPr>
      </w:pPr>
      <w:r w:rsidRPr="00236CC3">
        <w:rPr>
          <w:rFonts w:ascii="Tahoma" w:eastAsiaTheme="minorHAnsi" w:hAnsi="Tahoma" w:cs="Tahoma"/>
          <w:b/>
          <w:bCs/>
          <w:sz w:val="19"/>
          <w:szCs w:val="19"/>
          <w:rtl/>
        </w:rPr>
        <w:t>בקרה ואכיפה של משרד התחבורה על מפעילי המוניות המונגשות</w:t>
      </w:r>
      <w:r w:rsidRPr="00236CC3">
        <w:rPr>
          <w:rFonts w:ascii="Tahoma" w:eastAsiaTheme="minorHAnsi" w:hAnsi="Tahoma" w:cs="Tahoma"/>
          <w:sz w:val="19"/>
          <w:szCs w:val="19"/>
          <w:rtl/>
        </w:rPr>
        <w:t xml:space="preserve"> - בביקורת הקודמת עלה כי יחידת הבקרה במשרד התחבורה אינה מבצעת בקרה על יישום הנוהל בתאגידים לפי הסעיפים המפורטים בו, וכי אין ברשותה נתונים על הנסיעות שביצעו, כגון מספר הנסיעות שבוצעו, המחיר שנגבה ואיכות השירות. בביקורת המעקב עלה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נמצא כי אין בידי משרד התחבורה נתונים על תלונות, על מספר הנסיעות, על המחיר שנגבה עבורן ועל איכות השירות בכלל ענף המוניות המונגשות. כפועל יוצא מכך נפגעת היכולת של משרד התחבורה לבצע פיקוח ובקרה יעילים בענף זה</w:t>
      </w:r>
      <w:r w:rsidRPr="00236CC3">
        <w:rPr>
          <w:rFonts w:ascii="Tahoma" w:eastAsiaTheme="minorHAnsi" w:hAnsi="Tahoma" w:cs="Tahoma"/>
          <w:b/>
          <w:bCs/>
          <w:sz w:val="19"/>
          <w:szCs w:val="19"/>
          <w:rtl/>
        </w:rPr>
        <w:t>.</w:t>
      </w:r>
    </w:p>
    <w:p w14:paraId="77BFF4C5" w14:textId="77777777" w:rsidR="00236CC3" w:rsidRPr="00236CC3" w:rsidRDefault="00000000" w:rsidP="00236CC3">
      <w:pPr>
        <w:numPr>
          <w:ilvl w:val="0"/>
          <w:numId w:val="25"/>
        </w:numPr>
        <w:spacing w:after="160" w:line="288" w:lineRule="auto"/>
        <w:ind w:left="266" w:right="-567" w:hanging="357"/>
        <w:rPr>
          <w:rFonts w:ascii="Tahoma" w:eastAsiaTheme="minorHAnsi" w:hAnsi="Tahoma" w:cs="Tahoma"/>
          <w:b/>
          <w:bCs/>
          <w:sz w:val="19"/>
          <w:szCs w:val="19"/>
        </w:rPr>
      </w:pPr>
      <w:r w:rsidRPr="00236CC3">
        <w:rPr>
          <w:rFonts w:ascii="Tahoma" w:eastAsiaTheme="minorHAnsi" w:hAnsi="Tahoma" w:cs="Tahoma"/>
          <w:b/>
          <w:bCs/>
          <w:sz w:val="19"/>
          <w:szCs w:val="19"/>
          <w:rtl/>
        </w:rPr>
        <w:t xml:space="preserve">הכשרת נהגי מוניות מונגשות על ידי התאגיד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בביקורת הקודמת עלה כי לא נקבעו כללים מפורטים לגבי אופן ההכשרה של הנהגים, וכן כי משרד התחבורה לא בדק אם נהגי המוניות המונגשות מחזיקים במונית אישור שניתן להם ממנהלי התאגידים המעיד שהוכשרו לנהוג במוניות מונגשות. עוד עלה בביקורת הקודמת כי בנציבות תלונות הציבור במשרד מבקר המדינה התקבלו תלונות של נוסעים על השירות של נהגי המוניות המונגשות. בביקורת המעקב נמצא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 נמצא, וכפי שעלה גם בביקורת הקודמת, כי משרד התחבורה לא קבע כללים מפורטים להכשרת נהגי מוניות מונגשות ולא בדק אם הם אכן הוכשרו כנדרש, ואם יש בידיהם אישור ממנהל התאגיד המעיד על הכשרתם.</w:t>
      </w:r>
    </w:p>
    <w:p w14:paraId="1A1E0F66" w14:textId="77777777" w:rsidR="00236CC3" w:rsidRPr="00236CC3" w:rsidRDefault="00000000" w:rsidP="00236CC3">
      <w:pPr>
        <w:numPr>
          <w:ilvl w:val="0"/>
          <w:numId w:val="25"/>
        </w:numPr>
        <w:spacing w:after="240" w:line="288" w:lineRule="auto"/>
        <w:ind w:left="270" w:right="-567"/>
        <w:rPr>
          <w:rFonts w:ascii="Tahoma" w:eastAsiaTheme="minorHAnsi" w:hAnsi="Tahoma" w:cs="Tahoma"/>
          <w:b/>
          <w:bCs/>
          <w:sz w:val="19"/>
          <w:szCs w:val="19"/>
        </w:rPr>
      </w:pPr>
      <w:r w:rsidRPr="00236CC3">
        <w:rPr>
          <w:rFonts w:ascii="Tahoma" w:eastAsiaTheme="minorHAnsi" w:hAnsi="Tahoma" w:cs="Tahoma"/>
          <w:b/>
          <w:bCs/>
          <w:sz w:val="19"/>
          <w:szCs w:val="19"/>
          <w:rtl/>
        </w:rPr>
        <w:t xml:space="preserve">דיווחים של מפעילי המוניות המונגשות למפקח על התעבורה </w:t>
      </w:r>
      <w:r w:rsidRPr="00236CC3">
        <w:rPr>
          <w:rFonts w:ascii="Tahoma" w:eastAsiaTheme="minorHAnsi" w:hAnsi="Tahoma" w:cs="Tahoma"/>
          <w:sz w:val="19"/>
          <w:szCs w:val="19"/>
          <w:rtl/>
        </w:rPr>
        <w:t>- בביקורת הקודמת עלה כי המפקח על התעבורה לא דרש ממפעילי המוניות המונגשות דיווחים לגבי ביצוע נסיעות מונגשות, היקפן והיכן בוצעו. לפיכך משרד התחבורה אינו מחזיק במידע על הנסיעות המונגשות ועל היקפן והיכן בוצעו. בהיעדר דיווחים מהתאגידים המשרד אינו יכול לבצע בקרה על השירות שהם נותנים לאנשים עם מוגבלות ולבדוק אם הם אכן פועלים על פי הנחיותיו. בביקורת המעקב נמצא כי הליקוי</w:t>
      </w:r>
      <w:r w:rsidRPr="00236CC3">
        <w:rPr>
          <w:rFonts w:ascii="Tahoma" w:eastAsiaTheme="minorHAnsi" w:hAnsi="Tahoma" w:cs="Tahoma"/>
          <w:b/>
          <w:bCs/>
          <w:sz w:val="19"/>
          <w:szCs w:val="19"/>
          <w:rtl/>
        </w:rPr>
        <w:t xml:space="preserve"> לא תוקן</w:t>
      </w:r>
      <w:r w:rsidRPr="00236CC3">
        <w:rPr>
          <w:rFonts w:ascii="Tahoma" w:eastAsiaTheme="minorHAnsi" w:hAnsi="Tahoma" w:cs="Tahoma"/>
          <w:sz w:val="19"/>
          <w:szCs w:val="19"/>
          <w:rtl/>
        </w:rPr>
        <w:t>.</w:t>
      </w:r>
      <w:bookmarkStart w:id="94" w:name="_Hlk157435903"/>
      <w:bookmarkStart w:id="95" w:name="_Hlk160980794"/>
    </w:p>
    <w:bookmarkEnd w:id="94"/>
    <w:bookmarkEnd w:id="95"/>
    <w:p w14:paraId="0E4169D7" w14:textId="77777777" w:rsidR="00236CC3" w:rsidRPr="00236CC3" w:rsidRDefault="00000000" w:rsidP="00236CC3">
      <w:pPr>
        <w:spacing w:before="240" w:after="160" w:line="288" w:lineRule="auto"/>
        <w:ind w:left="-283" w:right="-567" w:hanging="454"/>
        <w:rPr>
          <w:rFonts w:ascii="Tahoma" w:eastAsiaTheme="minorHAnsi" w:hAnsi="Tahoma" w:cs="Tahoma"/>
          <w:sz w:val="19"/>
          <w:szCs w:val="19"/>
          <w:rtl/>
        </w:rPr>
      </w:pPr>
      <w:r w:rsidRPr="00236CC3">
        <w:rPr>
          <w:rFonts w:ascii="Tahoma" w:eastAsiaTheme="minorHAnsi" w:hAnsi="Tahoma" w:cs="Tahoma"/>
          <w:noProof/>
          <w:sz w:val="19"/>
          <w:szCs w:val="19"/>
          <w:rtl/>
        </w:rPr>
        <w:drawing>
          <wp:inline distT="0" distB="0" distL="0" distR="0" wp14:anchorId="54855818" wp14:editId="1A917281">
            <wp:extent cx="2710450" cy="207831"/>
            <wp:effectExtent l="0" t="0" r="0" b="1905"/>
            <wp:docPr id="1743882404" name="תמונה 174388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04"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7E860FE7"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b/>
          <w:bCs/>
          <w:sz w:val="19"/>
          <w:szCs w:val="19"/>
          <w:rtl/>
        </w:rPr>
        <w:t xml:space="preserve">הכשרת נהגי אוטובוסים וכוח עזר רלוונטי </w:t>
      </w:r>
      <w:r w:rsidRPr="00236CC3">
        <w:rPr>
          <w:rFonts w:ascii="Tahoma" w:eastAsiaTheme="minorHAnsi" w:hAnsi="Tahoma" w:cs="Tahoma"/>
          <w:sz w:val="19"/>
          <w:szCs w:val="19"/>
          <w:rtl/>
        </w:rPr>
        <w:t>-</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בביקורת הקודמת עלה כי בסקרים ובתהליך שיתוף הציבור שערך משרד מבקר המדינה עלו תלונות בנושא התנהגות הנהגים והיעדר הכשרתם. עם זאת, נושאים אלה לא באו לידי ביטוי בדוחות הפיקוח של משרד התחבורה. בדוח הביקורת הקודם נכתב כי נציבות השוויון ציינה כי היא מקבלת תלונות על יחס מפלה של הנהגים כלפי אנשים עם מוגבלות הנוסעים בתחבורה הציבורית, הנובע מחוסר מודעות ומחוסר סובלנות, ועל היעדר הכשרה הולמת של העובדים אצל מפעילי התח"ץ. בביקורת</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המעקב נמצא כי הליקוי</w:t>
      </w:r>
      <w:r w:rsidRPr="00236CC3">
        <w:rPr>
          <w:rFonts w:ascii="Tahoma" w:eastAsiaTheme="minorHAnsi" w:hAnsi="Tahoma" w:cs="Tahoma"/>
          <w:b/>
          <w:bCs/>
          <w:sz w:val="19"/>
          <w:szCs w:val="19"/>
          <w:rtl/>
        </w:rPr>
        <w:t xml:space="preserve"> תוקן במידה רבה.</w:t>
      </w:r>
      <w:r w:rsidRPr="00236CC3">
        <w:rPr>
          <w:rFonts w:ascii="Tahoma" w:eastAsiaTheme="minorHAnsi" w:hAnsi="Tahoma" w:cs="Tahoma"/>
          <w:rtl/>
        </w:rPr>
        <w:t xml:space="preserve"> </w:t>
      </w:r>
      <w:r w:rsidRPr="00236CC3">
        <w:rPr>
          <w:rFonts w:ascii="Tahoma" w:eastAsiaTheme="minorHAnsi" w:hAnsi="Tahoma" w:cs="Tahoma"/>
          <w:sz w:val="19"/>
          <w:szCs w:val="19"/>
          <w:rtl/>
        </w:rPr>
        <w:t>נמצא כי נהגי תח"ץ משתתפים בהדרכות של 50 שעות בכל שנה, ו-10 שעות מהן עוסקות בתחומי הנגישות, הבטיחות והשירות לנוסע. ממסמך הדרכות נהגים עדכני של משרד התחבורה, מנובמבר 2023, עולה ששיעור נהגי התח"ץ המועסקים אצל תשעה מפעילי התח"ץ שנבדקו אשר קיבלו הדרכה נע בין 64% ל-95%, והשיעור הממוצע של הנהגים שקיבלו הדרכות אצל אותם מפעילי תח"ץ עמד על כ-76%. עוד נמצא בביקורת המעקב כי משרד התחבורה מתכנן לשפר את תוכנית ההדרכה כדי שתהיה יעילה יותר. בביקורת המעקב גם נמצא כי מאפריל 2023 יש במשרד התחבורה נוהל העוסק בהדרכת נהגי תח"ץ וכוח עזר רלוונטי.</w:t>
      </w:r>
    </w:p>
    <w:p w14:paraId="781D16F6"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b/>
          <w:bCs/>
          <w:sz w:val="19"/>
          <w:szCs w:val="19"/>
          <w:rtl/>
        </w:rPr>
        <w:t>הבטחת השירות במוניות מונגשות</w:t>
      </w:r>
      <w:r w:rsidRPr="00236CC3">
        <w:rPr>
          <w:rFonts w:ascii="Tahoma" w:eastAsiaTheme="minorHAnsi" w:hAnsi="Tahoma" w:cs="Tahoma"/>
          <w:sz w:val="19"/>
          <w:szCs w:val="19"/>
          <w:rtl/>
        </w:rPr>
        <w:t xml:space="preserve"> - בדוח הביקורת הקודם צוין כי עם תחילת הנפקת הרישיונות נודע למשרד התחבורה, בעקבות תלונות שקיבל ולפי מידע שאסף, כי כמה מהתאגידים מכרו מראש את הרישיונות להפעלת מונית מונגשת במחיר מופקע בשוק, אולם לא היה אפשר להוכיח זאת, משום שפעולת המכירה נעשתה באמצעות ייפוי כוח וללא העברת בעלות בפועל. בביקורת המעקב נמצא כי הליקוי</w:t>
      </w:r>
      <w:r w:rsidRPr="00236CC3">
        <w:rPr>
          <w:rFonts w:ascii="Tahoma" w:eastAsiaTheme="minorHAnsi" w:hAnsi="Tahoma" w:cs="Tahoma"/>
          <w:b/>
          <w:bCs/>
          <w:sz w:val="19"/>
          <w:szCs w:val="19"/>
          <w:rtl/>
        </w:rPr>
        <w:t xml:space="preserve"> תוקן במידה רבה.</w:t>
      </w:r>
      <w:r w:rsidRPr="00236CC3">
        <w:rPr>
          <w:rFonts w:ascii="Tahoma" w:eastAsiaTheme="minorHAnsi" w:hAnsi="Tahoma" w:cs="Tahoma"/>
          <w:sz w:val="19"/>
          <w:szCs w:val="19"/>
          <w:rtl/>
        </w:rPr>
        <w:t xml:space="preserve"> עלה כי משרד התחבורה חסם במערכות המחשב שלו את האפשרות להעביר את הבעלות על רישיון ממונית מונגשת למונית רגילה לפני תום עשר שנים מיום קבלת הרישיון למונית המונגשת, אלא אם כן שילם בעל הרישיון של המונית המונגשת את ההפרש בין האגרה למונית רגילה ובין האגרה המופחתת למונית מונגשת. </w:t>
      </w:r>
    </w:p>
    <w:p w14:paraId="0F06D9ED" w14:textId="77777777" w:rsidR="00236CC3" w:rsidRPr="00E52FBF" w:rsidRDefault="00000000" w:rsidP="00236CC3">
      <w:pPr>
        <w:spacing w:line="288" w:lineRule="auto"/>
        <w:ind w:left="-851" w:right="-567"/>
        <w:rPr>
          <w:rFonts w:ascii="Tahoma" w:eastAsiaTheme="minorHAnsi" w:hAnsi="Tahoma" w:cs="Tahoma"/>
          <w:sz w:val="19"/>
          <w:szCs w:val="19"/>
          <w:rtl/>
        </w:rPr>
      </w:pPr>
      <w:r w:rsidRPr="00236CC3">
        <w:rPr>
          <w:rFonts w:ascii="Tahoma" w:eastAsiaTheme="minorHAnsi" w:hAnsi="Tahoma" w:cs="Tahoma"/>
          <w:b/>
          <w:bCs/>
          <w:sz w:val="19"/>
          <w:szCs w:val="19"/>
          <w:rtl/>
        </w:rPr>
        <w:t xml:space="preserve">מבקר המדינה </w:t>
      </w:r>
      <w:r w:rsidRPr="00236CC3">
        <w:rPr>
          <w:rFonts w:ascii="Tahoma" w:eastAsiaTheme="minorHAnsi" w:hAnsi="Tahoma" w:cs="Tahoma" w:hint="cs"/>
          <w:b/>
          <w:bCs/>
          <w:sz w:val="19"/>
          <w:szCs w:val="19"/>
          <w:rtl/>
        </w:rPr>
        <w:t xml:space="preserve">מתניהו אנגלמן </w:t>
      </w:r>
      <w:r w:rsidRPr="00236CC3">
        <w:rPr>
          <w:rFonts w:ascii="Tahoma" w:eastAsiaTheme="minorHAnsi" w:hAnsi="Tahoma" w:cs="Tahoma"/>
          <w:b/>
          <w:bCs/>
          <w:sz w:val="19"/>
          <w:szCs w:val="19"/>
          <w:rtl/>
        </w:rPr>
        <w:t xml:space="preserve">ממליץ </w:t>
      </w:r>
      <w:r w:rsidRPr="00E52FBF">
        <w:rPr>
          <w:rFonts w:ascii="Tahoma" w:eastAsiaTheme="minorHAnsi" w:hAnsi="Tahoma" w:cs="Tahoma"/>
          <w:sz w:val="19"/>
          <w:szCs w:val="19"/>
          <w:rtl/>
        </w:rPr>
        <w:t>למשרד התחבורה להשלים את הכנת תוכנית הנגישות לתחבורה הציבורית עד לשנת 2040. עוד ממליץ מבקר המדינה למשרד התחבורה להסדיר את חובת ההנגשה בקווי האוטובוס הבין-עירוניים בחקיקה, בייחוד לאחר שכבר חלפו כ-26 שנים מחקיקת חוק שוויון זכויות; להסדיר את ענף המוניות המונגשות ולוודא כי שירותיהן יתפרסו בצורה שווה באזורי הארץ, יהיו זמינים בפרק הזמן שנקבע וייתנו מענה ושירות יעיל במחיר של נסיעות רגילות לאנשים עם מוגבלות וכך ישפרו את יכולתם להתנייד באופן עצמאי.</w:t>
      </w:r>
    </w:p>
    <w:p w14:paraId="14E304A2" w14:textId="77777777" w:rsidR="00236CC3" w:rsidRPr="00236CC3" w:rsidRDefault="00236CC3" w:rsidP="00236CC3">
      <w:pPr>
        <w:bidi w:val="0"/>
        <w:spacing w:after="160" w:line="288" w:lineRule="auto"/>
        <w:jc w:val="left"/>
        <w:rPr>
          <w:rFonts w:ascii="Tahoma" w:eastAsiaTheme="minorHAnsi" w:hAnsi="Tahoma" w:cs="Tahoma"/>
          <w:sz w:val="22"/>
          <w:szCs w:val="22"/>
        </w:rPr>
      </w:pPr>
    </w:p>
    <w:p w14:paraId="643582C8" w14:textId="77777777" w:rsidR="00236CC3" w:rsidRPr="00236CC3" w:rsidRDefault="00000000" w:rsidP="00236CC3">
      <w:pPr>
        <w:bidi w:val="0"/>
        <w:spacing w:after="160" w:line="259" w:lineRule="auto"/>
        <w:jc w:val="left"/>
        <w:rPr>
          <w:rFonts w:ascii="Tahoma" w:eastAsiaTheme="minorHAnsi" w:hAnsi="Tahoma" w:cs="Tahoma"/>
          <w:sz w:val="22"/>
          <w:szCs w:val="22"/>
        </w:rPr>
      </w:pPr>
      <w:r w:rsidRPr="00236CC3">
        <w:rPr>
          <w:rFonts w:ascii="Tahoma" w:eastAsiaTheme="minorHAnsi" w:hAnsi="Tahoma" w:cs="Tahoma"/>
          <w:sz w:val="22"/>
          <w:szCs w:val="22"/>
        </w:rPr>
        <w:br w:type="page"/>
      </w: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6D078ABE" w14:textId="77777777" w:rsidTr="00236CC3">
        <w:tc>
          <w:tcPr>
            <w:tcW w:w="9783" w:type="dxa"/>
          </w:tcPr>
          <w:p w14:paraId="73E71AE1" w14:textId="77777777" w:rsidR="00236CC3" w:rsidRPr="00AD2D9C" w:rsidRDefault="00000000" w:rsidP="00AD2D9C">
            <w:pPr>
              <w:pStyle w:val="1"/>
              <w:jc w:val="left"/>
              <w:rPr>
                <w:rFonts w:ascii="Tahoma" w:hAnsi="Tahoma" w:cs="Tahoma"/>
                <w:sz w:val="40"/>
                <w:szCs w:val="40"/>
                <w:rtl/>
              </w:rPr>
            </w:pPr>
            <w:bookmarkStart w:id="96" w:name="_Toc179710266"/>
            <w:r w:rsidRPr="00AD2D9C">
              <w:rPr>
                <w:rFonts w:ascii="Tahoma" w:hAnsi="Tahoma" w:cs="Tahoma"/>
                <w:sz w:val="40"/>
                <w:szCs w:val="40"/>
                <w:rtl/>
              </w:rPr>
              <w:t>פרסום וניהול של מכרזי מסגרת ברשויות מקומיות ובתאגידים עירוניים</w:t>
            </w:r>
            <w:bookmarkEnd w:id="96"/>
          </w:p>
          <w:p w14:paraId="03FF1CFB" w14:textId="77777777" w:rsidR="00236CC3" w:rsidRPr="00236CC3" w:rsidRDefault="00236CC3" w:rsidP="00236CC3">
            <w:pPr>
              <w:tabs>
                <w:tab w:val="center" w:pos="4153"/>
                <w:tab w:val="right" w:pos="8306"/>
              </w:tabs>
              <w:spacing w:before="120" w:line="240" w:lineRule="auto"/>
              <w:jc w:val="left"/>
              <w:rPr>
                <w:rtl/>
              </w:rPr>
            </w:pPr>
          </w:p>
        </w:tc>
      </w:tr>
    </w:tbl>
    <w:p w14:paraId="556298C1" w14:textId="77777777" w:rsidR="00236CC3" w:rsidRPr="00236CC3" w:rsidRDefault="00000000" w:rsidP="00236CC3">
      <w:pPr>
        <w:ind w:left="-851"/>
        <w:rPr>
          <w:rFonts w:eastAsiaTheme="minorHAnsi"/>
          <w:rtl/>
        </w:rPr>
      </w:pPr>
      <w:r w:rsidRPr="00236CC3">
        <w:rPr>
          <w:rFonts w:ascii="Tahoma" w:eastAsiaTheme="minorHAnsi" w:hAnsi="Tahoma" w:cs="Tahoma"/>
          <w:noProof/>
          <w:rtl/>
        </w:rPr>
        <w:drawing>
          <wp:inline distT="0" distB="0" distL="0" distR="0" wp14:anchorId="58E273E9" wp14:editId="0285A291">
            <wp:extent cx="1674111" cy="381000"/>
            <wp:effectExtent l="0" t="0" r="254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תקציר-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14:paraId="428AF629" w14:textId="77777777" w:rsidR="00236CC3" w:rsidRPr="00236CC3" w:rsidRDefault="00236CC3" w:rsidP="00236CC3">
      <w:pPr>
        <w:ind w:left="-710"/>
        <w:rPr>
          <w:rFonts w:eastAsiaTheme="minorHAnsi"/>
          <w:rtl/>
        </w:rPr>
      </w:pPr>
    </w:p>
    <w:tbl>
      <w:tblPr>
        <w:tblStyle w:val="41"/>
        <w:tblpPr w:leftFromText="180" w:rightFromText="180" w:vertAnchor="text" w:tblpXSpec="center" w:tblpY="1"/>
        <w:tblOverlap w:val="never"/>
        <w:bidiVisual/>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277"/>
        <w:gridCol w:w="2134"/>
        <w:gridCol w:w="282"/>
        <w:gridCol w:w="2269"/>
        <w:gridCol w:w="282"/>
        <w:gridCol w:w="2124"/>
      </w:tblGrid>
      <w:tr w:rsidR="004F19B3" w14:paraId="7DD0FFE6" w14:textId="77777777" w:rsidTr="00236CC3">
        <w:trPr>
          <w:trHeight w:val="283"/>
        </w:trPr>
        <w:tc>
          <w:tcPr>
            <w:tcW w:w="2274" w:type="dxa"/>
            <w:tcBorders>
              <w:bottom w:val="single" w:sz="12" w:space="0" w:color="auto"/>
            </w:tcBorders>
            <w:shd w:val="clear" w:color="auto" w:fill="auto"/>
            <w:vAlign w:val="bottom"/>
          </w:tcPr>
          <w:p w14:paraId="681258C3"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66%</w:t>
            </w:r>
            <w:r w:rsidRPr="00D1243A">
              <w:rPr>
                <w:rFonts w:ascii="Tahoma" w:hAnsi="Tahoma" w:cs="Tahoma"/>
                <w:b/>
                <w:bCs/>
                <w:spacing w:val="-10"/>
                <w:sz w:val="36"/>
                <w:szCs w:val="36"/>
                <w:rtl/>
              </w:rPr>
              <w:t xml:space="preserve"> </w:t>
            </w:r>
          </w:p>
        </w:tc>
        <w:tc>
          <w:tcPr>
            <w:tcW w:w="277" w:type="dxa"/>
          </w:tcPr>
          <w:p w14:paraId="22E410D3"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134" w:type="dxa"/>
            <w:tcBorders>
              <w:bottom w:val="single" w:sz="12" w:space="0" w:color="auto"/>
            </w:tcBorders>
            <w:vAlign w:val="bottom"/>
          </w:tcPr>
          <w:p w14:paraId="22663C48"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18.3 </w:t>
            </w:r>
            <w:r w:rsidRPr="00D1243A">
              <w:rPr>
                <w:rFonts w:ascii="Tahoma" w:hAnsi="Tahoma" w:cs="Tahoma" w:hint="cs"/>
                <w:b/>
                <w:bCs/>
                <w:spacing w:val="-10"/>
                <w:sz w:val="26"/>
                <w:szCs w:val="26"/>
                <w:rtl/>
              </w:rPr>
              <w:t>מיליון ש"ח</w:t>
            </w:r>
          </w:p>
        </w:tc>
        <w:tc>
          <w:tcPr>
            <w:tcW w:w="282" w:type="dxa"/>
          </w:tcPr>
          <w:p w14:paraId="47235086"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269" w:type="dxa"/>
            <w:tcBorders>
              <w:bottom w:val="single" w:sz="12" w:space="0" w:color="auto"/>
            </w:tcBorders>
          </w:tcPr>
          <w:p w14:paraId="30D511A0"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7</w:t>
            </w:r>
          </w:p>
        </w:tc>
        <w:tc>
          <w:tcPr>
            <w:tcW w:w="282" w:type="dxa"/>
          </w:tcPr>
          <w:p w14:paraId="79120502"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124" w:type="dxa"/>
            <w:tcBorders>
              <w:bottom w:val="single" w:sz="12" w:space="0" w:color="auto"/>
            </w:tcBorders>
            <w:vAlign w:val="center"/>
          </w:tcPr>
          <w:p w14:paraId="43570E6B"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91%</w:t>
            </w:r>
          </w:p>
        </w:tc>
      </w:tr>
      <w:tr w:rsidR="004F19B3" w14:paraId="5EB7E76D" w14:textId="77777777" w:rsidTr="00236CC3">
        <w:trPr>
          <w:trHeight w:val="85"/>
        </w:trPr>
        <w:tc>
          <w:tcPr>
            <w:tcW w:w="9642" w:type="dxa"/>
            <w:gridSpan w:val="7"/>
            <w:shd w:val="clear" w:color="auto" w:fill="auto"/>
            <w:vAlign w:val="center"/>
          </w:tcPr>
          <w:p w14:paraId="55F6235F"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7D793BAB" w14:textId="77777777" w:rsidTr="00236CC3">
        <w:trPr>
          <w:trHeight w:val="1155"/>
        </w:trPr>
        <w:tc>
          <w:tcPr>
            <w:tcW w:w="2274" w:type="dxa"/>
          </w:tcPr>
          <w:p w14:paraId="50361A5C"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מהגופים שנבדקו (23 מתוך 35) פרסמו מכרזי מסגרת בשנים 2019 - 2022</w:t>
            </w:r>
          </w:p>
        </w:tc>
        <w:tc>
          <w:tcPr>
            <w:tcW w:w="277" w:type="dxa"/>
          </w:tcPr>
          <w:p w14:paraId="469E2C7D" w14:textId="77777777" w:rsidR="00236CC3" w:rsidRPr="00236CC3" w:rsidRDefault="00236CC3" w:rsidP="00236CC3">
            <w:pPr>
              <w:tabs>
                <w:tab w:val="center" w:pos="4153"/>
                <w:tab w:val="right" w:pos="8306"/>
              </w:tabs>
              <w:spacing w:line="240" w:lineRule="exact"/>
              <w:jc w:val="left"/>
              <w:rPr>
                <w:rFonts w:ascii="Tahoma" w:hAnsi="Tahoma" w:cs="Tahoma"/>
                <w:rtl/>
              </w:rPr>
            </w:pPr>
          </w:p>
        </w:tc>
        <w:tc>
          <w:tcPr>
            <w:tcW w:w="2134" w:type="dxa"/>
          </w:tcPr>
          <w:p w14:paraId="3D1D94EC"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שילמו בממוצע הגופים שנבדקו באמצעות מרכזי מסגרת, מדי שנה</w:t>
            </w:r>
          </w:p>
        </w:tc>
        <w:tc>
          <w:tcPr>
            <w:tcW w:w="282" w:type="dxa"/>
          </w:tcPr>
          <w:p w14:paraId="32E6EF96"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269" w:type="dxa"/>
          </w:tcPr>
          <w:p w14:paraId="60821CC4"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המספר הממוצע של מכרזי מסגרת בגופים שפרסמו מכרזים אלה בשנים 2019 - 2022</w:t>
            </w:r>
          </w:p>
        </w:tc>
        <w:tc>
          <w:tcPr>
            <w:tcW w:w="282" w:type="dxa"/>
          </w:tcPr>
          <w:p w14:paraId="7A966BC8"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124" w:type="dxa"/>
          </w:tcPr>
          <w:p w14:paraId="77B1DD07"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מהגופים שפרסמו מכרזי מסגרת (21 מתוך 23) עשו זאת ללא נהלים שמסדירים את הליכי הפרסום והניהול של מכרזי מסגרת</w:t>
            </w:r>
          </w:p>
        </w:tc>
      </w:tr>
      <w:tr w:rsidR="004F19B3" w14:paraId="27C0BFD3" w14:textId="77777777" w:rsidTr="00236CC3">
        <w:trPr>
          <w:trHeight w:val="363"/>
        </w:trPr>
        <w:tc>
          <w:tcPr>
            <w:tcW w:w="9642" w:type="dxa"/>
            <w:gridSpan w:val="7"/>
          </w:tcPr>
          <w:p w14:paraId="2EF2FF24" w14:textId="77777777" w:rsidR="00236CC3" w:rsidRPr="00236CC3" w:rsidRDefault="00236CC3" w:rsidP="00236CC3">
            <w:pPr>
              <w:tabs>
                <w:tab w:val="center" w:pos="4153"/>
                <w:tab w:val="right" w:pos="8306"/>
              </w:tabs>
              <w:jc w:val="center"/>
              <w:rPr>
                <w:rFonts w:ascii="Tahoma" w:hAnsi="Tahoma" w:cs="Tahoma"/>
                <w:sz w:val="6"/>
                <w:szCs w:val="6"/>
                <w:rtl/>
              </w:rPr>
            </w:pPr>
          </w:p>
          <w:p w14:paraId="3B32D0D6" w14:textId="77777777" w:rsidR="00236CC3" w:rsidRPr="00236CC3" w:rsidRDefault="00236CC3" w:rsidP="00236CC3">
            <w:pPr>
              <w:tabs>
                <w:tab w:val="center" w:pos="4153"/>
                <w:tab w:val="right" w:pos="8306"/>
              </w:tabs>
              <w:jc w:val="center"/>
              <w:rPr>
                <w:rFonts w:ascii="Tahoma" w:hAnsi="Tahoma" w:cs="Tahoma"/>
                <w:sz w:val="6"/>
                <w:szCs w:val="6"/>
                <w:rtl/>
              </w:rPr>
            </w:pPr>
          </w:p>
          <w:p w14:paraId="27826388" w14:textId="77777777" w:rsidR="00236CC3" w:rsidRPr="00236CC3" w:rsidRDefault="00236CC3" w:rsidP="00236CC3">
            <w:pPr>
              <w:tabs>
                <w:tab w:val="center" w:pos="4153"/>
                <w:tab w:val="right" w:pos="8306"/>
              </w:tabs>
              <w:jc w:val="center"/>
              <w:rPr>
                <w:rFonts w:ascii="Tahoma" w:hAnsi="Tahoma" w:cs="Tahoma"/>
                <w:sz w:val="6"/>
                <w:szCs w:val="6"/>
                <w:rtl/>
              </w:rPr>
            </w:pPr>
          </w:p>
          <w:p w14:paraId="50311E50" w14:textId="77777777" w:rsidR="00236CC3" w:rsidRPr="00236CC3" w:rsidRDefault="00236CC3" w:rsidP="00236CC3">
            <w:pPr>
              <w:tabs>
                <w:tab w:val="center" w:pos="4153"/>
                <w:tab w:val="right" w:pos="8306"/>
              </w:tabs>
              <w:jc w:val="center"/>
              <w:rPr>
                <w:rFonts w:ascii="Tahoma" w:hAnsi="Tahoma" w:cs="Tahoma"/>
                <w:sz w:val="6"/>
                <w:szCs w:val="6"/>
                <w:rtl/>
              </w:rPr>
            </w:pPr>
          </w:p>
          <w:p w14:paraId="0764CEF7" w14:textId="77777777" w:rsidR="00236CC3" w:rsidRPr="00236CC3" w:rsidRDefault="00236CC3" w:rsidP="00236CC3">
            <w:pPr>
              <w:tabs>
                <w:tab w:val="center" w:pos="4153"/>
                <w:tab w:val="right" w:pos="8306"/>
              </w:tabs>
              <w:jc w:val="center"/>
              <w:rPr>
                <w:rFonts w:ascii="Tahoma" w:hAnsi="Tahoma" w:cs="Tahoma"/>
                <w:sz w:val="6"/>
                <w:szCs w:val="6"/>
                <w:rtl/>
              </w:rPr>
            </w:pPr>
          </w:p>
          <w:p w14:paraId="41647C6C" w14:textId="77777777" w:rsidR="00236CC3" w:rsidRPr="00236CC3" w:rsidRDefault="00236CC3" w:rsidP="00236CC3">
            <w:pPr>
              <w:tabs>
                <w:tab w:val="center" w:pos="4153"/>
                <w:tab w:val="right" w:pos="8306"/>
              </w:tabs>
              <w:jc w:val="center"/>
              <w:rPr>
                <w:rFonts w:ascii="Tahoma" w:hAnsi="Tahoma" w:cs="Tahoma"/>
                <w:sz w:val="6"/>
                <w:szCs w:val="6"/>
                <w:rtl/>
              </w:rPr>
            </w:pPr>
          </w:p>
          <w:p w14:paraId="470618E5" w14:textId="77777777" w:rsidR="00236CC3" w:rsidRPr="00236CC3" w:rsidRDefault="00236CC3" w:rsidP="00236CC3">
            <w:pPr>
              <w:tabs>
                <w:tab w:val="center" w:pos="4153"/>
                <w:tab w:val="right" w:pos="8306"/>
              </w:tabs>
              <w:jc w:val="center"/>
              <w:rPr>
                <w:rFonts w:ascii="Tahoma" w:hAnsi="Tahoma" w:cs="Tahoma"/>
                <w:sz w:val="6"/>
                <w:szCs w:val="6"/>
                <w:rtl/>
              </w:rPr>
            </w:pPr>
          </w:p>
          <w:p w14:paraId="4FF5E4FA" w14:textId="77777777" w:rsidR="00236CC3" w:rsidRPr="00236CC3" w:rsidRDefault="00236CC3" w:rsidP="00236CC3">
            <w:pPr>
              <w:tabs>
                <w:tab w:val="center" w:pos="4153"/>
                <w:tab w:val="right" w:pos="8306"/>
              </w:tabs>
              <w:jc w:val="center"/>
              <w:rPr>
                <w:rFonts w:ascii="Tahoma" w:hAnsi="Tahoma" w:cs="Tahoma"/>
                <w:sz w:val="6"/>
                <w:szCs w:val="6"/>
                <w:rtl/>
              </w:rPr>
            </w:pPr>
          </w:p>
          <w:p w14:paraId="275E3838" w14:textId="77777777" w:rsidR="00236CC3" w:rsidRPr="00236CC3" w:rsidRDefault="00236CC3" w:rsidP="00236CC3">
            <w:pPr>
              <w:tabs>
                <w:tab w:val="center" w:pos="4153"/>
                <w:tab w:val="right" w:pos="8306"/>
              </w:tabs>
              <w:jc w:val="center"/>
              <w:rPr>
                <w:rFonts w:ascii="Tahoma" w:hAnsi="Tahoma" w:cs="Tahoma"/>
                <w:sz w:val="6"/>
                <w:szCs w:val="6"/>
                <w:rtl/>
              </w:rPr>
            </w:pPr>
          </w:p>
          <w:p w14:paraId="649F774F" w14:textId="77777777" w:rsidR="00236CC3" w:rsidRPr="00236CC3" w:rsidRDefault="00236CC3" w:rsidP="00236CC3">
            <w:pPr>
              <w:tabs>
                <w:tab w:val="center" w:pos="4153"/>
                <w:tab w:val="right" w:pos="8306"/>
              </w:tabs>
              <w:jc w:val="center"/>
              <w:rPr>
                <w:rFonts w:ascii="Tahoma" w:hAnsi="Tahoma" w:cs="Tahoma"/>
                <w:sz w:val="6"/>
                <w:szCs w:val="6"/>
                <w:rtl/>
              </w:rPr>
            </w:pPr>
          </w:p>
          <w:p w14:paraId="54B11007" w14:textId="77777777" w:rsidR="00236CC3" w:rsidRPr="00236CC3" w:rsidRDefault="00236CC3" w:rsidP="00236CC3">
            <w:pPr>
              <w:tabs>
                <w:tab w:val="center" w:pos="4153"/>
                <w:tab w:val="right" w:pos="8306"/>
              </w:tabs>
              <w:rPr>
                <w:rFonts w:ascii="Tahoma" w:hAnsi="Tahoma" w:cs="Tahoma"/>
                <w:sz w:val="6"/>
                <w:szCs w:val="6"/>
                <w:rtl/>
              </w:rPr>
            </w:pPr>
          </w:p>
        </w:tc>
      </w:tr>
      <w:tr w:rsidR="004F19B3" w14:paraId="4BEB4295" w14:textId="77777777" w:rsidTr="00236CC3">
        <w:trPr>
          <w:trHeight w:val="283"/>
        </w:trPr>
        <w:tc>
          <w:tcPr>
            <w:tcW w:w="2274" w:type="dxa"/>
            <w:tcBorders>
              <w:bottom w:val="single" w:sz="12" w:space="0" w:color="auto"/>
            </w:tcBorders>
            <w:shd w:val="clear" w:color="auto" w:fill="auto"/>
            <w:vAlign w:val="bottom"/>
          </w:tcPr>
          <w:p w14:paraId="288BCEFB"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20 </w:t>
            </w:r>
            <w:r w:rsidRPr="00D1243A">
              <w:rPr>
                <w:rFonts w:ascii="Tahoma" w:hAnsi="Tahoma" w:cs="Tahoma" w:hint="cs"/>
                <w:b/>
                <w:bCs/>
                <w:spacing w:val="-10"/>
                <w:sz w:val="26"/>
                <w:szCs w:val="26"/>
                <w:rtl/>
              </w:rPr>
              <w:t>שנה</w:t>
            </w:r>
          </w:p>
        </w:tc>
        <w:tc>
          <w:tcPr>
            <w:tcW w:w="277" w:type="dxa"/>
          </w:tcPr>
          <w:p w14:paraId="1690380C" w14:textId="77777777" w:rsidR="00236CC3" w:rsidRPr="00D1243A" w:rsidRDefault="00236CC3" w:rsidP="00236CC3">
            <w:pPr>
              <w:tabs>
                <w:tab w:val="center" w:pos="4153"/>
                <w:tab w:val="right" w:pos="8306"/>
              </w:tabs>
              <w:spacing w:line="240" w:lineRule="auto"/>
              <w:rPr>
                <w:rFonts w:ascii="Tahoma" w:hAnsi="Tahoma" w:cs="Tahoma"/>
                <w:b/>
                <w:bCs/>
                <w:spacing w:val="-10"/>
                <w:highlight w:val="green"/>
              </w:rPr>
            </w:pPr>
          </w:p>
        </w:tc>
        <w:tc>
          <w:tcPr>
            <w:tcW w:w="2134" w:type="dxa"/>
            <w:tcBorders>
              <w:bottom w:val="single" w:sz="12" w:space="0" w:color="auto"/>
            </w:tcBorders>
            <w:vAlign w:val="bottom"/>
          </w:tcPr>
          <w:p w14:paraId="35C2D510"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85%</w:t>
            </w:r>
          </w:p>
        </w:tc>
        <w:tc>
          <w:tcPr>
            <w:tcW w:w="282" w:type="dxa"/>
          </w:tcPr>
          <w:p w14:paraId="0E74A334"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269" w:type="dxa"/>
            <w:tcBorders>
              <w:bottom w:val="single" w:sz="12" w:space="0" w:color="auto"/>
            </w:tcBorders>
          </w:tcPr>
          <w:p w14:paraId="2BA5B3F2"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hint="cs"/>
                <w:b/>
                <w:bCs/>
                <w:spacing w:val="-10"/>
                <w:sz w:val="36"/>
                <w:szCs w:val="36"/>
                <w:rtl/>
              </w:rPr>
              <w:t xml:space="preserve">2 </w:t>
            </w:r>
            <w:r w:rsidRPr="00D1243A">
              <w:rPr>
                <w:rFonts w:ascii="Tahoma" w:hAnsi="Tahoma" w:cs="Tahoma" w:hint="cs"/>
                <w:b/>
                <w:bCs/>
                <w:spacing w:val="-10"/>
                <w:sz w:val="26"/>
                <w:szCs w:val="26"/>
                <w:rtl/>
              </w:rPr>
              <w:t>מתוך</w:t>
            </w:r>
            <w:r w:rsidRPr="00D1243A">
              <w:rPr>
                <w:rFonts w:ascii="Tahoma" w:hAnsi="Tahoma" w:cs="Tahoma" w:hint="cs"/>
                <w:b/>
                <w:bCs/>
                <w:spacing w:val="-10"/>
                <w:sz w:val="36"/>
                <w:szCs w:val="36"/>
                <w:rtl/>
              </w:rPr>
              <w:t xml:space="preserve"> 7</w:t>
            </w:r>
          </w:p>
        </w:tc>
        <w:tc>
          <w:tcPr>
            <w:tcW w:w="282" w:type="dxa"/>
          </w:tcPr>
          <w:p w14:paraId="0EF50B48"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124" w:type="dxa"/>
            <w:tcBorders>
              <w:bottom w:val="single" w:sz="12" w:space="0" w:color="auto"/>
            </w:tcBorders>
            <w:vAlign w:val="center"/>
          </w:tcPr>
          <w:p w14:paraId="69BE7DC1"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pacing w:val="-10"/>
                <w:sz w:val="36"/>
                <w:szCs w:val="36"/>
                <w:rtl/>
              </w:rPr>
              <w:t xml:space="preserve">19 </w:t>
            </w:r>
            <w:r w:rsidRPr="00D1243A">
              <w:rPr>
                <w:rFonts w:ascii="Tahoma" w:hAnsi="Tahoma" w:cs="Tahoma" w:hint="cs"/>
                <w:b/>
                <w:bCs/>
                <w:spacing w:val="-10"/>
                <w:sz w:val="26"/>
                <w:szCs w:val="26"/>
                <w:rtl/>
              </w:rPr>
              <w:t>פרויקטים</w:t>
            </w:r>
          </w:p>
        </w:tc>
      </w:tr>
      <w:tr w:rsidR="004F19B3" w14:paraId="3B42EDCE" w14:textId="77777777" w:rsidTr="00236CC3">
        <w:trPr>
          <w:trHeight w:val="85"/>
        </w:trPr>
        <w:tc>
          <w:tcPr>
            <w:tcW w:w="9642" w:type="dxa"/>
            <w:gridSpan w:val="7"/>
            <w:shd w:val="clear" w:color="auto" w:fill="auto"/>
            <w:vAlign w:val="center"/>
          </w:tcPr>
          <w:p w14:paraId="1B66366F"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05A5144F" w14:textId="77777777" w:rsidTr="00236CC3">
        <w:trPr>
          <w:trHeight w:val="1155"/>
        </w:trPr>
        <w:tc>
          <w:tcPr>
            <w:tcW w:w="2274" w:type="dxa"/>
          </w:tcPr>
          <w:p w14:paraId="11A9DB7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פרק הזמן שחלף</w:t>
            </w:r>
            <w:r w:rsidRPr="00236CC3">
              <w:rPr>
                <w:rtl/>
              </w:rPr>
              <w:t xml:space="preserve"> </w:t>
            </w:r>
            <w:r w:rsidRPr="00236CC3">
              <w:rPr>
                <w:rFonts w:ascii="Tahoma" w:hAnsi="Tahoma" w:cs="Tahoma"/>
                <w:sz w:val="19"/>
                <w:szCs w:val="19"/>
                <w:rtl/>
              </w:rPr>
              <w:t>מהמועד שבו אמור</w:t>
            </w:r>
            <w:r w:rsidRPr="00236CC3">
              <w:rPr>
                <w:rFonts w:ascii="Tahoma" w:hAnsi="Tahoma" w:cs="Tahoma" w:hint="cs"/>
                <w:sz w:val="19"/>
                <w:szCs w:val="19"/>
                <w:rtl/>
              </w:rPr>
              <w:t xml:space="preserve"> היה משרד הפנים להתקין </w:t>
            </w:r>
            <w:r w:rsidRPr="00236CC3">
              <w:rPr>
                <w:rFonts w:ascii="Tahoma" w:hAnsi="Tahoma" w:cs="Tahoma"/>
                <w:sz w:val="19"/>
                <w:szCs w:val="19"/>
                <w:rtl/>
              </w:rPr>
              <w:t>תקנות הנוגעות להחלת הוראות לקיום מכרזים בתאגידים העירוניים</w:t>
            </w:r>
            <w:r w:rsidRPr="00236CC3">
              <w:rPr>
                <w:rFonts w:ascii="Tahoma" w:hAnsi="Tahoma" w:cs="Tahoma" w:hint="cs"/>
                <w:sz w:val="19"/>
                <w:szCs w:val="19"/>
                <w:rtl/>
              </w:rPr>
              <w:t>, ולא עשה כן, למרות פסיקת בית המשפט העליון ולמרות דוחות מבקר המדינה בנושא</w:t>
            </w:r>
          </w:p>
        </w:tc>
        <w:tc>
          <w:tcPr>
            <w:tcW w:w="277" w:type="dxa"/>
          </w:tcPr>
          <w:p w14:paraId="3C563A94" w14:textId="77777777" w:rsidR="00236CC3" w:rsidRPr="00236CC3" w:rsidRDefault="00236CC3" w:rsidP="00236CC3">
            <w:pPr>
              <w:tabs>
                <w:tab w:val="center" w:pos="4153"/>
                <w:tab w:val="right" w:pos="8306"/>
              </w:tabs>
              <w:spacing w:line="240" w:lineRule="exact"/>
              <w:jc w:val="left"/>
              <w:rPr>
                <w:rFonts w:ascii="Tahoma" w:hAnsi="Tahoma" w:cs="Tahoma"/>
                <w:highlight w:val="green"/>
                <w:rtl/>
              </w:rPr>
            </w:pPr>
          </w:p>
        </w:tc>
        <w:tc>
          <w:tcPr>
            <w:tcW w:w="2134" w:type="dxa"/>
          </w:tcPr>
          <w:p w14:paraId="53121662"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מהזוכים במכרזי החברה לפיתוח פתח תקווה בשנים 2019 - 2022 (64 מתוך 75) </w:t>
            </w:r>
            <w:r w:rsidRPr="00236CC3">
              <w:rPr>
                <w:rFonts w:ascii="Tahoma" w:hAnsi="Tahoma" w:cs="Tahoma"/>
                <w:sz w:val="19"/>
                <w:szCs w:val="19"/>
                <w:rtl/>
              </w:rPr>
              <w:t>הציעו הצעה השווה למקדם ההנחה המזערי</w:t>
            </w:r>
            <w:r w:rsidRPr="00236CC3">
              <w:rPr>
                <w:rFonts w:ascii="Tahoma" w:hAnsi="Tahoma" w:cs="Tahoma" w:hint="cs"/>
                <w:sz w:val="19"/>
                <w:szCs w:val="19"/>
                <w:rtl/>
              </w:rPr>
              <w:t xml:space="preserve"> שנקבע בתנאי המכרז</w:t>
            </w:r>
          </w:p>
        </w:tc>
        <w:tc>
          <w:tcPr>
            <w:tcW w:w="282" w:type="dxa"/>
          </w:tcPr>
          <w:p w14:paraId="77F1868A"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269" w:type="dxa"/>
          </w:tcPr>
          <w:p w14:paraId="07C34D47"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 xml:space="preserve">מספר המכרזים בעיריית </w:t>
            </w:r>
            <w:r w:rsidRPr="00236CC3">
              <w:rPr>
                <w:rFonts w:ascii="Tahoma" w:hAnsi="Tahoma" w:cs="Tahoma" w:hint="cs"/>
                <w:b/>
                <w:bCs/>
                <w:sz w:val="19"/>
                <w:szCs w:val="19"/>
                <w:rtl/>
              </w:rPr>
              <w:t>יבנה</w:t>
            </w:r>
            <w:r w:rsidRPr="00236CC3">
              <w:rPr>
                <w:rFonts w:ascii="Tahoma" w:hAnsi="Tahoma" w:cs="Tahoma" w:hint="cs"/>
                <w:sz w:val="19"/>
                <w:szCs w:val="19"/>
                <w:rtl/>
              </w:rPr>
              <w:t xml:space="preserve"> שבהם מרבית התשלומים שולמו לספקים שלא הציעו את המחיר הזול ביותר, מתוך כלל המכרזים </w:t>
            </w:r>
            <w:r w:rsidRPr="00236CC3">
              <w:rPr>
                <w:rFonts w:ascii="Tahoma" w:hAnsi="Tahoma" w:cs="Tahoma" w:hint="eastAsia"/>
                <w:sz w:val="19"/>
                <w:szCs w:val="19"/>
                <w:rtl/>
              </w:rPr>
              <w:t>ש</w:t>
            </w:r>
            <w:r w:rsidRPr="00236CC3">
              <w:rPr>
                <w:rFonts w:ascii="Tahoma" w:hAnsi="Tahoma" w:cs="Tahoma" w:hint="cs"/>
                <w:sz w:val="19"/>
                <w:szCs w:val="19"/>
                <w:rtl/>
              </w:rPr>
              <w:t>בהם זכה יותר מספק אחד ובוצעו תשלומים</w:t>
            </w:r>
          </w:p>
        </w:tc>
        <w:tc>
          <w:tcPr>
            <w:tcW w:w="282" w:type="dxa"/>
          </w:tcPr>
          <w:p w14:paraId="6A785B0E" w14:textId="77777777" w:rsidR="00236CC3" w:rsidRPr="00236CC3" w:rsidRDefault="00236CC3" w:rsidP="00236CC3">
            <w:pPr>
              <w:tabs>
                <w:tab w:val="center" w:pos="4153"/>
                <w:tab w:val="right" w:pos="8306"/>
              </w:tabs>
              <w:spacing w:line="240" w:lineRule="exact"/>
              <w:jc w:val="left"/>
              <w:rPr>
                <w:rFonts w:ascii="Tahoma" w:hAnsi="Tahoma" w:cs="Tahoma"/>
                <w:sz w:val="19"/>
                <w:szCs w:val="19"/>
                <w:rtl/>
              </w:rPr>
            </w:pPr>
          </w:p>
        </w:tc>
        <w:tc>
          <w:tcPr>
            <w:tcW w:w="2124" w:type="dxa"/>
          </w:tcPr>
          <w:p w14:paraId="264A261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hint="cs"/>
                <w:sz w:val="19"/>
                <w:szCs w:val="19"/>
                <w:rtl/>
              </w:rPr>
              <w:t>בהם שילמה החברה לפיתוח פתח תקווה</w:t>
            </w:r>
            <w:r w:rsidRPr="00236CC3">
              <w:rPr>
                <w:rFonts w:ascii="Tahoma" w:hAnsi="Tahoma" w:cs="Tahoma" w:hint="cs"/>
                <w:b/>
                <w:bCs/>
                <w:sz w:val="19"/>
                <w:szCs w:val="19"/>
                <w:rtl/>
              </w:rPr>
              <w:t xml:space="preserve"> </w:t>
            </w:r>
            <w:r w:rsidRPr="00236CC3">
              <w:rPr>
                <w:rFonts w:ascii="Tahoma" w:hAnsi="Tahoma" w:cs="Tahoma" w:hint="cs"/>
                <w:sz w:val="19"/>
                <w:szCs w:val="19"/>
                <w:rtl/>
              </w:rPr>
              <w:t xml:space="preserve">סכומים משמעותיים של בין מיליון ש"ח לכ-7.4 מיליון ש"ח לקבלנים בעבור ביצוע פרויקטים באמצעות מכרזי מסגרת, ללא </w:t>
            </w:r>
            <w:r w:rsidRPr="00236CC3">
              <w:rPr>
                <w:rFonts w:ascii="Tahoma" w:hAnsi="Tahoma" w:cs="Tahoma"/>
                <w:sz w:val="19"/>
                <w:szCs w:val="19"/>
                <w:rtl/>
              </w:rPr>
              <w:t>בקרה כי הזמנת עבודה באמצעות מכרז מסגרת עדיפה על פרסום מכרז פרטני</w:t>
            </w:r>
          </w:p>
        </w:tc>
      </w:tr>
    </w:tbl>
    <w:p w14:paraId="2908D226" w14:textId="77777777" w:rsidR="00236CC3" w:rsidRPr="00236CC3" w:rsidRDefault="00000000" w:rsidP="00236CC3">
      <w:pPr>
        <w:ind w:left="-710"/>
        <w:rPr>
          <w:rFonts w:ascii="Tahoma" w:eastAsiaTheme="minorHAnsi" w:hAnsi="Tahoma" w:cs="Tahoma"/>
          <w:noProof/>
          <w:rtl/>
        </w:rPr>
      </w:pPr>
      <w:r w:rsidRPr="00236CC3">
        <w:rPr>
          <w:rFonts w:ascii="Tahoma" w:eastAsiaTheme="minorHAnsi" w:hAnsi="Tahoma" w:cs="Tahoma"/>
          <w:noProof/>
        </w:rPr>
        <w:drawing>
          <wp:inline distT="0" distB="0" distL="0" distR="0" wp14:anchorId="5BBA3DE3" wp14:editId="12E50390">
            <wp:extent cx="6104255" cy="438829"/>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תקציר תמונה 2.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5272BF2A" w14:textId="77777777" w:rsidR="00236CC3" w:rsidRPr="00236CC3" w:rsidRDefault="00000000" w:rsidP="00236CC3">
      <w:pPr>
        <w:spacing w:before="240" w:after="160"/>
        <w:ind w:left="-709" w:right="-567"/>
        <w:rPr>
          <w:rFonts w:eastAsiaTheme="minorHAnsi"/>
        </w:rPr>
      </w:pPr>
      <w:r w:rsidRPr="00236CC3">
        <w:rPr>
          <w:rFonts w:ascii="Tahoma" w:eastAsiaTheme="minorHAnsi" w:hAnsi="Tahoma" w:cs="Tahoma"/>
          <w:noProof/>
          <w:rtl/>
        </w:rPr>
        <w:drawing>
          <wp:inline distT="0" distB="0" distL="0" distR="0" wp14:anchorId="76C66A79" wp14:editId="34EFA8E1">
            <wp:extent cx="2616789" cy="200650"/>
            <wp:effectExtent l="0" t="0" r="0" b="9525"/>
            <wp:docPr id="2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SLIK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171C936A"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היעדר מסגרת נורמטיבית למכרזי מסגרת בשלטון המקומי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בעוד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 xml:space="preserve">לשלטון המרכזי נקבעה מסגרת נורמטיבית מפורטת לפרסום ולניהול מכרזי מסגרת - בחקיקה משנית ובהנחיות מינהליות – </w:t>
      </w:r>
      <w:r w:rsidRPr="00236CC3">
        <w:rPr>
          <w:rFonts w:ascii="Tahoma" w:eastAsiaTheme="minorHAnsi" w:hAnsi="Tahoma" w:cs="Tahoma" w:hint="cs"/>
          <w:sz w:val="19"/>
          <w:szCs w:val="19"/>
          <w:rtl/>
        </w:rPr>
        <w:t>משרד הפנים לא קבע</w:t>
      </w:r>
      <w:r w:rsidRPr="00236CC3">
        <w:rPr>
          <w:rFonts w:ascii="Tahoma" w:eastAsiaTheme="minorHAnsi" w:hAnsi="Tahoma" w:cs="Tahoma"/>
          <w:sz w:val="19"/>
          <w:szCs w:val="19"/>
          <w:rtl/>
        </w:rPr>
        <w:t xml:space="preserve"> מסגרת נורמטיבית דומה לרשויות המקומיות ולתאגידים העירוניים.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משרד מבקר המדינה מעיר בחומרה למשרד הפנים על שאף שחלפו כ-20 שנה מהמועד שבו אמורות היו להיות מותקנות תקנות הנוגעות להחלת הוראות לקיום מכרזים בתאגידים העירוניים, ולמרות פסיקת בית המשפט העליון ולמרות דוחות </w:t>
      </w:r>
      <w:r w:rsidRPr="00236CC3">
        <w:rPr>
          <w:rFonts w:ascii="Tahoma" w:eastAsiaTheme="minorHAnsi" w:hAnsi="Tahoma" w:cs="Tahoma" w:hint="cs"/>
          <w:sz w:val="19"/>
          <w:szCs w:val="19"/>
          <w:rtl/>
        </w:rPr>
        <w:t>של</w:t>
      </w:r>
      <w:r w:rsidRPr="00236CC3">
        <w:rPr>
          <w:rFonts w:ascii="Tahoma" w:eastAsiaTheme="minorHAnsi" w:hAnsi="Tahoma" w:cs="Tahoma"/>
          <w:sz w:val="19"/>
          <w:szCs w:val="19"/>
          <w:rtl/>
        </w:rPr>
        <w:t xml:space="preserve"> משרד מבקר המדינה בנושא</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הוא טרם התקין תקנות כאמור או קבע כללים מסוימים לקיום מכרזים בתאגידים העירוניים. זאת למרות מספרם הרב של התאגידים העירוניים והיקף פעילותם הכספי הנרחב</w:t>
      </w:r>
      <w:r w:rsidRPr="00236CC3">
        <w:rPr>
          <w:rFonts w:ascii="Tahoma" w:eastAsiaTheme="minorHAnsi" w:hAnsi="Tahoma" w:cs="Tahoma" w:hint="cs"/>
          <w:sz w:val="19"/>
          <w:szCs w:val="19"/>
          <w:rtl/>
        </w:rPr>
        <w:t xml:space="preserve"> (במאי 2022 פעלו בישראל 627 תאגידים עירוניים והיקף פעילותם השנתי באותה עת הסתכם ב-17 מיליארד ש"ח).</w:t>
      </w:r>
    </w:p>
    <w:p w14:paraId="3E50053A"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בקרה על רכש מכוח מכרז</w:t>
      </w:r>
      <w:r w:rsidRPr="00236CC3">
        <w:rPr>
          <w:rFonts w:ascii="Tahoma" w:eastAsiaTheme="minorHAnsi" w:hAnsi="Tahoma" w:cs="Tahoma" w:hint="cs"/>
          <w:b/>
          <w:bCs/>
          <w:sz w:val="19"/>
          <w:szCs w:val="19"/>
          <w:rtl/>
        </w:rPr>
        <w:t>י</w:t>
      </w:r>
      <w:r w:rsidRPr="00236CC3">
        <w:rPr>
          <w:rFonts w:ascii="Tahoma" w:eastAsiaTheme="minorHAnsi" w:hAnsi="Tahoma" w:cs="Tahoma"/>
          <w:b/>
          <w:bCs/>
          <w:sz w:val="19"/>
          <w:szCs w:val="19"/>
          <w:rtl/>
        </w:rPr>
        <w:t xml:space="preserve"> המסגרת</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אין בידי עיריות </w:t>
      </w:r>
      <w:r w:rsidRPr="00236CC3">
        <w:rPr>
          <w:rFonts w:ascii="Tahoma" w:eastAsiaTheme="minorHAnsi" w:hAnsi="Tahoma" w:cs="Tahoma"/>
          <w:b/>
          <w:bCs/>
          <w:sz w:val="19"/>
          <w:szCs w:val="19"/>
          <w:rtl/>
        </w:rPr>
        <w:t>יבנה</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 xml:space="preserve">קריית ביאליק </w:t>
      </w:r>
      <w:r w:rsidRPr="00236CC3">
        <w:rPr>
          <w:rFonts w:ascii="Tahoma" w:eastAsiaTheme="minorHAnsi" w:hAnsi="Tahoma" w:cs="Tahoma"/>
          <w:sz w:val="19"/>
          <w:szCs w:val="19"/>
          <w:rtl/>
        </w:rPr>
        <w:t xml:space="preserve">רישום המפרט אילו הזמנות עבודה הוצאו מכוח מכרזי המסגרת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 xml:space="preserve">פרסמו </w:t>
      </w:r>
      <w:r w:rsidRPr="00236CC3">
        <w:rPr>
          <w:rFonts w:ascii="Tahoma" w:eastAsiaTheme="minorHAnsi" w:hAnsi="Tahoma" w:cs="Tahoma" w:hint="cs"/>
          <w:sz w:val="19"/>
          <w:szCs w:val="19"/>
          <w:rtl/>
        </w:rPr>
        <w:t>בין ה</w:t>
      </w:r>
      <w:r w:rsidRPr="00236CC3">
        <w:rPr>
          <w:rFonts w:ascii="Tahoma" w:eastAsiaTheme="minorHAnsi" w:hAnsi="Tahoma" w:cs="Tahoma"/>
          <w:sz w:val="19"/>
          <w:szCs w:val="19"/>
          <w:rtl/>
        </w:rPr>
        <w:t>שנים 2018 - 2022</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ב</w:t>
      </w:r>
      <w:r w:rsidRPr="00236CC3">
        <w:rPr>
          <w:rFonts w:ascii="Tahoma" w:eastAsiaTheme="minorHAnsi" w:hAnsi="Tahoma" w:cs="Tahoma"/>
          <w:b/>
          <w:bCs/>
          <w:sz w:val="19"/>
          <w:szCs w:val="19"/>
          <w:rtl/>
        </w:rPr>
        <w:t>חלפ"ת</w:t>
      </w:r>
      <w:r w:rsidRPr="00236CC3">
        <w:rPr>
          <w:rFonts w:ascii="Tahoma" w:eastAsiaTheme="minorHAnsi" w:hAnsi="Tahoma" w:cs="Tahoma"/>
          <w:sz w:val="19"/>
          <w:szCs w:val="19"/>
          <w:rtl/>
        </w:rPr>
        <w:t xml:space="preserve">, המנהלת מכרזים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בהם לעיתים קיימים פרקים שונים</w:t>
      </w:r>
      <w:r w:rsidRPr="00236CC3">
        <w:rPr>
          <w:rFonts w:ascii="Tahoma" w:eastAsiaTheme="minorHAnsi" w:hAnsi="Tahoma" w:cs="Tahoma" w:hint="cs"/>
          <w:sz w:val="19"/>
          <w:szCs w:val="19"/>
          <w:rtl/>
        </w:rPr>
        <w:t xml:space="preserve"> אחדים</w:t>
      </w:r>
      <w:r w:rsidRPr="00236CC3">
        <w:rPr>
          <w:rFonts w:ascii="Tahoma" w:eastAsiaTheme="minorHAnsi" w:hAnsi="Tahoma" w:cs="Tahoma"/>
          <w:sz w:val="19"/>
          <w:szCs w:val="19"/>
          <w:rtl/>
        </w:rPr>
        <w:t>, נמצא כי א</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מנם קיים רישום המפרט אילו הזמנות עבודה הוצאו מכוח כל מכרז, אך רישום ברמת פרקי המכרז שכל אחד מהם הוא תת-מכרז בפני עצמו מצוין כמלל חופשי, ולא כשדה מובנה במערכת</w:t>
      </w:r>
      <w:r w:rsidRPr="00236CC3">
        <w:rPr>
          <w:rFonts w:ascii="Tahoma" w:eastAsiaTheme="minorHAnsi" w:hAnsi="Tahoma" w:cs="Tahoma" w:hint="cs"/>
          <w:sz w:val="19"/>
          <w:szCs w:val="19"/>
          <w:rtl/>
        </w:rPr>
        <w:t xml:space="preserve">. משכך, </w:t>
      </w:r>
      <w:r w:rsidRPr="00236CC3">
        <w:rPr>
          <w:rFonts w:ascii="Tahoma" w:eastAsiaTheme="minorHAnsi" w:hAnsi="Tahoma" w:cs="Tahoma"/>
          <w:sz w:val="19"/>
          <w:szCs w:val="19"/>
          <w:rtl/>
        </w:rPr>
        <w:t xml:space="preserve">היעדר רישום הזמנות העבודה פוגע בהליכי הבקרה </w:t>
      </w:r>
      <w:r w:rsidRPr="00236CC3">
        <w:rPr>
          <w:rFonts w:ascii="Tahoma" w:eastAsiaTheme="minorHAnsi" w:hAnsi="Tahoma" w:cs="Tahoma" w:hint="cs"/>
          <w:sz w:val="19"/>
          <w:szCs w:val="19"/>
          <w:rtl/>
        </w:rPr>
        <w:t>על</w:t>
      </w:r>
      <w:r w:rsidRPr="00236CC3">
        <w:rPr>
          <w:rFonts w:ascii="Tahoma" w:eastAsiaTheme="minorHAnsi" w:hAnsi="Tahoma" w:cs="Tahoma"/>
          <w:sz w:val="19"/>
          <w:szCs w:val="19"/>
          <w:rtl/>
        </w:rPr>
        <w:t xml:space="preserve"> ביצוע ההזמנות מכוחם של המכרזים ובניהולם.</w:t>
      </w:r>
    </w:p>
    <w:p w14:paraId="1EE552FF"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r w:rsidRPr="00236CC3">
        <w:rPr>
          <w:rFonts w:ascii="Tahoma" w:eastAsiaTheme="minorHAnsi" w:hAnsi="Tahoma" w:cs="Tahoma"/>
          <w:b/>
          <w:bCs/>
          <w:sz w:val="19"/>
          <w:szCs w:val="19"/>
          <w:rtl/>
        </w:rPr>
        <w:t xml:space="preserve">בחירת ספקי המסגרת במכרזי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 אופן ביצוע מכרזי המסגרת של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כלל שימוש ב"מחיר רצפה" (מקדם הנחה מזערי), שהביא בפועל לכך ש-11 מכרזים מתוך 12 מכרזי המסגרת </w:t>
      </w:r>
      <w:r w:rsidRPr="00236CC3">
        <w:rPr>
          <w:rFonts w:ascii="Tahoma" w:eastAsiaTheme="minorHAnsi" w:hAnsi="Tahoma" w:cs="Tahoma"/>
          <w:sz w:val="19"/>
          <w:szCs w:val="19"/>
          <w:rtl/>
        </w:rPr>
        <w:t xml:space="preserve">שלגביהם </w:t>
      </w:r>
      <w:r w:rsidRPr="00236CC3">
        <w:rPr>
          <w:rFonts w:ascii="Tahoma" w:eastAsiaTheme="minorHAnsi" w:hAnsi="Tahoma" w:cs="Tahoma" w:hint="cs"/>
          <w:sz w:val="19"/>
          <w:szCs w:val="19"/>
          <w:rtl/>
        </w:rPr>
        <w:t xml:space="preserve">קבעה </w:t>
      </w:r>
      <w:r w:rsidRPr="00236CC3">
        <w:rPr>
          <w:rFonts w:ascii="Tahoma" w:eastAsiaTheme="minorHAnsi" w:hAnsi="Tahoma" w:cs="Tahoma" w:hint="cs"/>
          <w:b/>
          <w:bCs/>
          <w:sz w:val="19"/>
          <w:szCs w:val="19"/>
          <w:rtl/>
        </w:rPr>
        <w:t>חלפ"ת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"מחיר רצפה" בוצעו במחיר זה שקבעה, אשר </w:t>
      </w:r>
      <w:r w:rsidRPr="00236CC3">
        <w:rPr>
          <w:rFonts w:ascii="Tahoma" w:eastAsiaTheme="minorHAnsi" w:hAnsi="Tahoma" w:cs="Tahoma"/>
          <w:sz w:val="19"/>
          <w:szCs w:val="19"/>
          <w:rtl/>
        </w:rPr>
        <w:t>כלל</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הנחה שנעה בין 5% ל-25% ממחירי המחירון</w:t>
      </w:r>
      <w:r w:rsidRPr="00236CC3">
        <w:rPr>
          <w:rFonts w:ascii="Tahoma" w:eastAsiaTheme="minorHAnsi" w:hAnsi="Tahoma" w:cs="Tahoma" w:hint="cs"/>
          <w:sz w:val="19"/>
          <w:szCs w:val="19"/>
          <w:rtl/>
        </w:rPr>
        <w:t xml:space="preserve">;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החליטה על זהות הזוכים בהסתמך על אמות מידה סובייקטיביות באופן יחסי שקיים קושי להעריכן, ואף לא קבעה מדדים להערכת אמות המידה הללו;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לא נימקה, כנדרש בפרוטוקולי המכרזים, מדוע מציע מסוים זכה לציון איכות כזה ולא אחר. </w:t>
      </w:r>
      <w:r w:rsidRPr="00236CC3">
        <w:rPr>
          <w:rFonts w:ascii="Tahoma" w:eastAsiaTheme="minorHAnsi" w:hAnsi="Tahoma" w:cs="Tahoma"/>
          <w:sz w:val="19"/>
          <w:szCs w:val="19"/>
          <w:rtl/>
        </w:rPr>
        <w:t xml:space="preserve">התנהלות זו של </w:t>
      </w:r>
      <w:r w:rsidRPr="00236CC3">
        <w:rPr>
          <w:rFonts w:ascii="Tahoma" w:eastAsiaTheme="minorHAnsi" w:hAnsi="Tahoma" w:cs="Tahoma" w:hint="eastAsia"/>
          <w:b/>
          <w:bCs/>
          <w:sz w:val="19"/>
          <w:szCs w:val="19"/>
          <w:rtl/>
        </w:rPr>
        <w:t>חלפ</w:t>
      </w:r>
      <w:r w:rsidRPr="00236CC3">
        <w:rPr>
          <w:rFonts w:ascii="Tahoma" w:eastAsiaTheme="minorHAnsi" w:hAnsi="Tahoma" w:cs="Tahoma"/>
          <w:b/>
          <w:bCs/>
          <w:sz w:val="19"/>
          <w:szCs w:val="19"/>
          <w:rtl/>
        </w:rPr>
        <w:t>"ת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מעלה חשש לפגיעה </w:t>
      </w:r>
      <w:r w:rsidRPr="00236CC3">
        <w:rPr>
          <w:rFonts w:ascii="Tahoma" w:eastAsiaTheme="minorHAnsi" w:hAnsi="Tahoma" w:cs="Tahoma"/>
          <w:sz w:val="19"/>
          <w:szCs w:val="19"/>
          <w:rtl/>
        </w:rPr>
        <w:t xml:space="preserve">בעקרונות התחרות, </w:t>
      </w:r>
      <w:r w:rsidRPr="00236CC3">
        <w:rPr>
          <w:rFonts w:ascii="Tahoma" w:eastAsiaTheme="minorHAnsi" w:hAnsi="Tahoma" w:cs="Tahoma" w:hint="eastAsia"/>
          <w:sz w:val="19"/>
          <w:szCs w:val="19"/>
          <w:rtl/>
        </w:rPr>
        <w:t>השקיפות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השוויון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וההגינות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העומדים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בבסיסו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המכרז</w:t>
      </w:r>
      <w:r w:rsidRPr="00236CC3">
        <w:rPr>
          <w:rFonts w:ascii="Tahoma" w:eastAsiaTheme="minorHAnsi" w:hAnsi="Tahoma" w:cs="Tahoma"/>
          <w:sz w:val="19"/>
          <w:szCs w:val="19"/>
          <w:rtl/>
        </w:rPr>
        <w:t>.</w:t>
      </w:r>
    </w:p>
    <w:p w14:paraId="5EADBAB4"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r w:rsidRPr="00236CC3">
        <w:rPr>
          <w:rFonts w:ascii="Tahoma" w:eastAsiaTheme="minorHAnsi" w:hAnsi="Tahoma" w:cs="Tahoma"/>
          <w:b/>
          <w:bCs/>
          <w:sz w:val="19"/>
          <w:szCs w:val="19"/>
          <w:rtl/>
        </w:rPr>
        <w:t>בחירת עיריית יבנה בהצעה יחידה במכרז מסגרת</w:t>
      </w:r>
      <w:r w:rsidRPr="00236CC3">
        <w:rPr>
          <w:rFonts w:ascii="Tahoma" w:eastAsiaTheme="minorHAnsi" w:hAnsi="Tahoma" w:cs="Tahoma" w:hint="cs"/>
          <w:sz w:val="19"/>
          <w:szCs w:val="19"/>
          <w:rtl/>
        </w:rPr>
        <w:t xml:space="preserve"> - במכרז מסגרת בתחום האינסטלציה בחרה עיריית </w:t>
      </w:r>
      <w:r w:rsidRPr="00236CC3">
        <w:rPr>
          <w:rFonts w:ascii="Tahoma" w:eastAsiaTheme="minorHAnsi" w:hAnsi="Tahoma" w:cs="Tahoma" w:hint="cs"/>
          <w:b/>
          <w:bCs/>
          <w:sz w:val="19"/>
          <w:szCs w:val="19"/>
          <w:rtl/>
        </w:rPr>
        <w:t>יבנה</w:t>
      </w:r>
      <w:r w:rsidRPr="00236CC3">
        <w:rPr>
          <w:rFonts w:ascii="Tahoma" w:eastAsiaTheme="minorHAnsi" w:hAnsi="Tahoma" w:cs="Tahoma" w:hint="cs"/>
          <w:sz w:val="19"/>
          <w:szCs w:val="19"/>
          <w:rtl/>
        </w:rPr>
        <w:t xml:space="preserve"> בהצעה היחידה שהוגשה. שלא בהתאם</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ל</w:t>
      </w:r>
      <w:r w:rsidRPr="00236CC3">
        <w:rPr>
          <w:rFonts w:ascii="Tahoma" w:eastAsiaTheme="minorHAnsi" w:hAnsi="Tahoma" w:cs="Tahoma"/>
          <w:sz w:val="19"/>
          <w:szCs w:val="19"/>
          <w:rtl/>
        </w:rPr>
        <w:t>תקנות העיריות מכרזים והפסיקה</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ועדת המכרזים </w:t>
      </w:r>
      <w:r w:rsidRPr="00236CC3">
        <w:rPr>
          <w:rFonts w:ascii="Tahoma" w:eastAsiaTheme="minorHAnsi" w:hAnsi="Tahoma" w:cs="Tahoma" w:hint="cs"/>
          <w:sz w:val="19"/>
          <w:szCs w:val="19"/>
          <w:rtl/>
        </w:rPr>
        <w:t xml:space="preserve">של עיריית </w:t>
      </w:r>
      <w:r w:rsidRPr="00236CC3">
        <w:rPr>
          <w:rFonts w:ascii="Tahoma" w:eastAsiaTheme="minorHAnsi" w:hAnsi="Tahoma" w:cs="Tahoma" w:hint="cs"/>
          <w:b/>
          <w:bCs/>
          <w:sz w:val="19"/>
          <w:szCs w:val="19"/>
          <w:rtl/>
        </w:rPr>
        <w:t>יבנה</w:t>
      </w:r>
      <w:r w:rsidRPr="00236CC3">
        <w:rPr>
          <w:rFonts w:ascii="Tahoma" w:eastAsiaTheme="minorHAnsi" w:hAnsi="Tahoma" w:cs="Tahoma" w:hint="cs"/>
          <w:sz w:val="19"/>
          <w:szCs w:val="19"/>
          <w:rtl/>
        </w:rPr>
        <w:t xml:space="preserve"> לא בחנה במכרזים בהם ניגש מציע יחיד</w:t>
      </w:r>
      <w:r w:rsidRPr="00236CC3">
        <w:rPr>
          <w:rFonts w:ascii="Tahoma" w:eastAsiaTheme="minorHAnsi" w:hAnsi="Tahoma" w:cs="Tahoma"/>
          <w:sz w:val="19"/>
          <w:szCs w:val="19"/>
          <w:rtl/>
        </w:rPr>
        <w:t xml:space="preserve"> אם אין חשש שהצעת המציע היחיד עולה על מחיר השוק ואם אין חשש שההצעה הוגשה כהצעה יחידה עקב קנוניה בין המציעים. הדבר מקבל משנה תוקף </w:t>
      </w:r>
      <w:r w:rsidRPr="00236CC3">
        <w:rPr>
          <w:rFonts w:ascii="Tahoma" w:eastAsiaTheme="minorHAnsi" w:hAnsi="Tahoma" w:cs="Tahoma" w:hint="cs"/>
          <w:sz w:val="19"/>
          <w:szCs w:val="19"/>
          <w:rtl/>
        </w:rPr>
        <w:t>במקרים בהם ההנחה שהוצעה נמוכה מההנחה שקבעה העירייה כאומדן,</w:t>
      </w:r>
      <w:r w:rsidRPr="00236CC3">
        <w:rPr>
          <w:rFonts w:ascii="Tahoma" w:eastAsiaTheme="minorHAnsi" w:hAnsi="Tahoma" w:cs="Tahoma"/>
          <w:sz w:val="19"/>
          <w:szCs w:val="19"/>
          <w:rtl/>
        </w:rPr>
        <w:t xml:space="preserve"> ובנסיבות שבהן </w:t>
      </w:r>
      <w:r w:rsidRPr="00236CC3">
        <w:rPr>
          <w:rFonts w:ascii="Tahoma" w:eastAsiaTheme="minorHAnsi" w:hAnsi="Tahoma" w:cs="Tahoma" w:hint="cs"/>
          <w:sz w:val="19"/>
          <w:szCs w:val="19"/>
          <w:rtl/>
        </w:rPr>
        <w:t>מדובר במכרז מסגרת לבחירת מספר ספקים</w:t>
      </w:r>
      <w:r w:rsidRPr="00236CC3">
        <w:rPr>
          <w:rFonts w:ascii="Tahoma" w:eastAsiaTheme="minorHAnsi" w:hAnsi="Tahoma" w:cs="Tahoma"/>
          <w:sz w:val="19"/>
          <w:szCs w:val="19"/>
          <w:rtl/>
        </w:rPr>
        <w:t xml:space="preserve"> בתחום האינסטלציה</w:t>
      </w:r>
      <w:r w:rsidRPr="00236CC3">
        <w:rPr>
          <w:rFonts w:ascii="Tahoma" w:eastAsiaTheme="minorHAnsi" w:hAnsi="Tahoma" w:cs="Tahoma" w:hint="cs"/>
          <w:sz w:val="19"/>
          <w:szCs w:val="19"/>
          <w:rtl/>
        </w:rPr>
        <w:t>. בפועל, ההצעה היחידה שהוגשה היתה יקרה ב-8%</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מ</w:t>
      </w:r>
      <w:r w:rsidRPr="00236CC3">
        <w:rPr>
          <w:rFonts w:ascii="Tahoma" w:eastAsiaTheme="minorHAnsi" w:hAnsi="Tahoma" w:cs="Tahoma"/>
          <w:sz w:val="19"/>
          <w:szCs w:val="19"/>
          <w:rtl/>
        </w:rPr>
        <w:t>אומדן העירייה</w:t>
      </w:r>
      <w:r w:rsidRPr="00236CC3">
        <w:rPr>
          <w:rFonts w:ascii="Tahoma" w:eastAsiaTheme="minorHAnsi" w:hAnsi="Tahoma" w:cs="Tahoma" w:hint="cs"/>
          <w:sz w:val="19"/>
          <w:szCs w:val="19"/>
          <w:rtl/>
        </w:rPr>
        <w:t xml:space="preserve"> (2% הנחה בהצעה לעומת 10% הנחה באומדן).</w:t>
      </w:r>
    </w:p>
    <w:p w14:paraId="49E082D3"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r w:rsidRPr="00236CC3">
        <w:rPr>
          <w:rFonts w:ascii="Tahoma" w:eastAsiaTheme="minorHAnsi" w:hAnsi="Tahoma" w:cs="Tahoma" w:hint="cs"/>
          <w:b/>
          <w:bCs/>
          <w:sz w:val="19"/>
          <w:szCs w:val="19"/>
          <w:rtl/>
        </w:rPr>
        <w:t xml:space="preserve">אי-קביעת כללים לבחירת ספק מסויים מבין הספקים שזכו במכרז המסגרת - </w:t>
      </w:r>
      <w:r w:rsidRPr="00236CC3">
        <w:rPr>
          <w:rFonts w:ascii="Tahoma" w:eastAsiaTheme="minorHAnsi" w:hAnsi="Tahoma" w:cs="Tahoma" w:hint="eastAsia"/>
          <w:b/>
          <w:bCs/>
          <w:sz w:val="19"/>
          <w:szCs w:val="19"/>
          <w:rtl/>
        </w:rPr>
        <w:t>חלפ</w:t>
      </w:r>
      <w:r w:rsidRPr="00236CC3">
        <w:rPr>
          <w:rFonts w:ascii="Tahoma" w:eastAsiaTheme="minorHAnsi" w:hAnsi="Tahoma" w:cs="Tahoma"/>
          <w:b/>
          <w:bCs/>
          <w:sz w:val="19"/>
          <w:szCs w:val="19"/>
          <w:rtl/>
        </w:rPr>
        <w:t>"ת</w:t>
      </w:r>
      <w:r w:rsidRPr="00236CC3">
        <w:rPr>
          <w:rFonts w:ascii="Tahoma" w:eastAsiaTheme="minorHAnsi" w:hAnsi="Tahoma" w:cs="Tahoma"/>
          <w:sz w:val="19"/>
          <w:szCs w:val="19"/>
          <w:rtl/>
        </w:rPr>
        <w:t xml:space="preserve"> ועיריית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נתנו</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לעצמן </w:t>
      </w:r>
      <w:r w:rsidRPr="00236CC3">
        <w:rPr>
          <w:rFonts w:ascii="Tahoma" w:eastAsiaTheme="minorHAnsi" w:hAnsi="Tahoma" w:cs="Tahoma"/>
          <w:sz w:val="19"/>
          <w:szCs w:val="19"/>
          <w:rtl/>
        </w:rPr>
        <w:t>שיקול דעת כללי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ללא</w:t>
      </w:r>
      <w:r w:rsidRPr="00236CC3">
        <w:rPr>
          <w:rFonts w:ascii="Tahoma" w:eastAsiaTheme="minorHAnsi" w:hAnsi="Tahoma" w:cs="Tahoma"/>
          <w:sz w:val="19"/>
          <w:szCs w:val="19"/>
          <w:rtl/>
        </w:rPr>
        <w:t xml:space="preserve"> כל מגבלות</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ל</w:t>
      </w:r>
      <w:r w:rsidRPr="00236CC3">
        <w:rPr>
          <w:rFonts w:ascii="Tahoma" w:eastAsiaTheme="minorHAnsi" w:hAnsi="Tahoma" w:cs="Tahoma" w:hint="eastAsia"/>
          <w:sz w:val="19"/>
          <w:szCs w:val="19"/>
          <w:rtl/>
        </w:rPr>
        <w:t>צורך</w:t>
      </w:r>
      <w:r w:rsidRPr="00236CC3">
        <w:rPr>
          <w:rFonts w:ascii="Tahoma" w:eastAsiaTheme="minorHAnsi" w:hAnsi="Tahoma" w:cs="Tahoma"/>
          <w:sz w:val="19"/>
          <w:szCs w:val="19"/>
          <w:rtl/>
        </w:rPr>
        <w:t xml:space="preserve"> בחירת הקבלן </w:t>
      </w:r>
      <w:r w:rsidRPr="00236CC3">
        <w:rPr>
          <w:rFonts w:ascii="Tahoma" w:eastAsiaTheme="minorHAnsi" w:hAnsi="Tahoma" w:cs="Tahoma" w:hint="eastAsia"/>
          <w:sz w:val="19"/>
          <w:szCs w:val="19"/>
          <w:rtl/>
        </w:rPr>
        <w:t>שיבצע</w:t>
      </w:r>
      <w:r w:rsidRPr="00236CC3">
        <w:rPr>
          <w:rFonts w:ascii="Tahoma" w:eastAsiaTheme="minorHAnsi" w:hAnsi="Tahoma" w:cs="Tahoma"/>
          <w:sz w:val="19"/>
          <w:szCs w:val="19"/>
          <w:rtl/>
        </w:rPr>
        <w:t xml:space="preserve"> עבודה </w:t>
      </w:r>
      <w:r w:rsidRPr="00236CC3">
        <w:rPr>
          <w:rFonts w:ascii="Tahoma" w:eastAsiaTheme="minorHAnsi" w:hAnsi="Tahoma" w:cs="Tahoma" w:hint="eastAsia"/>
          <w:sz w:val="19"/>
          <w:szCs w:val="19"/>
          <w:rtl/>
        </w:rPr>
        <w:t>מסוי</w:t>
      </w:r>
      <w:r w:rsidRPr="00236CC3">
        <w:rPr>
          <w:rFonts w:ascii="Tahoma" w:eastAsiaTheme="minorHAnsi" w:hAnsi="Tahoma" w:cs="Tahoma" w:hint="cs"/>
          <w:sz w:val="19"/>
          <w:szCs w:val="19"/>
          <w:rtl/>
        </w:rPr>
        <w:t>מ</w:t>
      </w:r>
      <w:r w:rsidRPr="00236CC3">
        <w:rPr>
          <w:rFonts w:ascii="Tahoma" w:eastAsiaTheme="minorHAnsi" w:hAnsi="Tahoma" w:cs="Tahoma" w:hint="eastAsia"/>
          <w:sz w:val="19"/>
          <w:szCs w:val="19"/>
          <w:rtl/>
        </w:rPr>
        <w:t>ת</w:t>
      </w:r>
      <w:r w:rsidRPr="00236CC3">
        <w:rPr>
          <w:rFonts w:ascii="Tahoma" w:eastAsiaTheme="minorHAnsi" w:hAnsi="Tahoma" w:cs="Tahoma"/>
          <w:sz w:val="19"/>
          <w:szCs w:val="19"/>
          <w:rtl/>
        </w:rPr>
        <w:t xml:space="preserve"> מבין רשימת קבלנים </w:t>
      </w:r>
      <w:r w:rsidRPr="00236CC3">
        <w:rPr>
          <w:rFonts w:ascii="Tahoma" w:eastAsiaTheme="minorHAnsi" w:hAnsi="Tahoma" w:cs="Tahoma" w:hint="eastAsia"/>
          <w:sz w:val="19"/>
          <w:szCs w:val="19"/>
          <w:rtl/>
        </w:rPr>
        <w:t>שזכו</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בשלב</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הראשון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של</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המכרז</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ללא</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כינוס</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ועדת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מכרזים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ובלי לקבוע אמות מידה ברורות לבחירת מי מהזוכים לביצוע עבודה מסוימת.</w:t>
      </w:r>
      <w:r w:rsidRPr="00236CC3">
        <w:rPr>
          <w:rFonts w:ascii="Tahoma" w:eastAsiaTheme="minorHAnsi" w:hAnsi="Tahoma" w:cs="Tahoma" w:hint="cs"/>
          <w:sz w:val="19"/>
          <w:szCs w:val="19"/>
          <w:rtl/>
        </w:rPr>
        <w:t xml:space="preserve"> זאת לגבי מכרז מסגרת מבין ארבעת מכרזים בעיריית </w:t>
      </w:r>
      <w:r w:rsidRPr="00236CC3">
        <w:rPr>
          <w:rFonts w:ascii="Tahoma" w:eastAsiaTheme="minorHAnsi" w:hAnsi="Tahoma" w:cs="Tahoma" w:hint="cs"/>
          <w:b/>
          <w:bCs/>
          <w:sz w:val="19"/>
          <w:szCs w:val="19"/>
          <w:rtl/>
        </w:rPr>
        <w:t>קריית ביאליק,</w:t>
      </w:r>
      <w:r w:rsidRPr="00236CC3">
        <w:rPr>
          <w:rFonts w:ascii="Tahoma" w:eastAsiaTheme="minorHAnsi" w:hAnsi="Tahoma" w:cs="Tahoma" w:hint="cs"/>
          <w:sz w:val="19"/>
          <w:szCs w:val="19"/>
          <w:rtl/>
        </w:rPr>
        <w:t xml:space="preserve"> ולגבי כל 13 מכרזי המסגרת שפרסמה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בשני מקרים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העניקה למציעים שלא היו בעלי הניקוד המשוקלל הגבוה ביותר היקף עבודות נרחב יותר, שההפרש ביניהם עמד על כ-8.3 מיליון ש"ח וכ-2.4 מיליון ש"ח ועיריית </w:t>
      </w:r>
      <w:r w:rsidRPr="00236CC3">
        <w:rPr>
          <w:rFonts w:ascii="Tahoma" w:eastAsiaTheme="minorHAnsi" w:hAnsi="Tahoma" w:cs="Tahoma" w:hint="cs"/>
          <w:b/>
          <w:bCs/>
          <w:sz w:val="19"/>
          <w:szCs w:val="19"/>
          <w:rtl/>
        </w:rPr>
        <w:t>קריית ביאליק</w:t>
      </w:r>
      <w:r w:rsidRPr="00236CC3">
        <w:rPr>
          <w:rFonts w:ascii="Tahoma" w:eastAsiaTheme="minorHAnsi" w:hAnsi="Tahoma" w:cs="Tahoma" w:hint="cs"/>
          <w:sz w:val="19"/>
          <w:szCs w:val="19"/>
          <w:rtl/>
        </w:rPr>
        <w:t xml:space="preserve"> העניקה לכל אחד משני מציעים שהציעו את אותו אחוז הנחה, היקפי עבודות שונים שההפרש ביניהם עמד על כ-3.3 מיליון ש"ח.</w:t>
      </w:r>
    </w:p>
    <w:p w14:paraId="4507C706"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tl/>
        </w:rPr>
      </w:pPr>
      <w:r w:rsidRPr="00236CC3">
        <w:rPr>
          <w:rFonts w:ascii="Tahoma" w:eastAsiaTheme="minorHAnsi" w:hAnsi="Tahoma" w:cs="Tahoma" w:hint="cs"/>
          <w:b/>
          <w:bCs/>
          <w:sz w:val="19"/>
          <w:szCs w:val="19"/>
          <w:rtl/>
        </w:rPr>
        <w:t xml:space="preserve">אי-יישום כללי הבחירה בספק מסויים מבין הספקים שזכו במכרז המסגרת - </w:t>
      </w:r>
      <w:r w:rsidRPr="00236CC3">
        <w:rPr>
          <w:rFonts w:ascii="Tahoma" w:eastAsiaTheme="minorHAnsi" w:hAnsi="Tahoma" w:cs="Tahoma" w:hint="eastAsia"/>
          <w:sz w:val="19"/>
          <w:szCs w:val="19"/>
          <w:rtl/>
        </w:rPr>
        <w:t>ב</w:t>
      </w:r>
      <w:r w:rsidRPr="00236CC3">
        <w:rPr>
          <w:rFonts w:ascii="Tahoma" w:eastAsiaTheme="minorHAnsi" w:hAnsi="Tahoma" w:cs="Tahoma" w:hint="cs"/>
          <w:b/>
          <w:bCs/>
          <w:sz w:val="19"/>
          <w:szCs w:val="19"/>
          <w:rtl/>
        </w:rPr>
        <w:t>עיריית יבנה</w:t>
      </w:r>
      <w:r w:rsidRPr="00236CC3">
        <w:rPr>
          <w:rFonts w:ascii="Tahoma" w:eastAsiaTheme="minorHAnsi" w:hAnsi="Tahoma" w:cs="Tahoma" w:hint="cs"/>
          <w:sz w:val="19"/>
          <w:szCs w:val="19"/>
          <w:rtl/>
        </w:rPr>
        <w:t xml:space="preserve"> נמצאו </w:t>
      </w:r>
      <w:r w:rsidRPr="00236CC3">
        <w:rPr>
          <w:rFonts w:ascii="Tahoma" w:eastAsiaTheme="minorHAnsi" w:hAnsi="Tahoma" w:cs="Tahoma"/>
          <w:sz w:val="19"/>
          <w:szCs w:val="19"/>
          <w:rtl/>
        </w:rPr>
        <w:t xml:space="preserve">31 הזמנות עבודה מתוך 315 הזמנות עבודה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בה</w:t>
      </w:r>
      <w:r w:rsidRPr="00236CC3">
        <w:rPr>
          <w:rFonts w:ascii="Tahoma" w:eastAsiaTheme="minorHAnsi" w:hAnsi="Tahoma" w:cs="Tahoma" w:hint="cs"/>
          <w:sz w:val="19"/>
          <w:szCs w:val="19"/>
          <w:rtl/>
        </w:rPr>
        <w:t>ן</w:t>
      </w:r>
      <w:r w:rsidRPr="00236CC3">
        <w:rPr>
          <w:rFonts w:ascii="Tahoma" w:eastAsiaTheme="minorHAnsi" w:hAnsi="Tahoma" w:cs="Tahoma"/>
          <w:sz w:val="19"/>
          <w:szCs w:val="19"/>
          <w:rtl/>
        </w:rPr>
        <w:t xml:space="preserve"> הזמנות העבודה ניתנו לספקים ללא הליך התמחרות, </w:t>
      </w:r>
      <w:r w:rsidRPr="00236CC3">
        <w:rPr>
          <w:rFonts w:ascii="Tahoma" w:eastAsiaTheme="minorHAnsi" w:hAnsi="Tahoma" w:cs="Tahoma" w:hint="cs"/>
          <w:sz w:val="19"/>
          <w:szCs w:val="19"/>
          <w:rtl/>
        </w:rPr>
        <w:t>אף</w:t>
      </w:r>
      <w:r w:rsidRPr="00236CC3">
        <w:rPr>
          <w:rFonts w:ascii="Tahoma" w:eastAsiaTheme="minorHAnsi" w:hAnsi="Tahoma" w:cs="Tahoma"/>
          <w:sz w:val="19"/>
          <w:szCs w:val="19"/>
          <w:rtl/>
        </w:rPr>
        <w:t xml:space="preserve"> שהעבודות היו מעל הסכום </w:t>
      </w:r>
      <w:r w:rsidRPr="00236CC3">
        <w:rPr>
          <w:rFonts w:ascii="Tahoma" w:eastAsiaTheme="minorHAnsi" w:hAnsi="Tahoma" w:cs="Tahoma" w:hint="cs"/>
          <w:sz w:val="19"/>
          <w:szCs w:val="19"/>
          <w:rtl/>
        </w:rPr>
        <w:t>ש</w:t>
      </w:r>
      <w:r w:rsidRPr="00236CC3">
        <w:rPr>
          <w:rFonts w:ascii="Tahoma" w:eastAsiaTheme="minorHAnsi" w:hAnsi="Tahoma" w:cs="Tahoma"/>
          <w:sz w:val="19"/>
          <w:szCs w:val="19"/>
          <w:rtl/>
        </w:rPr>
        <w:t>בו הליך התמחרות נדרש על פי תנאי המכרז, לעיתים אף פי ש</w:t>
      </w:r>
      <w:r w:rsidRPr="00236CC3">
        <w:rPr>
          <w:rFonts w:ascii="Tahoma" w:eastAsiaTheme="minorHAnsi" w:hAnsi="Tahoma" w:cs="Tahoma" w:hint="cs"/>
          <w:sz w:val="19"/>
          <w:szCs w:val="19"/>
          <w:rtl/>
        </w:rPr>
        <w:t>י</w:t>
      </w:r>
      <w:r w:rsidRPr="00236CC3">
        <w:rPr>
          <w:rFonts w:ascii="Tahoma" w:eastAsiaTheme="minorHAnsi" w:hAnsi="Tahoma" w:cs="Tahoma"/>
          <w:sz w:val="19"/>
          <w:szCs w:val="19"/>
          <w:rtl/>
        </w:rPr>
        <w:t>ש</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ו</w:t>
      </w:r>
      <w:r w:rsidRPr="00236CC3">
        <w:rPr>
          <w:rFonts w:ascii="Tahoma" w:eastAsiaTheme="minorHAnsi" w:hAnsi="Tahoma" w:cs="Tahoma" w:hint="cs"/>
          <w:sz w:val="19"/>
          <w:szCs w:val="19"/>
          <w:rtl/>
        </w:rPr>
        <w:t xml:space="preserve">פי </w:t>
      </w:r>
      <w:r w:rsidRPr="00236CC3">
        <w:rPr>
          <w:rFonts w:ascii="Tahoma" w:eastAsiaTheme="minorHAnsi" w:hAnsi="Tahoma" w:cs="Tahoma"/>
          <w:sz w:val="19"/>
          <w:szCs w:val="19"/>
          <w:rtl/>
        </w:rPr>
        <w:t>תשע</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 מסכום ההתמחרות הנדרש, </w:t>
      </w:r>
      <w:r w:rsidRPr="00236CC3">
        <w:rPr>
          <w:rFonts w:ascii="Tahoma" w:eastAsiaTheme="minorHAnsi" w:hAnsi="Tahoma" w:cs="Tahoma" w:hint="cs"/>
          <w:sz w:val="19"/>
          <w:szCs w:val="19"/>
          <w:rtl/>
        </w:rPr>
        <w:t xml:space="preserve">בהן </w:t>
      </w:r>
      <w:r w:rsidRPr="00236CC3">
        <w:rPr>
          <w:rFonts w:ascii="Tahoma" w:eastAsiaTheme="minorHAnsi" w:hAnsi="Tahoma" w:cs="Tahoma"/>
          <w:sz w:val="19"/>
          <w:szCs w:val="19"/>
          <w:rtl/>
        </w:rPr>
        <w:t>עבודות שאינן במסגרת שיפוצי קיץ.</w:t>
      </w:r>
      <w:r w:rsidRPr="00236CC3">
        <w:rPr>
          <w:rFonts w:ascii="Tahoma" w:eastAsiaTheme="minorHAnsi" w:hAnsi="Tahoma" w:cs="Tahoma" w:hint="cs"/>
          <w:sz w:val="19"/>
          <w:szCs w:val="19"/>
          <w:rtl/>
        </w:rPr>
        <w:t xml:space="preserve"> בשלושה מכרזים של </w:t>
      </w:r>
      <w:r w:rsidRPr="00236CC3">
        <w:rPr>
          <w:rFonts w:ascii="Tahoma" w:eastAsiaTheme="minorHAnsi" w:hAnsi="Tahoma" w:cs="Tahoma"/>
          <w:sz w:val="19"/>
          <w:szCs w:val="19"/>
          <w:rtl/>
        </w:rPr>
        <w:t xml:space="preserve">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שבהם קבעה כי תחלק את העבודות באופן שוויוני ככל שניתן, היא </w:t>
      </w:r>
      <w:r w:rsidRPr="00236CC3">
        <w:rPr>
          <w:rFonts w:ascii="Tahoma" w:eastAsiaTheme="minorHAnsi" w:hAnsi="Tahoma" w:cs="Tahoma"/>
          <w:sz w:val="19"/>
          <w:szCs w:val="19"/>
          <w:rtl/>
        </w:rPr>
        <w:t xml:space="preserve">לא קבעה כללים לניהול </w:t>
      </w:r>
      <w:r w:rsidRPr="00236CC3">
        <w:rPr>
          <w:rFonts w:ascii="Tahoma" w:eastAsiaTheme="minorHAnsi" w:hAnsi="Tahoma" w:cs="Tahoma" w:hint="cs"/>
          <w:sz w:val="19"/>
          <w:szCs w:val="19"/>
          <w:rtl/>
        </w:rPr>
        <w:t>ה</w:t>
      </w:r>
      <w:r w:rsidRPr="00236CC3">
        <w:rPr>
          <w:rFonts w:ascii="Tahoma" w:eastAsiaTheme="minorHAnsi" w:hAnsi="Tahoma" w:cs="Tahoma"/>
          <w:sz w:val="19"/>
          <w:szCs w:val="19"/>
          <w:rtl/>
        </w:rPr>
        <w:t xml:space="preserve">מעקב אחר חלוקת העבודה בין </w:t>
      </w:r>
      <w:r w:rsidRPr="00236CC3">
        <w:rPr>
          <w:rFonts w:ascii="Tahoma" w:eastAsiaTheme="minorHAnsi" w:hAnsi="Tahoma" w:cs="Tahoma" w:hint="cs"/>
          <w:sz w:val="19"/>
          <w:szCs w:val="19"/>
          <w:rtl/>
        </w:rPr>
        <w:t xml:space="preserve">הספקים שזכו במכרזי המסגרת, </w:t>
      </w:r>
      <w:r w:rsidRPr="00236CC3">
        <w:rPr>
          <w:rFonts w:ascii="Tahoma" w:eastAsiaTheme="minorHAnsi" w:hAnsi="Tahoma" w:cs="Tahoma"/>
          <w:sz w:val="19"/>
          <w:szCs w:val="19"/>
          <w:rtl/>
        </w:rPr>
        <w:t>אשר יבטיחו</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כי אכן חלוקת העבודה בין הספקים מתבצעת באופן שוויוני</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ו</w:t>
      </w:r>
      <w:r w:rsidRPr="00236CC3">
        <w:rPr>
          <w:rFonts w:ascii="Tahoma" w:eastAsiaTheme="minorHAnsi" w:hAnsi="Tahoma" w:cs="Tahoma"/>
          <w:sz w:val="19"/>
          <w:szCs w:val="19"/>
          <w:rtl/>
        </w:rPr>
        <w:t>בפועל עולה כי חלוקת העבודה בין הספקים לא הייתה שוויונית.</w:t>
      </w:r>
      <w:r w:rsidRPr="00236CC3">
        <w:rPr>
          <w:rFonts w:ascii="Tahoma" w:eastAsiaTheme="minorHAnsi" w:hAnsi="Tahoma" w:cs="Tahoma" w:hint="cs"/>
          <w:sz w:val="19"/>
          <w:szCs w:val="19"/>
          <w:rtl/>
        </w:rPr>
        <w:t xml:space="preserve"> כך לדוגמא, </w:t>
      </w:r>
      <w:r w:rsidRPr="00236CC3">
        <w:rPr>
          <w:rFonts w:ascii="Tahoma" w:eastAsiaTheme="minorHAnsi" w:hAnsi="Tahoma" w:cs="Tahoma" w:hint="eastAsia"/>
          <w:sz w:val="19"/>
          <w:szCs w:val="19"/>
          <w:rtl/>
        </w:rPr>
        <w:t>במכרז</w:t>
      </w:r>
      <w:r w:rsidRPr="00236CC3">
        <w:rPr>
          <w:rFonts w:ascii="Tahoma" w:eastAsiaTheme="minorHAnsi" w:hAnsi="Tahoma" w:cs="Tahoma"/>
          <w:sz w:val="19"/>
          <w:szCs w:val="19"/>
          <w:rtl/>
        </w:rPr>
        <w:t xml:space="preserve"> לעבודות שיפוץ במוסדות חינוך בעיר</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עיריית </w:t>
      </w:r>
      <w:r w:rsidRPr="00236CC3">
        <w:rPr>
          <w:rFonts w:ascii="Tahoma" w:eastAsiaTheme="minorHAnsi" w:hAnsi="Tahoma" w:cs="Tahoma" w:hint="cs"/>
          <w:b/>
          <w:bCs/>
          <w:sz w:val="19"/>
          <w:szCs w:val="19"/>
          <w:rtl/>
        </w:rPr>
        <w:t xml:space="preserve">קריית ביאליק </w:t>
      </w:r>
      <w:r w:rsidRPr="00236CC3">
        <w:rPr>
          <w:rFonts w:ascii="Tahoma" w:eastAsiaTheme="minorHAnsi" w:hAnsi="Tahoma" w:cs="Tahoma" w:hint="cs"/>
          <w:sz w:val="19"/>
          <w:szCs w:val="19"/>
          <w:rtl/>
        </w:rPr>
        <w:t xml:space="preserve">שילמה 73% מכלל התשלומים </w:t>
      </w:r>
      <w:r w:rsidRPr="00236CC3">
        <w:rPr>
          <w:rFonts w:ascii="Tahoma" w:eastAsiaTheme="minorHAnsi" w:hAnsi="Tahoma" w:cs="Tahoma"/>
          <w:sz w:val="19"/>
          <w:szCs w:val="19"/>
          <w:rtl/>
        </w:rPr>
        <w:t xml:space="preserve">לספק שהציע שיעור </w:t>
      </w:r>
      <w:r w:rsidRPr="00236CC3">
        <w:rPr>
          <w:rFonts w:ascii="Tahoma" w:eastAsiaTheme="minorHAnsi" w:hAnsi="Tahoma" w:cs="Tahoma" w:hint="cs"/>
          <w:sz w:val="19"/>
          <w:szCs w:val="19"/>
          <w:rtl/>
        </w:rPr>
        <w:t xml:space="preserve">הנחה </w:t>
      </w:r>
      <w:r w:rsidRPr="00236CC3">
        <w:rPr>
          <w:rFonts w:ascii="Tahoma" w:eastAsiaTheme="minorHAnsi" w:hAnsi="Tahoma" w:cs="Tahoma"/>
          <w:sz w:val="19"/>
          <w:szCs w:val="19"/>
          <w:rtl/>
        </w:rPr>
        <w:t xml:space="preserve">של 26%, </w:t>
      </w:r>
      <w:r w:rsidRPr="00236CC3">
        <w:rPr>
          <w:rFonts w:ascii="Tahoma" w:eastAsiaTheme="minorHAnsi" w:hAnsi="Tahoma" w:cs="Tahoma" w:hint="cs"/>
          <w:sz w:val="19"/>
          <w:szCs w:val="19"/>
          <w:rtl/>
        </w:rPr>
        <w:t>בעוד</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שלספק </w:t>
      </w:r>
      <w:r w:rsidRPr="00236CC3">
        <w:rPr>
          <w:rFonts w:ascii="Tahoma" w:eastAsiaTheme="minorHAnsi" w:hAnsi="Tahoma" w:cs="Tahoma"/>
          <w:sz w:val="19"/>
          <w:szCs w:val="19"/>
          <w:rtl/>
        </w:rPr>
        <w:t xml:space="preserve">שהציע שיעור </w:t>
      </w:r>
      <w:r w:rsidRPr="00236CC3">
        <w:rPr>
          <w:rFonts w:ascii="Tahoma" w:eastAsiaTheme="minorHAnsi" w:hAnsi="Tahoma" w:cs="Tahoma" w:hint="cs"/>
          <w:sz w:val="19"/>
          <w:szCs w:val="19"/>
          <w:rtl/>
        </w:rPr>
        <w:t xml:space="preserve">הנחה </w:t>
      </w:r>
      <w:r w:rsidRPr="00236CC3">
        <w:rPr>
          <w:rFonts w:ascii="Tahoma" w:eastAsiaTheme="minorHAnsi" w:hAnsi="Tahoma" w:cs="Tahoma"/>
          <w:sz w:val="19"/>
          <w:szCs w:val="19"/>
          <w:rtl/>
        </w:rPr>
        <w:t>של 27%</w:t>
      </w:r>
      <w:r w:rsidRPr="00236CC3">
        <w:rPr>
          <w:rFonts w:ascii="Tahoma" w:eastAsiaTheme="minorHAnsi" w:hAnsi="Tahoma" w:cs="Tahoma" w:hint="cs"/>
          <w:sz w:val="19"/>
          <w:szCs w:val="19"/>
          <w:rtl/>
        </w:rPr>
        <w:t xml:space="preserve">, שילמה </w:t>
      </w:r>
      <w:r w:rsidRPr="00236CC3">
        <w:rPr>
          <w:rFonts w:ascii="Tahoma" w:eastAsiaTheme="minorHAnsi" w:hAnsi="Tahoma" w:cs="Tahoma"/>
          <w:sz w:val="19"/>
          <w:szCs w:val="19"/>
          <w:rtl/>
        </w:rPr>
        <w:t xml:space="preserve">27% מכלל התשלומים (4.9 מיליון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"ח </w:t>
      </w:r>
      <w:r w:rsidRPr="00236CC3">
        <w:rPr>
          <w:rFonts w:ascii="Tahoma" w:eastAsiaTheme="minorHAnsi" w:hAnsi="Tahoma" w:cs="Tahoma" w:hint="eastAsia"/>
          <w:sz w:val="19"/>
          <w:szCs w:val="19"/>
          <w:rtl/>
        </w:rPr>
        <w:t>לעומת</w:t>
      </w:r>
      <w:r w:rsidRPr="00236CC3">
        <w:rPr>
          <w:rFonts w:ascii="Tahoma" w:eastAsiaTheme="minorHAnsi" w:hAnsi="Tahoma" w:cs="Tahoma"/>
          <w:sz w:val="19"/>
          <w:szCs w:val="19"/>
          <w:rtl/>
        </w:rPr>
        <w:t xml:space="preserve"> 1.8 </w:t>
      </w:r>
      <w:r w:rsidRPr="00236CC3">
        <w:rPr>
          <w:rFonts w:ascii="Tahoma" w:eastAsiaTheme="minorHAnsi" w:hAnsi="Tahoma" w:cs="Tahoma" w:hint="eastAsia"/>
          <w:sz w:val="19"/>
          <w:szCs w:val="19"/>
          <w:rtl/>
        </w:rPr>
        <w:t>מיליון</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ש</w:t>
      </w:r>
      <w:r w:rsidRPr="00236CC3">
        <w:rPr>
          <w:rFonts w:ascii="Tahoma" w:eastAsiaTheme="minorHAnsi" w:hAnsi="Tahoma" w:cs="Tahoma"/>
          <w:sz w:val="19"/>
          <w:szCs w:val="19"/>
          <w:rtl/>
        </w:rPr>
        <w:t xml:space="preserve">"ח </w:t>
      </w:r>
      <w:r w:rsidRPr="00236CC3">
        <w:rPr>
          <w:rFonts w:ascii="Tahoma" w:eastAsiaTheme="minorHAnsi" w:hAnsi="Tahoma" w:cs="Tahoma" w:hint="eastAsia"/>
          <w:sz w:val="19"/>
          <w:szCs w:val="19"/>
          <w:rtl/>
        </w:rPr>
        <w:t>בהתאמה</w:t>
      </w:r>
      <w:r w:rsidRPr="00236CC3">
        <w:rPr>
          <w:rFonts w:ascii="Tahoma" w:eastAsiaTheme="minorHAnsi" w:hAnsi="Tahoma" w:cs="Tahoma"/>
          <w:sz w:val="19"/>
          <w:szCs w:val="19"/>
          <w:rtl/>
        </w:rPr>
        <w:t xml:space="preserve">); </w:t>
      </w:r>
      <w:bookmarkStart w:id="97" w:name="_Hlk174263233"/>
      <w:r w:rsidRPr="00236CC3">
        <w:rPr>
          <w:rFonts w:ascii="Tahoma" w:eastAsiaTheme="minorHAnsi" w:hAnsi="Tahoma" w:cs="Tahoma" w:hint="eastAsia"/>
          <w:sz w:val="19"/>
          <w:szCs w:val="19"/>
          <w:rtl/>
        </w:rPr>
        <w:t>במכרז</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לביצוע</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עבודות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איטום</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וסיוד</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גגות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במוסדות</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חינוך</w:t>
      </w:r>
      <w:r w:rsidRPr="00236CC3">
        <w:rPr>
          <w:rFonts w:ascii="Tahoma" w:eastAsiaTheme="minorHAnsi" w:hAnsi="Tahoma" w:cs="Tahoma"/>
          <w:sz w:val="19"/>
          <w:szCs w:val="19"/>
          <w:rtl/>
        </w:rPr>
        <w:t xml:space="preserve"> </w:t>
      </w:r>
      <w:r w:rsidRPr="00236CC3">
        <w:rPr>
          <w:rFonts w:ascii="Tahoma" w:eastAsiaTheme="minorHAnsi" w:hAnsi="Tahoma" w:cs="Tahoma" w:hint="eastAsia"/>
          <w:sz w:val="19"/>
          <w:szCs w:val="19"/>
          <w:rtl/>
        </w:rPr>
        <w:t>וציבור</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עיריית </w:t>
      </w:r>
      <w:r w:rsidRPr="00236CC3">
        <w:rPr>
          <w:rFonts w:ascii="Tahoma" w:eastAsiaTheme="minorHAnsi" w:hAnsi="Tahoma" w:cs="Tahoma" w:hint="cs"/>
          <w:b/>
          <w:bCs/>
          <w:sz w:val="19"/>
          <w:szCs w:val="19"/>
          <w:rtl/>
        </w:rPr>
        <w:t>קריית ביאליק</w:t>
      </w:r>
      <w:r w:rsidRPr="00236CC3">
        <w:rPr>
          <w:rFonts w:ascii="Tahoma" w:eastAsiaTheme="minorHAnsi" w:hAnsi="Tahoma" w:cs="Tahoma" w:hint="cs"/>
          <w:sz w:val="19"/>
          <w:szCs w:val="19"/>
          <w:rtl/>
        </w:rPr>
        <w:t xml:space="preserve"> שילמה 71% מכלל התשלומים </w:t>
      </w:r>
      <w:r w:rsidRPr="00236CC3">
        <w:rPr>
          <w:rFonts w:ascii="Tahoma" w:eastAsiaTheme="minorHAnsi" w:hAnsi="Tahoma" w:cs="Tahoma"/>
          <w:sz w:val="19"/>
          <w:szCs w:val="19"/>
          <w:rtl/>
        </w:rPr>
        <w:t xml:space="preserve">לספק שהציע </w:t>
      </w:r>
      <w:r w:rsidRPr="00236CC3">
        <w:rPr>
          <w:rFonts w:ascii="Tahoma" w:eastAsiaTheme="minorHAnsi" w:hAnsi="Tahoma" w:cs="Tahoma" w:hint="cs"/>
          <w:sz w:val="19"/>
          <w:szCs w:val="19"/>
          <w:rtl/>
        </w:rPr>
        <w:t xml:space="preserve">שיעור </w:t>
      </w:r>
      <w:r w:rsidRPr="00236CC3">
        <w:rPr>
          <w:rFonts w:ascii="Tahoma" w:eastAsiaTheme="minorHAnsi" w:hAnsi="Tahoma" w:cs="Tahoma"/>
          <w:sz w:val="19"/>
          <w:szCs w:val="19"/>
          <w:rtl/>
        </w:rPr>
        <w:t xml:space="preserve">הנחה </w:t>
      </w:r>
      <w:r w:rsidRPr="00236CC3">
        <w:rPr>
          <w:rFonts w:ascii="Tahoma" w:eastAsiaTheme="minorHAnsi" w:hAnsi="Tahoma" w:cs="Tahoma" w:hint="cs"/>
          <w:sz w:val="19"/>
          <w:szCs w:val="19"/>
          <w:rtl/>
        </w:rPr>
        <w:t xml:space="preserve">של </w:t>
      </w:r>
      <w:r w:rsidRPr="00236CC3">
        <w:rPr>
          <w:rFonts w:ascii="Tahoma" w:eastAsiaTheme="minorHAnsi" w:hAnsi="Tahoma" w:cs="Tahoma"/>
          <w:sz w:val="19"/>
          <w:szCs w:val="19"/>
          <w:rtl/>
        </w:rPr>
        <w:t xml:space="preserve">39%, </w:t>
      </w:r>
      <w:r w:rsidRPr="00236CC3">
        <w:rPr>
          <w:rFonts w:ascii="Tahoma" w:eastAsiaTheme="minorHAnsi" w:hAnsi="Tahoma" w:cs="Tahoma" w:hint="cs"/>
          <w:sz w:val="19"/>
          <w:szCs w:val="19"/>
          <w:rtl/>
        </w:rPr>
        <w:t xml:space="preserve">בעוד שלספק שהציע שיעור הנחה של 42% שילמה 29% מכלל התשלומים </w:t>
      </w:r>
      <w:r w:rsidRPr="00236CC3">
        <w:rPr>
          <w:rFonts w:ascii="Tahoma" w:eastAsiaTheme="minorHAnsi" w:hAnsi="Tahoma" w:cs="Tahoma"/>
          <w:sz w:val="19"/>
          <w:szCs w:val="19"/>
          <w:rtl/>
        </w:rPr>
        <w:t>(כ-500,000 ש"ח</w:t>
      </w:r>
      <w:r w:rsidRPr="00236CC3">
        <w:rPr>
          <w:rFonts w:ascii="Tahoma" w:eastAsiaTheme="minorHAnsi" w:hAnsi="Tahoma" w:cs="Tahoma" w:hint="cs"/>
          <w:sz w:val="19"/>
          <w:szCs w:val="19"/>
          <w:rtl/>
        </w:rPr>
        <w:t xml:space="preserve"> לעומת כ-200,000 ש"ח</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w:t>
      </w:r>
      <w:bookmarkEnd w:id="97"/>
    </w:p>
    <w:p w14:paraId="566AFA02"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זהות הגורם האחראי על ביצוע שלב המכרז השני</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עלה כי בעלי תפקידים בעיריות </w:t>
      </w:r>
      <w:r w:rsidRPr="00236CC3">
        <w:rPr>
          <w:rFonts w:ascii="Tahoma" w:eastAsiaTheme="minorHAnsi" w:hAnsi="Tahoma" w:cs="Tahoma"/>
          <w:b/>
          <w:bCs/>
          <w:sz w:val="19"/>
          <w:szCs w:val="19"/>
          <w:rtl/>
        </w:rPr>
        <w:t>יבנה</w:t>
      </w:r>
      <w:r w:rsidRPr="00236CC3">
        <w:rPr>
          <w:rFonts w:ascii="Tahoma" w:eastAsiaTheme="minorHAnsi" w:hAnsi="Tahoma" w:cs="Tahoma" w:hint="cs"/>
          <w:b/>
          <w:bCs/>
          <w:sz w:val="19"/>
          <w:szCs w:val="19"/>
          <w:rtl/>
        </w:rPr>
        <w:t xml:space="preserve">,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w:t>
      </w:r>
      <w:r w:rsidRPr="00236CC3">
        <w:rPr>
          <w:rFonts w:ascii="Tahoma" w:eastAsiaTheme="minorHAnsi" w:hAnsi="Tahoma" w:cs="Tahoma" w:hint="cs"/>
          <w:b/>
          <w:bCs/>
          <w:sz w:val="19"/>
          <w:szCs w:val="19"/>
          <w:rtl/>
        </w:rPr>
        <w:t>ופתח תקווה</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וב</w:t>
      </w:r>
      <w:r w:rsidRPr="00236CC3">
        <w:rPr>
          <w:rFonts w:ascii="Tahoma" w:eastAsiaTheme="minorHAnsi" w:hAnsi="Tahoma" w:cs="Tahoma"/>
          <w:b/>
          <w:bCs/>
          <w:sz w:val="19"/>
          <w:szCs w:val="19"/>
          <w:rtl/>
        </w:rPr>
        <w:t xml:space="preserve">חלפ"ת </w:t>
      </w:r>
      <w:r w:rsidRPr="00236CC3">
        <w:rPr>
          <w:rFonts w:ascii="Tahoma" w:eastAsiaTheme="minorHAnsi" w:hAnsi="Tahoma" w:cs="Tahoma" w:hint="cs"/>
          <w:sz w:val="19"/>
          <w:szCs w:val="19"/>
          <w:rtl/>
        </w:rPr>
        <w:t>הם שהחליטו</w:t>
      </w:r>
      <w:r w:rsidRPr="00236CC3">
        <w:rPr>
          <w:rFonts w:ascii="Tahoma" w:eastAsiaTheme="minorHAnsi" w:hAnsi="Tahoma" w:cs="Tahoma"/>
          <w:sz w:val="19"/>
          <w:szCs w:val="19"/>
          <w:rtl/>
        </w:rPr>
        <w:t xml:space="preserve"> באופן בלעדי מי מבין הזוכים במכרז המסגרת יבצע הזמנת עבודה מסוימת, ללא מעורבות של ועדת המכרזים</w:t>
      </w:r>
      <w:r w:rsidRPr="00236CC3">
        <w:rPr>
          <w:rFonts w:ascii="Tahoma" w:eastAsiaTheme="minorHAnsi" w:hAnsi="Tahoma" w:cs="Tahoma" w:hint="cs"/>
          <w:sz w:val="19"/>
          <w:szCs w:val="19"/>
          <w:rtl/>
        </w:rPr>
        <w:t xml:space="preserve"> או ועדה מקצועית אחרת</w:t>
      </w:r>
      <w:r w:rsidRPr="00236CC3">
        <w:rPr>
          <w:rFonts w:ascii="Tahoma" w:eastAsiaTheme="minorHAnsi" w:hAnsi="Tahoma" w:cs="Tahoma"/>
          <w:sz w:val="19"/>
          <w:szCs w:val="19"/>
          <w:rtl/>
        </w:rPr>
        <w:t>,</w:t>
      </w:r>
      <w:r w:rsidRPr="00236CC3">
        <w:rPr>
          <w:rFonts w:ascii="Tahoma" w:eastAsiaTheme="minorHAnsi" w:hAnsi="Tahoma" w:cs="Tahoma" w:hint="cs"/>
          <w:sz w:val="19"/>
          <w:szCs w:val="19"/>
          <w:rtl/>
        </w:rPr>
        <w:t xml:space="preserve"> ללא </w:t>
      </w:r>
      <w:r w:rsidRPr="00236CC3">
        <w:rPr>
          <w:rFonts w:ascii="Tahoma" w:eastAsiaTheme="minorHAnsi" w:hAnsi="Tahoma" w:cs="Tahoma"/>
          <w:sz w:val="19"/>
          <w:szCs w:val="19"/>
          <w:rtl/>
        </w:rPr>
        <w:t>בקרה כי הזמנת עבודה באמצעות מכרז מסגרת עדיפה על פרסום מכרז פרטני, מבלי ש</w:t>
      </w:r>
      <w:r w:rsidRPr="00236CC3">
        <w:rPr>
          <w:rFonts w:ascii="Tahoma" w:eastAsiaTheme="minorHAnsi" w:hAnsi="Tahoma" w:cs="Tahoma" w:hint="cs"/>
          <w:sz w:val="19"/>
          <w:szCs w:val="19"/>
          <w:rtl/>
        </w:rPr>
        <w:t xml:space="preserve">עיריות </w:t>
      </w:r>
      <w:r w:rsidRPr="00236CC3">
        <w:rPr>
          <w:rFonts w:ascii="Tahoma" w:eastAsiaTheme="minorHAnsi" w:hAnsi="Tahoma" w:cs="Tahoma" w:hint="cs"/>
          <w:b/>
          <w:bCs/>
          <w:sz w:val="19"/>
          <w:szCs w:val="19"/>
          <w:rtl/>
        </w:rPr>
        <w:t>יבנה</w:t>
      </w:r>
      <w:r w:rsidRPr="00236CC3">
        <w:rPr>
          <w:rFonts w:ascii="Tahoma" w:eastAsiaTheme="minorHAnsi" w:hAnsi="Tahoma" w:cs="Tahoma" w:hint="cs"/>
          <w:sz w:val="19"/>
          <w:szCs w:val="19"/>
          <w:rtl/>
        </w:rPr>
        <w:t xml:space="preserve"> ו</w:t>
      </w:r>
      <w:r w:rsidRPr="00236CC3">
        <w:rPr>
          <w:rFonts w:ascii="Tahoma" w:eastAsiaTheme="minorHAnsi" w:hAnsi="Tahoma" w:cs="Tahoma" w:hint="cs"/>
          <w:b/>
          <w:bCs/>
          <w:sz w:val="19"/>
          <w:szCs w:val="19"/>
          <w:rtl/>
        </w:rPr>
        <w:t xml:space="preserve">קריית ביאליק </w:t>
      </w:r>
      <w:r w:rsidRPr="00236CC3">
        <w:rPr>
          <w:rFonts w:ascii="Tahoma" w:eastAsiaTheme="minorHAnsi" w:hAnsi="Tahoma" w:cs="Tahoma" w:hint="cs"/>
          <w:sz w:val="19"/>
          <w:szCs w:val="19"/>
          <w:rtl/>
        </w:rPr>
        <w:t>ו</w:t>
      </w:r>
      <w:r w:rsidRPr="00236CC3">
        <w:rPr>
          <w:rFonts w:ascii="Tahoma" w:eastAsiaTheme="minorHAnsi" w:hAnsi="Tahoma" w:cs="Tahoma" w:hint="cs"/>
          <w:b/>
          <w:bCs/>
          <w:sz w:val="19"/>
          <w:szCs w:val="19"/>
          <w:rtl/>
        </w:rPr>
        <w:t>חלפ"ת</w:t>
      </w:r>
      <w:r w:rsidRPr="00236CC3">
        <w:rPr>
          <w:rFonts w:ascii="Tahoma" w:eastAsiaTheme="minorHAnsi" w:hAnsi="Tahoma" w:cs="Tahoma"/>
          <w:sz w:val="19"/>
          <w:szCs w:val="19"/>
          <w:rtl/>
        </w:rPr>
        <w:t xml:space="preserve"> קבעו אמות מידה ל</w:t>
      </w:r>
      <w:r w:rsidRPr="00236CC3">
        <w:rPr>
          <w:rFonts w:ascii="Tahoma" w:eastAsiaTheme="minorHAnsi" w:hAnsi="Tahoma" w:cs="Tahoma" w:hint="cs"/>
          <w:sz w:val="19"/>
          <w:szCs w:val="19"/>
          <w:rtl/>
        </w:rPr>
        <w:t>החלטותיהם ומבלי שהחלטותיהם היו שקופות, זאת, באופן המעלה</w:t>
      </w:r>
      <w:r w:rsidRPr="00236CC3">
        <w:rPr>
          <w:rFonts w:ascii="Tahoma" w:eastAsiaTheme="minorHAnsi" w:hAnsi="Tahoma" w:cs="Tahoma"/>
          <w:sz w:val="19"/>
          <w:szCs w:val="19"/>
          <w:rtl/>
        </w:rPr>
        <w:t xml:space="preserve"> חשש לכך שיתקיים משוא פנים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חלק מאותן הזמנות עבודה, עמדו על מיליוני שקלים בעיריית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חלפ"ת</w:t>
      </w:r>
      <w:r w:rsidRPr="00236CC3">
        <w:rPr>
          <w:rFonts w:ascii="Tahoma" w:eastAsiaTheme="minorHAnsi" w:hAnsi="Tahoma" w:cs="Tahoma" w:hint="cs"/>
          <w:sz w:val="19"/>
          <w:szCs w:val="19"/>
          <w:rtl/>
        </w:rPr>
        <w:t xml:space="preserve">, למשל </w:t>
      </w:r>
      <w:r w:rsidRPr="00236CC3">
        <w:rPr>
          <w:rFonts w:ascii="Tahoma" w:eastAsiaTheme="minorHAnsi" w:hAnsi="Tahoma" w:cs="Tahoma" w:hint="cs"/>
          <w:b/>
          <w:bCs/>
          <w:sz w:val="19"/>
          <w:szCs w:val="19"/>
          <w:rtl/>
        </w:rPr>
        <w:t>חלפ"ת</w:t>
      </w:r>
      <w:r w:rsidRPr="00236CC3">
        <w:rPr>
          <w:rFonts w:ascii="Tahoma" w:eastAsiaTheme="minorHAnsi" w:hAnsi="Tahoma" w:cs="Tahoma" w:hint="cs"/>
          <w:sz w:val="19"/>
          <w:szCs w:val="19"/>
          <w:rtl/>
        </w:rPr>
        <w:t xml:space="preserve"> שילמה כ-7.4 מיליון ש"ח לקבלן מסוים בעבור ביצוע פרויקט יחיד</w:t>
      </w:r>
      <w:r w:rsidRPr="00236CC3">
        <w:rPr>
          <w:rFonts w:ascii="Tahoma" w:eastAsiaTheme="minorHAnsi" w:hAnsi="Tahoma" w:cs="Tahoma"/>
          <w:sz w:val="19"/>
          <w:szCs w:val="19"/>
          <w:rtl/>
        </w:rPr>
        <w:t>.</w:t>
      </w:r>
    </w:p>
    <w:p w14:paraId="61060DD8" w14:textId="77777777" w:rsidR="00236CC3" w:rsidRPr="00236CC3" w:rsidRDefault="00000000" w:rsidP="00236CC3">
      <w:pPr>
        <w:numPr>
          <w:ilvl w:val="0"/>
          <w:numId w:val="21"/>
        </w:numPr>
        <w:spacing w:after="160" w:line="288" w:lineRule="auto"/>
        <w:ind w:left="-142" w:right="-567" w:hanging="595"/>
        <w:rPr>
          <w:rFonts w:ascii="Tahoma" w:eastAsiaTheme="minorHAnsi" w:hAnsi="Tahoma" w:cs="Tahoma"/>
          <w:sz w:val="19"/>
          <w:szCs w:val="19"/>
        </w:rPr>
      </w:pPr>
      <w:r w:rsidRPr="00236CC3">
        <w:rPr>
          <w:rFonts w:ascii="Tahoma" w:eastAsiaTheme="minorHAnsi" w:hAnsi="Tahoma" w:cs="Tahoma"/>
          <w:b/>
          <w:bCs/>
          <w:sz w:val="19"/>
          <w:szCs w:val="19"/>
          <w:rtl/>
        </w:rPr>
        <w:t>ערבות מכרז ודמי השתתפות</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קיימים הבדלים גדולים בין גובה ע</w:t>
      </w:r>
      <w:r w:rsidRPr="00236CC3">
        <w:rPr>
          <w:rFonts w:ascii="Tahoma" w:eastAsiaTheme="minorHAnsi" w:hAnsi="Tahoma" w:cs="Tahoma" w:hint="eastAsia"/>
          <w:sz w:val="19"/>
          <w:szCs w:val="19"/>
          <w:rtl/>
        </w:rPr>
        <w:t>ר</w:t>
      </w:r>
      <w:r w:rsidRPr="00236CC3">
        <w:rPr>
          <w:rFonts w:ascii="Tahoma" w:eastAsiaTheme="minorHAnsi" w:hAnsi="Tahoma" w:cs="Tahoma"/>
          <w:sz w:val="19"/>
          <w:szCs w:val="19"/>
          <w:rtl/>
        </w:rPr>
        <w:t xml:space="preserve">בות המכרז ודמי ההשתתפות שנקבעו במכרזי המסגרת של העיריות </w:t>
      </w:r>
      <w:r w:rsidRPr="00236CC3">
        <w:rPr>
          <w:rFonts w:ascii="Tahoma" w:eastAsiaTheme="minorHAnsi" w:hAnsi="Tahoma" w:cs="Tahoma"/>
          <w:b/>
          <w:bCs/>
          <w:sz w:val="19"/>
          <w:szCs w:val="19"/>
          <w:rtl/>
        </w:rPr>
        <w:t>יבנה</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 xml:space="preserve">קריית ביאליק </w:t>
      </w:r>
      <w:r w:rsidRPr="00236CC3">
        <w:rPr>
          <w:rFonts w:ascii="Tahoma" w:eastAsiaTheme="minorHAnsi" w:hAnsi="Tahoma" w:cs="Tahoma" w:hint="eastAsia"/>
          <w:sz w:val="19"/>
          <w:szCs w:val="19"/>
          <w:rtl/>
        </w:rPr>
        <w:t>ושל</w:t>
      </w:r>
      <w:r w:rsidRPr="00236CC3">
        <w:rPr>
          <w:rFonts w:ascii="Tahoma" w:eastAsiaTheme="minorHAnsi" w:hAnsi="Tahoma" w:cs="Tahoma"/>
          <w:sz w:val="19"/>
          <w:szCs w:val="19"/>
          <w:rtl/>
        </w:rPr>
        <w:t xml:space="preserve"> </w:t>
      </w:r>
      <w:r w:rsidRPr="00236CC3">
        <w:rPr>
          <w:rFonts w:ascii="Tahoma" w:eastAsiaTheme="minorHAnsi" w:hAnsi="Tahoma" w:cs="Tahoma" w:hint="eastAsia"/>
          <w:b/>
          <w:bCs/>
          <w:sz w:val="19"/>
          <w:szCs w:val="19"/>
          <w:rtl/>
        </w:rPr>
        <w:t>ה</w:t>
      </w:r>
      <w:r w:rsidRPr="00236CC3">
        <w:rPr>
          <w:rFonts w:ascii="Tahoma" w:eastAsiaTheme="minorHAnsi" w:hAnsi="Tahoma" w:cs="Tahoma"/>
          <w:b/>
          <w:bCs/>
          <w:sz w:val="19"/>
          <w:szCs w:val="19"/>
          <w:rtl/>
        </w:rPr>
        <w:t>חלפ"ת</w:t>
      </w:r>
      <w:r w:rsidRPr="00236CC3">
        <w:rPr>
          <w:rFonts w:ascii="Tahoma" w:eastAsiaTheme="minorHAnsi" w:hAnsi="Tahoma" w:cs="Tahoma" w:hint="cs"/>
          <w:b/>
          <w:bCs/>
          <w:sz w:val="19"/>
          <w:szCs w:val="19"/>
          <w:rtl/>
        </w:rPr>
        <w:t xml:space="preserve">. </w:t>
      </w:r>
      <w:r w:rsidRPr="00236CC3">
        <w:rPr>
          <w:rFonts w:ascii="Tahoma" w:eastAsiaTheme="minorHAnsi" w:hAnsi="Tahoma" w:cs="Tahoma" w:hint="cs"/>
          <w:sz w:val="19"/>
          <w:szCs w:val="19"/>
          <w:rtl/>
        </w:rPr>
        <w:t>כך,</w:t>
      </w:r>
      <w:r w:rsidRPr="00236CC3">
        <w:rPr>
          <w:rFonts w:ascii="Tahoma" w:eastAsiaTheme="minorHAnsi" w:hAnsi="Tahoma" w:cs="Tahoma" w:hint="cs"/>
          <w:b/>
          <w:bCs/>
          <w:sz w:val="19"/>
          <w:szCs w:val="19"/>
          <w:rtl/>
        </w:rPr>
        <w:t xml:space="preserve"> </w:t>
      </w:r>
      <w:r w:rsidRPr="00236CC3">
        <w:rPr>
          <w:rFonts w:ascii="Tahoma" w:eastAsiaTheme="minorHAnsi" w:hAnsi="Tahoma" w:cs="Tahoma"/>
          <w:sz w:val="19"/>
          <w:szCs w:val="19"/>
          <w:rtl/>
        </w:rPr>
        <w:t>גובה דמי הערבות במכרזים שנבדקו נע בין 0 ש"ח לבין 200,000 ש"ח</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וגובה דמי ההשתתפות </w:t>
      </w:r>
      <w:r w:rsidRPr="00236CC3">
        <w:rPr>
          <w:rFonts w:ascii="Tahoma" w:eastAsiaTheme="minorHAnsi" w:hAnsi="Tahoma" w:cs="Tahoma" w:hint="cs"/>
          <w:sz w:val="19"/>
          <w:szCs w:val="19"/>
          <w:rtl/>
        </w:rPr>
        <w:t>בהם</w:t>
      </w:r>
      <w:r w:rsidRPr="00236CC3">
        <w:rPr>
          <w:rFonts w:ascii="Tahoma" w:eastAsiaTheme="minorHAnsi" w:hAnsi="Tahoma" w:cs="Tahoma"/>
          <w:sz w:val="19"/>
          <w:szCs w:val="19"/>
          <w:rtl/>
        </w:rPr>
        <w:t xml:space="preserve"> נע בין 0 ש"ח לבין 2,500 ש"ח.</w:t>
      </w:r>
      <w:r w:rsidRPr="00236CC3">
        <w:rPr>
          <w:rFonts w:ascii="Tahoma" w:eastAsiaTheme="minorHAnsi" w:hAnsi="Tahoma" w:cs="Tahoma" w:hint="cs"/>
          <w:sz w:val="19"/>
          <w:szCs w:val="19"/>
          <w:rtl/>
        </w:rPr>
        <w:t xml:space="preserve"> נמצא כי בכל 22 מכרזי המסגרת שנבדקו בעיריות </w:t>
      </w:r>
      <w:r w:rsidRPr="00236CC3">
        <w:rPr>
          <w:rFonts w:ascii="Tahoma" w:eastAsiaTheme="minorHAnsi" w:hAnsi="Tahoma" w:cs="Tahoma"/>
          <w:b/>
          <w:bCs/>
          <w:sz w:val="19"/>
          <w:szCs w:val="19"/>
          <w:rtl/>
        </w:rPr>
        <w:t>יבנה</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 xml:space="preserve">קריית ביאליק </w:t>
      </w:r>
      <w:r w:rsidRPr="00236CC3">
        <w:rPr>
          <w:rFonts w:ascii="Tahoma" w:eastAsiaTheme="minorHAnsi" w:hAnsi="Tahoma" w:cs="Tahoma" w:hint="cs"/>
          <w:sz w:val="19"/>
          <w:szCs w:val="19"/>
          <w:rtl/>
        </w:rPr>
        <w:t xml:space="preserve">ושל </w:t>
      </w:r>
      <w:r w:rsidRPr="00236CC3">
        <w:rPr>
          <w:rFonts w:ascii="Tahoma" w:eastAsiaTheme="minorHAnsi" w:hAnsi="Tahoma" w:cs="Tahoma" w:hint="cs"/>
          <w:b/>
          <w:bCs/>
          <w:sz w:val="19"/>
          <w:szCs w:val="19"/>
          <w:rtl/>
        </w:rPr>
        <w:t>ה</w:t>
      </w:r>
      <w:r w:rsidRPr="00236CC3">
        <w:rPr>
          <w:rFonts w:ascii="Tahoma" w:eastAsiaTheme="minorHAnsi" w:hAnsi="Tahoma" w:cs="Tahoma"/>
          <w:b/>
          <w:bCs/>
          <w:sz w:val="19"/>
          <w:szCs w:val="19"/>
          <w:rtl/>
        </w:rPr>
        <w:t>חלפ"ת</w:t>
      </w:r>
      <w:r w:rsidRPr="00236CC3">
        <w:rPr>
          <w:rFonts w:ascii="Tahoma" w:eastAsiaTheme="minorHAnsi" w:hAnsi="Tahoma" w:cs="Tahoma"/>
          <w:sz w:val="19"/>
          <w:szCs w:val="19"/>
          <w:rtl/>
        </w:rPr>
        <w:t xml:space="preserve"> למכרזי המסגרת לא צורף אומדן ומשכך לא ניתן לבחון האם הללו עומדים בקנה אחד עם המלצת מרכז השלטון המקומי</w:t>
      </w:r>
      <w:r w:rsidRPr="00236CC3">
        <w:rPr>
          <w:rFonts w:ascii="Tahoma" w:eastAsiaTheme="minorHAnsi" w:hAnsi="Tahoma" w:cs="Tahoma" w:hint="cs"/>
          <w:sz w:val="19"/>
          <w:szCs w:val="19"/>
          <w:rtl/>
        </w:rPr>
        <w:t>, לפיה ע</w:t>
      </w:r>
      <w:r w:rsidRPr="00236CC3">
        <w:rPr>
          <w:rFonts w:ascii="Tahoma" w:eastAsiaTheme="minorHAnsi" w:hAnsi="Tahoma" w:cs="Tahoma"/>
          <w:sz w:val="19"/>
          <w:szCs w:val="19"/>
          <w:rtl/>
        </w:rPr>
        <w:t>רבות ההצעה לא תעלה על שיעור של 2.5% מהיקף ההתקשרות, ובמקרים מיוחדים ומנימוקים שיירשמו תהיה הרשות המקומית רשאית לקבוע שיעור ערבות גבוה יותר</w:t>
      </w:r>
      <w:r w:rsidRPr="00236CC3">
        <w:rPr>
          <w:rFonts w:ascii="Tahoma" w:eastAsiaTheme="minorHAnsi" w:hAnsi="Tahoma" w:cs="Tahoma" w:hint="cs"/>
          <w:sz w:val="19"/>
          <w:szCs w:val="19"/>
          <w:rtl/>
        </w:rPr>
        <w:t>.</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עוד עולה כי ההחלטה על גובה דמי הערבות ודמי ההשתתפות נקבעו בהיעדר כללים לקביעת הסכומים הללו בכל מכרז ומבלי שהחלטות אלו נומקו.</w:t>
      </w:r>
    </w:p>
    <w:p w14:paraId="404DFF9F"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Pr>
      </w:pPr>
      <w:r w:rsidRPr="00236CC3">
        <w:rPr>
          <w:rFonts w:ascii="Tahoma" w:eastAsiaTheme="minorHAnsi" w:hAnsi="Tahoma" w:cs="Tahoma"/>
          <w:b/>
          <w:bCs/>
          <w:sz w:val="19"/>
          <w:szCs w:val="19"/>
          <w:rtl/>
        </w:rPr>
        <w:t>העדפת עסק בשליטת אישה</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נמצא כי בשני מכרזי מסגרת שפרסמה 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ובכל 13 מכרזי המסגרת שפרסמה </w:t>
      </w:r>
      <w:r w:rsidRPr="00236CC3">
        <w:rPr>
          <w:rFonts w:ascii="Tahoma" w:eastAsiaTheme="minorHAnsi" w:hAnsi="Tahoma" w:cs="Tahoma"/>
          <w:b/>
          <w:bCs/>
          <w:sz w:val="19"/>
          <w:szCs w:val="19"/>
          <w:rtl/>
        </w:rPr>
        <w:t>חלפ"ת</w:t>
      </w:r>
      <w:r w:rsidRPr="00236CC3">
        <w:rPr>
          <w:rFonts w:ascii="Tahoma" w:eastAsiaTheme="minorHAnsi" w:hAnsi="Tahoma" w:cs="Tahoma"/>
          <w:sz w:val="19"/>
          <w:szCs w:val="19"/>
          <w:rtl/>
        </w:rPr>
        <w:t xml:space="preserve"> אין התייחסות להעדפת עסק בשליטת אישה</w:t>
      </w:r>
      <w:r w:rsidRPr="00236CC3">
        <w:rPr>
          <w:rFonts w:ascii="Tahoma" w:eastAsiaTheme="minorHAnsi" w:hAnsi="Tahoma" w:cs="Tahoma" w:hint="cs"/>
          <w:sz w:val="19"/>
          <w:szCs w:val="19"/>
          <w:rtl/>
        </w:rPr>
        <w:t>.</w:t>
      </w:r>
    </w:p>
    <w:p w14:paraId="0B543CAC" w14:textId="77777777" w:rsidR="00236CC3" w:rsidRPr="00236CC3" w:rsidRDefault="00000000" w:rsidP="00236CC3">
      <w:pPr>
        <w:numPr>
          <w:ilvl w:val="0"/>
          <w:numId w:val="21"/>
        </w:numPr>
        <w:spacing w:after="240" w:line="288" w:lineRule="auto"/>
        <w:ind w:left="-143" w:right="-567" w:hanging="595"/>
        <w:rPr>
          <w:rFonts w:ascii="Tahoma" w:eastAsiaTheme="minorHAnsi" w:hAnsi="Tahoma" w:cs="Tahoma"/>
          <w:sz w:val="19"/>
          <w:szCs w:val="19"/>
          <w:rtl/>
        </w:rPr>
      </w:pPr>
      <w:r w:rsidRPr="00236CC3">
        <w:rPr>
          <w:rFonts w:ascii="Tahoma" w:eastAsiaTheme="minorHAnsi" w:hAnsi="Tahoma" w:cs="Tahoma"/>
          <w:b/>
          <w:bCs/>
          <w:sz w:val="19"/>
          <w:szCs w:val="19"/>
          <w:rtl/>
        </w:rPr>
        <w:t>התקשרות עם יועצים באמצעות מכרז מסגרת בעיריית קריית ביאליק</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אופן בחירת היועצים בעיריית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אינו מחייב את בחירתם באמצעות הליך שקוף ושוויוני ואף מבלי שהעירייה קבעה כללים שיבטיחו כי הוא מתבצע בהתאם </w:t>
      </w:r>
      <w:r w:rsidRPr="00236CC3">
        <w:rPr>
          <w:rFonts w:ascii="Tahoma" w:eastAsiaTheme="minorHAnsi" w:hAnsi="Tahoma" w:cs="Tahoma" w:hint="cs"/>
          <w:sz w:val="19"/>
          <w:szCs w:val="19"/>
          <w:rtl/>
        </w:rPr>
        <w:t xml:space="preserve">לשיטת הבחירה עליה הוחלט </w:t>
      </w:r>
      <w:r w:rsidRPr="00236CC3">
        <w:rPr>
          <w:rFonts w:ascii="Tahoma" w:eastAsiaTheme="minorHAnsi" w:hAnsi="Tahoma" w:cs="Tahoma"/>
          <w:sz w:val="19"/>
          <w:szCs w:val="19"/>
          <w:rtl/>
        </w:rPr>
        <w:t>וכי ניתן יהיה לקיים מעקב ובקרה, כך שבפועל עיקר העבודה הועברה ליועץ מסוים</w:t>
      </w:r>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 xml:space="preserve"> </w:t>
      </w:r>
      <w:r w:rsidRPr="00236CC3">
        <w:rPr>
          <w:rFonts w:ascii="Tahoma" w:eastAsiaTheme="minorHAnsi" w:hAnsi="Tahoma" w:cs="Tahoma" w:hint="cs"/>
          <w:sz w:val="19"/>
          <w:szCs w:val="19"/>
          <w:rtl/>
        </w:rPr>
        <w:t xml:space="preserve">אינו עולה בקנה אחד עם </w:t>
      </w:r>
      <w:r w:rsidRPr="00236CC3">
        <w:rPr>
          <w:rFonts w:ascii="Tahoma" w:eastAsiaTheme="minorHAnsi" w:hAnsi="Tahoma" w:cs="Tahoma"/>
          <w:sz w:val="19"/>
          <w:szCs w:val="19"/>
          <w:rtl/>
        </w:rPr>
        <w:t>עקרונות דיני המכרזים.</w:t>
      </w:r>
      <w:r w:rsidRPr="00236CC3">
        <w:rPr>
          <w:rFonts w:ascii="Tahoma" w:eastAsiaTheme="minorHAnsi" w:hAnsi="Tahoma" w:cs="Tahoma" w:hint="cs"/>
          <w:sz w:val="19"/>
          <w:szCs w:val="19"/>
          <w:rtl/>
        </w:rPr>
        <w:t xml:space="preserve"> כך לדוגמא, </w:t>
      </w:r>
      <w:r w:rsidRPr="00236CC3">
        <w:rPr>
          <w:rFonts w:ascii="Tahoma" w:eastAsiaTheme="minorHAnsi" w:hAnsi="Tahoma" w:cs="Tahoma"/>
          <w:sz w:val="19"/>
          <w:szCs w:val="19"/>
          <w:rtl/>
        </w:rPr>
        <w:t>בפרק א' במכרז למתן שירותי ניהול ופיקוח לפרויקטים הנדסיים</w:t>
      </w:r>
      <w:r w:rsidRPr="00236CC3">
        <w:rPr>
          <w:rFonts w:ascii="Tahoma" w:eastAsiaTheme="minorHAnsi" w:hAnsi="Tahoma" w:cs="Tahoma" w:hint="cs"/>
          <w:sz w:val="19"/>
          <w:szCs w:val="19"/>
          <w:rtl/>
        </w:rPr>
        <w:t xml:space="preserve">, בו נבחרו עשרה ספקים שונים, </w:t>
      </w:r>
      <w:r w:rsidRPr="00236CC3">
        <w:rPr>
          <w:rFonts w:ascii="Tahoma" w:eastAsiaTheme="minorHAnsi" w:hAnsi="Tahoma" w:cs="Tahoma"/>
          <w:sz w:val="19"/>
          <w:szCs w:val="19"/>
          <w:rtl/>
        </w:rPr>
        <w:t>שיעור התשלומים ששילמה העירייה ליו</w:t>
      </w:r>
      <w:r w:rsidRPr="00236CC3">
        <w:rPr>
          <w:rFonts w:ascii="Tahoma" w:eastAsiaTheme="minorHAnsi" w:hAnsi="Tahoma" w:cs="Tahoma" w:hint="cs"/>
          <w:sz w:val="19"/>
          <w:szCs w:val="19"/>
          <w:rtl/>
        </w:rPr>
        <w:t>עץ א'</w:t>
      </w:r>
      <w:r w:rsidRPr="00236CC3">
        <w:rPr>
          <w:rFonts w:eastAsiaTheme="minorHAnsi"/>
          <w:rtl/>
          <w:lang w:eastAsia="he-IL"/>
        </w:rPr>
        <w:t xml:space="preserve"> </w:t>
      </w:r>
      <w:r w:rsidRPr="00236CC3">
        <w:rPr>
          <w:rFonts w:ascii="Tahoma" w:eastAsiaTheme="minorHAnsi" w:hAnsi="Tahoma" w:cs="Tahoma"/>
          <w:sz w:val="19"/>
          <w:szCs w:val="19"/>
          <w:rtl/>
        </w:rPr>
        <w:t>עמד על כ-87% מכלל התשלומים</w:t>
      </w:r>
      <w:r w:rsidRPr="00236CC3">
        <w:rPr>
          <w:rFonts w:ascii="Tahoma" w:eastAsiaTheme="minorHAnsi" w:hAnsi="Tahoma" w:cs="Tahoma" w:hint="cs"/>
          <w:sz w:val="19"/>
          <w:szCs w:val="19"/>
          <w:rtl/>
        </w:rPr>
        <w:t>.</w:t>
      </w:r>
    </w:p>
    <w:p w14:paraId="39A85805" w14:textId="77777777" w:rsidR="00236CC3" w:rsidRPr="00236CC3" w:rsidRDefault="00000000" w:rsidP="00236CC3">
      <w:pPr>
        <w:spacing w:before="240" w:after="160" w:line="288" w:lineRule="auto"/>
        <w:ind w:left="-283" w:right="-567" w:hanging="454"/>
        <w:rPr>
          <w:rFonts w:ascii="Tahoma" w:eastAsiaTheme="minorHAnsi" w:hAnsi="Tahoma" w:cs="Tahoma"/>
          <w:sz w:val="19"/>
          <w:szCs w:val="19"/>
          <w:rtl/>
        </w:rPr>
      </w:pPr>
      <w:r w:rsidRPr="00236CC3">
        <w:rPr>
          <w:rFonts w:ascii="Tahoma" w:eastAsiaTheme="minorHAnsi" w:hAnsi="Tahoma" w:cs="Tahoma" w:hint="cs"/>
          <w:noProof/>
          <w:sz w:val="19"/>
          <w:szCs w:val="19"/>
          <w:rtl/>
        </w:rPr>
        <w:drawing>
          <wp:inline distT="0" distB="0" distL="0" distR="0" wp14:anchorId="692EA291" wp14:editId="3D1F84EB">
            <wp:extent cx="2710450" cy="207831"/>
            <wp:effectExtent l="0" t="0" r="0" b="1905"/>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k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0A4580E0"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b/>
          <w:bCs/>
          <w:sz w:val="19"/>
          <w:szCs w:val="19"/>
          <w:rtl/>
        </w:rPr>
        <w:t>העדפת עסק בשליטת אישה</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 xml:space="preserve">במכרז המסגרת שפרסמה עיריית </w:t>
      </w:r>
      <w:r w:rsidRPr="00236CC3">
        <w:rPr>
          <w:rFonts w:ascii="Tahoma" w:eastAsiaTheme="minorHAnsi" w:hAnsi="Tahoma" w:cs="Tahoma"/>
          <w:b/>
          <w:bCs/>
          <w:sz w:val="19"/>
          <w:szCs w:val="19"/>
          <w:rtl/>
        </w:rPr>
        <w:t>יבנה</w:t>
      </w:r>
      <w:r w:rsidRPr="00236CC3">
        <w:rPr>
          <w:rFonts w:ascii="Tahoma" w:eastAsiaTheme="minorHAnsi" w:hAnsi="Tahoma" w:cs="Tahoma"/>
          <w:sz w:val="19"/>
          <w:szCs w:val="19"/>
          <w:rtl/>
        </w:rPr>
        <w:t xml:space="preserve"> ובשישה מתוך שמונת מכרזי המסגרת שפרסמה עיריית </w:t>
      </w:r>
      <w:r w:rsidRPr="00236CC3">
        <w:rPr>
          <w:rFonts w:ascii="Tahoma" w:eastAsiaTheme="minorHAnsi" w:hAnsi="Tahoma" w:cs="Tahoma"/>
          <w:b/>
          <w:bCs/>
          <w:sz w:val="19"/>
          <w:szCs w:val="19"/>
          <w:rtl/>
        </w:rPr>
        <w:t>קריית ביאליק</w:t>
      </w:r>
      <w:r w:rsidRPr="00236CC3">
        <w:rPr>
          <w:rFonts w:ascii="Tahoma" w:eastAsiaTheme="minorHAnsi" w:hAnsi="Tahoma" w:cs="Tahoma"/>
          <w:sz w:val="19"/>
          <w:szCs w:val="19"/>
          <w:rtl/>
        </w:rPr>
        <w:t xml:space="preserve"> נקבע כי במקרה שבו ההצעות הטובות ביותר יהיו זהות, ואחת מן ההצעות היא של עסק בשליטת אישה, תינתן עדיפות להצעה זו, בהתאם לנקבע בתקנות העיריות מכרזים</w:t>
      </w:r>
      <w:r w:rsidRPr="00236CC3">
        <w:rPr>
          <w:rFonts w:ascii="Tahoma" w:eastAsiaTheme="minorHAnsi" w:hAnsi="Tahoma" w:cs="Tahoma" w:hint="cs"/>
          <w:sz w:val="19"/>
          <w:szCs w:val="19"/>
          <w:rtl/>
        </w:rPr>
        <w:t>.</w:t>
      </w:r>
    </w:p>
    <w:p w14:paraId="276DC8AD" w14:textId="77777777" w:rsidR="00236CC3" w:rsidRPr="00236CC3" w:rsidRDefault="00000000" w:rsidP="00236CC3">
      <w:pPr>
        <w:spacing w:after="240" w:line="288" w:lineRule="auto"/>
        <w:ind w:left="-150" w:right="-567"/>
        <w:rPr>
          <w:rFonts w:ascii="Tahoma" w:eastAsiaTheme="minorHAnsi" w:hAnsi="Tahoma" w:cs="Tahoma"/>
          <w:sz w:val="19"/>
          <w:szCs w:val="19"/>
          <w:rtl/>
        </w:rPr>
      </w:pPr>
      <w:r w:rsidRPr="00236CC3">
        <w:rPr>
          <w:rFonts w:ascii="Tahoma" w:eastAsiaTheme="minorHAnsi" w:hAnsi="Tahoma" w:cs="Tahoma" w:hint="cs"/>
          <w:b/>
          <w:bCs/>
          <w:sz w:val="19"/>
          <w:szCs w:val="19"/>
          <w:rtl/>
        </w:rPr>
        <w:t>פרסום מכרזי המסגרת</w:t>
      </w:r>
      <w:r w:rsidRPr="00236CC3">
        <w:rPr>
          <w:rFonts w:ascii="Tahoma" w:eastAsiaTheme="minorHAnsi" w:hAnsi="Tahoma" w:cs="Tahoma" w:hint="cs"/>
          <w:sz w:val="19"/>
          <w:szCs w:val="19"/>
          <w:rtl/>
        </w:rPr>
        <w:t xml:space="preserve"> - </w:t>
      </w:r>
      <w:r w:rsidRPr="00236CC3">
        <w:rPr>
          <w:rFonts w:ascii="Tahoma" w:eastAsiaTheme="minorHAnsi" w:hAnsi="Tahoma" w:cs="Tahoma"/>
          <w:sz w:val="19"/>
          <w:szCs w:val="19"/>
          <w:rtl/>
        </w:rPr>
        <w:t>משרד מבקר המדינה מציין לחיוב את פרסום מכרזי</w:t>
      </w:r>
      <w:r w:rsidRPr="00236CC3">
        <w:rPr>
          <w:rFonts w:ascii="Tahoma" w:eastAsiaTheme="minorHAnsi" w:hAnsi="Tahoma" w:cs="Tahoma" w:hint="cs"/>
          <w:sz w:val="19"/>
          <w:szCs w:val="19"/>
          <w:rtl/>
        </w:rPr>
        <w:t xml:space="preserve"> הרשויות המקומיות והתאגידים העירוניים שנבדקו ב</w:t>
      </w:r>
      <w:r w:rsidRPr="00236CC3">
        <w:rPr>
          <w:rFonts w:ascii="Tahoma" w:eastAsiaTheme="minorHAnsi" w:hAnsi="Tahoma" w:cs="Tahoma"/>
          <w:sz w:val="19"/>
          <w:szCs w:val="19"/>
          <w:rtl/>
        </w:rPr>
        <w:t>אתרי המרשתת שלה</w:t>
      </w:r>
      <w:r w:rsidRPr="00236CC3">
        <w:rPr>
          <w:rFonts w:ascii="Tahoma" w:eastAsiaTheme="minorHAnsi" w:hAnsi="Tahoma" w:cs="Tahoma" w:hint="cs"/>
          <w:sz w:val="19"/>
          <w:szCs w:val="19"/>
          <w:rtl/>
        </w:rPr>
        <w:t>ן.</w:t>
      </w:r>
    </w:p>
    <w:p w14:paraId="39B84A46" w14:textId="77777777" w:rsidR="00236CC3" w:rsidRPr="00E52FBF" w:rsidRDefault="00000000" w:rsidP="00236CC3">
      <w:pPr>
        <w:spacing w:before="120" w:line="288" w:lineRule="auto"/>
        <w:ind w:left="-851" w:right="-567"/>
        <w:rPr>
          <w:rFonts w:ascii="Tahoma" w:eastAsiaTheme="minorHAnsi" w:hAnsi="Tahoma" w:cs="Tahoma"/>
          <w:sz w:val="19"/>
          <w:szCs w:val="19"/>
        </w:rPr>
      </w:pPr>
      <w:r w:rsidRPr="00236CC3">
        <w:rPr>
          <w:rFonts w:ascii="Tahoma" w:eastAsiaTheme="minorHAnsi" w:hAnsi="Tahoma" w:cs="Tahoma" w:hint="cs"/>
          <w:b/>
          <w:bCs/>
          <w:sz w:val="19"/>
          <w:szCs w:val="19"/>
          <w:rtl/>
        </w:rPr>
        <w:t xml:space="preserve">מבקר המדינה מתניהו אנגלמן ממליץ </w:t>
      </w:r>
      <w:r w:rsidRPr="00E52FBF">
        <w:rPr>
          <w:rFonts w:ascii="Tahoma" w:eastAsiaTheme="minorHAnsi" w:hAnsi="Tahoma" w:cs="Tahoma"/>
          <w:sz w:val="19"/>
          <w:szCs w:val="19"/>
          <w:rtl/>
        </w:rPr>
        <w:t>שמשרד הפנים ינחה את הרשויות המקומיות ואת התאגידים העירוניים בנוגע לאופן ניהול הליך מכרז מסגרת</w:t>
      </w:r>
      <w:r w:rsidRPr="00E52FBF">
        <w:rPr>
          <w:rFonts w:ascii="Tahoma" w:eastAsiaTheme="minorHAnsi" w:hAnsi="Tahoma" w:cs="Tahoma" w:hint="cs"/>
          <w:sz w:val="19"/>
          <w:szCs w:val="19"/>
          <w:rtl/>
        </w:rPr>
        <w:t xml:space="preserve"> </w:t>
      </w:r>
      <w:r w:rsidRPr="00E52FBF">
        <w:rPr>
          <w:rFonts w:ascii="Tahoma" w:eastAsiaTheme="minorHAnsi" w:hAnsi="Tahoma" w:cs="Tahoma" w:hint="eastAsia"/>
          <w:sz w:val="19"/>
          <w:szCs w:val="19"/>
          <w:rtl/>
        </w:rPr>
        <w:t>לנוכח</w:t>
      </w:r>
      <w:r w:rsidRPr="00E52FBF">
        <w:rPr>
          <w:rFonts w:ascii="Tahoma" w:eastAsiaTheme="minorHAnsi" w:hAnsi="Tahoma" w:cs="Tahoma" w:hint="cs"/>
          <w:sz w:val="19"/>
          <w:szCs w:val="19"/>
          <w:rtl/>
        </w:rPr>
        <w:t xml:space="preserve"> מאפייניו הייחודיים</w:t>
      </w:r>
      <w:r w:rsidRPr="00E52FBF">
        <w:rPr>
          <w:rFonts w:ascii="Tahoma" w:eastAsiaTheme="minorHAnsi" w:hAnsi="Tahoma" w:cs="Tahoma"/>
          <w:sz w:val="19"/>
          <w:szCs w:val="19"/>
          <w:rtl/>
        </w:rPr>
        <w:t>, וזאת כדי להבטיח את קיומם של ערכי השוויון וההגינות העומדים ביסוד שיטת המכרזים</w:t>
      </w:r>
      <w:r w:rsidRPr="00E52FBF">
        <w:rPr>
          <w:rFonts w:ascii="Tahoma" w:eastAsiaTheme="minorHAnsi" w:hAnsi="Tahoma" w:cs="Tahoma" w:hint="cs"/>
          <w:sz w:val="19"/>
          <w:szCs w:val="19"/>
          <w:rtl/>
        </w:rPr>
        <w:t xml:space="preserve"> בשלבים השונים של המכרז</w:t>
      </w:r>
      <w:r w:rsidRPr="00E52FBF">
        <w:rPr>
          <w:rFonts w:ascii="Tahoma" w:eastAsiaTheme="minorHAnsi" w:hAnsi="Tahoma" w:cs="Tahoma"/>
          <w:sz w:val="19"/>
          <w:szCs w:val="19"/>
          <w:rtl/>
        </w:rPr>
        <w:t>, ויבחן את הצורך בעדכון החקיקה החלה על השלטון המקומי, תוך אימוץ העקרונות לניהול מכרזי מסגרת שנקבעו בחקיקה החלה על השלטון המרכזי, בשינויים המתחייבים. על הרשויות המקומיות והתאגידים העירוניים להבטיח שפרסומם וניהולם של מכרזי המסגרת ייעשו תוך שמירה על עקרונות דיני המכרזים ולפעול ביעילות, בשקיפות ובהגינות, תוך מתן הזדמנות שווה למציעים, הן בבחירת ספקי המסגרת והן בחלוקת העבודות ביניהם.</w:t>
      </w:r>
    </w:p>
    <w:p w14:paraId="6E062676" w14:textId="77777777" w:rsidR="00236CC3" w:rsidRPr="00E52FBF" w:rsidRDefault="00236CC3" w:rsidP="00236CC3">
      <w:pPr>
        <w:bidi w:val="0"/>
        <w:spacing w:after="160" w:line="288" w:lineRule="auto"/>
        <w:jc w:val="left"/>
        <w:rPr>
          <w:rFonts w:ascii="Tahoma" w:eastAsiaTheme="minorHAnsi" w:hAnsi="Tahoma" w:cs="Tahoma"/>
          <w:sz w:val="22"/>
          <w:szCs w:val="22"/>
        </w:rPr>
      </w:pPr>
    </w:p>
    <w:p w14:paraId="7CFE5E32" w14:textId="77777777" w:rsidR="00236CC3" w:rsidRPr="00236CC3" w:rsidRDefault="00000000" w:rsidP="00236CC3">
      <w:pPr>
        <w:bidi w:val="0"/>
        <w:spacing w:after="160" w:line="259" w:lineRule="auto"/>
        <w:jc w:val="left"/>
        <w:rPr>
          <w:rFonts w:ascii="Tahoma" w:eastAsiaTheme="minorHAnsi" w:hAnsi="Tahoma" w:cs="Tahoma"/>
          <w:sz w:val="22"/>
          <w:szCs w:val="22"/>
        </w:rPr>
      </w:pPr>
      <w:r w:rsidRPr="00236CC3">
        <w:rPr>
          <w:rFonts w:ascii="Tahoma" w:eastAsiaTheme="minorHAnsi" w:hAnsi="Tahoma" w:cs="Tahoma"/>
          <w:sz w:val="22"/>
          <w:szCs w:val="22"/>
        </w:rPr>
        <w:br w:type="page"/>
      </w:r>
    </w:p>
    <w:p w14:paraId="4570A291" w14:textId="77777777" w:rsidR="00236CC3" w:rsidRPr="00236CC3" w:rsidRDefault="00236CC3" w:rsidP="00236CC3">
      <w:pPr>
        <w:spacing w:line="288" w:lineRule="auto"/>
        <w:ind w:left="-851" w:right="-567"/>
        <w:rPr>
          <w:rFonts w:ascii="Tahoma" w:eastAsiaTheme="minorHAnsi" w:hAnsi="Tahoma" w:cs="Tahoma"/>
          <w:b/>
          <w:bCs/>
          <w:sz w:val="40"/>
          <w:szCs w:val="40"/>
          <w:rtl/>
        </w:rPr>
      </w:pPr>
    </w:p>
    <w:tbl>
      <w:tblPr>
        <w:tblStyle w:val="41"/>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126470CA" w14:textId="77777777" w:rsidTr="00236CC3">
        <w:tc>
          <w:tcPr>
            <w:tcW w:w="9783" w:type="dxa"/>
          </w:tcPr>
          <w:p w14:paraId="0D197F01" w14:textId="77777777" w:rsidR="00236CC3" w:rsidRPr="00AD2D9C" w:rsidRDefault="00000000" w:rsidP="00AD2D9C">
            <w:pPr>
              <w:pStyle w:val="1"/>
              <w:jc w:val="left"/>
              <w:rPr>
                <w:rFonts w:ascii="Tahoma" w:hAnsi="Tahoma" w:cs="Tahoma"/>
                <w:sz w:val="40"/>
                <w:szCs w:val="40"/>
                <w:rtl/>
              </w:rPr>
            </w:pPr>
            <w:bookmarkStart w:id="98" w:name="_Toc179710267"/>
            <w:r w:rsidRPr="00AD2D9C">
              <w:rPr>
                <w:rFonts w:ascii="Tahoma" w:hAnsi="Tahoma" w:cs="Tahoma"/>
                <w:sz w:val="40"/>
                <w:szCs w:val="40"/>
                <w:rtl/>
              </w:rPr>
              <w:t>קידום התכנון המתארי והמפורט ביישובי המגזר הלא-יהודי בצפון</w:t>
            </w:r>
            <w:bookmarkEnd w:id="98"/>
          </w:p>
          <w:p w14:paraId="2629F32D" w14:textId="77777777" w:rsidR="00236CC3" w:rsidRPr="00236CC3" w:rsidRDefault="00236CC3" w:rsidP="00236CC3">
            <w:pPr>
              <w:tabs>
                <w:tab w:val="center" w:pos="4153"/>
                <w:tab w:val="right" w:pos="8306"/>
              </w:tabs>
              <w:rPr>
                <w:rtl/>
              </w:rPr>
            </w:pPr>
          </w:p>
          <w:p w14:paraId="3262C676" w14:textId="77777777" w:rsidR="00236CC3" w:rsidRPr="00236CC3" w:rsidRDefault="00236CC3" w:rsidP="00236CC3">
            <w:pPr>
              <w:tabs>
                <w:tab w:val="center" w:pos="4153"/>
                <w:tab w:val="right" w:pos="8306"/>
              </w:tabs>
              <w:spacing w:line="288" w:lineRule="auto"/>
              <w:jc w:val="left"/>
              <w:rPr>
                <w:rFonts w:ascii="Tahoma" w:hAnsi="Tahoma" w:cs="Tahoma"/>
                <w:rtl/>
              </w:rPr>
            </w:pPr>
          </w:p>
        </w:tc>
      </w:tr>
    </w:tbl>
    <w:p w14:paraId="3247B9A5" w14:textId="77777777" w:rsidR="00236CC3" w:rsidRPr="00236CC3" w:rsidRDefault="00000000" w:rsidP="00236CC3">
      <w:pPr>
        <w:spacing w:line="288" w:lineRule="auto"/>
        <w:ind w:left="-851"/>
        <w:rPr>
          <w:rFonts w:ascii="Tahoma" w:eastAsiaTheme="minorHAnsi" w:hAnsi="Tahoma" w:cs="Tahoma"/>
          <w:rtl/>
        </w:rPr>
      </w:pPr>
      <w:r w:rsidRPr="00236CC3">
        <w:rPr>
          <w:rFonts w:ascii="Tahoma" w:eastAsiaTheme="minorHAnsi" w:hAnsi="Tahoma" w:cs="Tahoma"/>
          <w:noProof/>
          <w:rtl/>
        </w:rPr>
        <w:drawing>
          <wp:inline distT="0" distB="0" distL="0" distR="0" wp14:anchorId="7D3B08F4" wp14:editId="5CD373D2">
            <wp:extent cx="1674111" cy="381000"/>
            <wp:effectExtent l="0" t="0" r="254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p w14:paraId="04A9B4A1" w14:textId="77777777" w:rsidR="00236CC3" w:rsidRPr="00236CC3" w:rsidRDefault="00236CC3" w:rsidP="00236CC3">
      <w:pPr>
        <w:spacing w:line="288" w:lineRule="auto"/>
        <w:ind w:left="-710"/>
        <w:rPr>
          <w:rFonts w:ascii="Tahoma" w:eastAsiaTheme="minorHAnsi" w:hAnsi="Tahoma" w:cs="Tahoma"/>
          <w:sz w:val="6"/>
          <w:szCs w:val="10"/>
          <w:rtl/>
        </w:rPr>
      </w:pPr>
    </w:p>
    <w:tbl>
      <w:tblPr>
        <w:tblStyle w:val="41"/>
        <w:tblpPr w:leftFromText="180" w:rightFromText="180" w:vertAnchor="text" w:tblpXSpec="center" w:tblpY="1"/>
        <w:tblOverlap w:val="never"/>
        <w:bidiVisual/>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4"/>
        <w:gridCol w:w="284"/>
        <w:gridCol w:w="2835"/>
        <w:gridCol w:w="283"/>
        <w:gridCol w:w="3115"/>
      </w:tblGrid>
      <w:tr w:rsidR="004F19B3" w14:paraId="6EA9F9F7" w14:textId="77777777" w:rsidTr="00236CC3">
        <w:trPr>
          <w:trHeight w:val="283"/>
        </w:trPr>
        <w:tc>
          <w:tcPr>
            <w:tcW w:w="2554" w:type="dxa"/>
            <w:tcBorders>
              <w:bottom w:val="single" w:sz="12" w:space="0" w:color="auto"/>
            </w:tcBorders>
            <w:shd w:val="clear" w:color="auto" w:fill="auto"/>
            <w:vAlign w:val="center"/>
          </w:tcPr>
          <w:p w14:paraId="7D83351D"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b/>
                <w:bCs/>
                <w:spacing w:val="-10"/>
                <w:sz w:val="36"/>
                <w:szCs w:val="36"/>
                <w:rtl/>
              </w:rPr>
              <w:t xml:space="preserve">2.04 </w:t>
            </w:r>
            <w:r w:rsidRPr="00D1243A">
              <w:rPr>
                <w:rFonts w:ascii="Tahoma" w:hAnsi="Tahoma" w:cs="Tahoma"/>
                <w:b/>
                <w:bCs/>
                <w:spacing w:val="-10"/>
                <w:sz w:val="26"/>
                <w:szCs w:val="26"/>
                <w:rtl/>
              </w:rPr>
              <w:t>מיליון (21%)</w:t>
            </w:r>
          </w:p>
        </w:tc>
        <w:tc>
          <w:tcPr>
            <w:tcW w:w="284" w:type="dxa"/>
            <w:vAlign w:val="center"/>
          </w:tcPr>
          <w:p w14:paraId="2D999551" w14:textId="77777777" w:rsidR="00236CC3" w:rsidRPr="00D1243A" w:rsidRDefault="00236CC3" w:rsidP="00236CC3">
            <w:pPr>
              <w:tabs>
                <w:tab w:val="center" w:pos="4153"/>
                <w:tab w:val="right" w:pos="8306"/>
              </w:tabs>
              <w:spacing w:line="240" w:lineRule="auto"/>
              <w:jc w:val="left"/>
              <w:rPr>
                <w:rFonts w:ascii="Tahoma" w:hAnsi="Tahoma" w:cs="Tahoma"/>
                <w:b/>
                <w:bCs/>
                <w:spacing w:val="-10"/>
              </w:rPr>
            </w:pPr>
          </w:p>
        </w:tc>
        <w:tc>
          <w:tcPr>
            <w:tcW w:w="2835" w:type="dxa"/>
            <w:tcBorders>
              <w:bottom w:val="single" w:sz="12" w:space="0" w:color="auto"/>
            </w:tcBorders>
            <w:vAlign w:val="center"/>
          </w:tcPr>
          <w:p w14:paraId="780220F6" w14:textId="77777777" w:rsidR="00236CC3" w:rsidRPr="00D1243A" w:rsidRDefault="00000000" w:rsidP="00236CC3">
            <w:pPr>
              <w:tabs>
                <w:tab w:val="center" w:pos="4153"/>
                <w:tab w:val="right" w:pos="8306"/>
              </w:tabs>
              <w:spacing w:after="60" w:line="240" w:lineRule="auto"/>
              <w:jc w:val="left"/>
              <w:rPr>
                <w:rFonts w:ascii="Tahoma" w:hAnsi="Tahoma" w:cs="Tahoma"/>
                <w:b/>
                <w:bCs/>
                <w:spacing w:val="-10"/>
                <w:sz w:val="36"/>
                <w:szCs w:val="36"/>
                <w:rtl/>
              </w:rPr>
            </w:pPr>
            <w:r w:rsidRPr="00D1243A">
              <w:rPr>
                <w:rFonts w:ascii="Tahoma" w:hAnsi="Tahoma" w:cs="Tahoma"/>
                <w:b/>
                <w:bCs/>
                <w:spacing w:val="-10"/>
                <w:sz w:val="36"/>
                <w:szCs w:val="36"/>
                <w:rtl/>
              </w:rPr>
              <w:t xml:space="preserve">39.2 </w:t>
            </w:r>
            <w:r w:rsidRPr="00D1243A">
              <w:rPr>
                <w:rFonts w:ascii="Tahoma" w:hAnsi="Tahoma" w:cs="Tahoma"/>
                <w:b/>
                <w:bCs/>
                <w:spacing w:val="-10"/>
                <w:sz w:val="26"/>
                <w:szCs w:val="26"/>
                <w:rtl/>
              </w:rPr>
              <w:t>מיליון ש"ח בלבד</w:t>
            </w:r>
          </w:p>
        </w:tc>
        <w:tc>
          <w:tcPr>
            <w:tcW w:w="283" w:type="dxa"/>
            <w:vAlign w:val="center"/>
          </w:tcPr>
          <w:p w14:paraId="04B763B9" w14:textId="77777777" w:rsidR="00236CC3" w:rsidRPr="00D1243A" w:rsidRDefault="00236CC3" w:rsidP="00236CC3">
            <w:pPr>
              <w:tabs>
                <w:tab w:val="center" w:pos="4153"/>
                <w:tab w:val="right" w:pos="8306"/>
              </w:tabs>
              <w:spacing w:line="240" w:lineRule="auto"/>
              <w:jc w:val="left"/>
              <w:rPr>
                <w:rFonts w:ascii="Tahoma" w:hAnsi="Tahoma" w:cs="Tahoma"/>
                <w:b/>
                <w:bCs/>
                <w:spacing w:val="-10"/>
              </w:rPr>
            </w:pPr>
          </w:p>
        </w:tc>
        <w:tc>
          <w:tcPr>
            <w:tcW w:w="3115" w:type="dxa"/>
            <w:tcBorders>
              <w:bottom w:val="single" w:sz="12" w:space="0" w:color="auto"/>
            </w:tcBorders>
            <w:vAlign w:val="center"/>
          </w:tcPr>
          <w:p w14:paraId="0A79687B"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Pr>
            </w:pPr>
            <w:r w:rsidRPr="00D1243A">
              <w:rPr>
                <w:rFonts w:ascii="Tahoma" w:hAnsi="Tahoma" w:cs="Tahoma"/>
                <w:b/>
                <w:bCs/>
                <w:spacing w:val="-10"/>
                <w:sz w:val="36"/>
                <w:szCs w:val="36"/>
                <w:rtl/>
              </w:rPr>
              <w:t xml:space="preserve">41 </w:t>
            </w:r>
            <w:r w:rsidRPr="00D1243A">
              <w:rPr>
                <w:rFonts w:ascii="Tahoma" w:hAnsi="Tahoma" w:cs="Tahoma"/>
                <w:b/>
                <w:bCs/>
                <w:spacing w:val="-10"/>
                <w:sz w:val="26"/>
                <w:szCs w:val="26"/>
                <w:rtl/>
              </w:rPr>
              <w:t>מיליון ש"ח בלבד</w:t>
            </w:r>
          </w:p>
        </w:tc>
      </w:tr>
      <w:tr w:rsidR="004F19B3" w14:paraId="28FA9332" w14:textId="77777777" w:rsidTr="00236CC3">
        <w:trPr>
          <w:trHeight w:val="1155"/>
        </w:trPr>
        <w:tc>
          <w:tcPr>
            <w:tcW w:w="2554" w:type="dxa"/>
          </w:tcPr>
          <w:p w14:paraId="09E77D48"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מספר התושבים המשתייכים למגזרים הערבי, הבדואי, הדרוזי והצ'רקסי ושיעורם מאוכלוסיית ישראל</w:t>
            </w:r>
          </w:p>
        </w:tc>
        <w:tc>
          <w:tcPr>
            <w:tcW w:w="284" w:type="dxa"/>
          </w:tcPr>
          <w:p w14:paraId="10BDF31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835" w:type="dxa"/>
          </w:tcPr>
          <w:p w14:paraId="6222D10E"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הסכום שנוצל (49%) מתקציב בסך 80 מיליון ש"ח שנקבע בהחלטת הממשלה 922 שיוקצה למינהל התכנון ולרשויות המקומיות, לשם תכנון מתארי ומפורט במגזר הלא-יהודי בשנים 2020-2016</w:t>
            </w:r>
          </w:p>
          <w:p w14:paraId="6CBAE5EB" w14:textId="77777777" w:rsidR="00236CC3" w:rsidRPr="00236CC3" w:rsidRDefault="00236CC3" w:rsidP="00236CC3">
            <w:pPr>
              <w:tabs>
                <w:tab w:val="center" w:pos="4153"/>
                <w:tab w:val="right" w:pos="8306"/>
              </w:tabs>
              <w:spacing w:line="240" w:lineRule="auto"/>
              <w:ind w:right="23"/>
              <w:jc w:val="left"/>
              <w:rPr>
                <w:rFonts w:ascii="Tahoma" w:hAnsi="Tahoma" w:cs="Tahoma"/>
                <w:sz w:val="19"/>
                <w:szCs w:val="19"/>
                <w:rtl/>
              </w:rPr>
            </w:pPr>
          </w:p>
        </w:tc>
        <w:tc>
          <w:tcPr>
            <w:tcW w:w="283" w:type="dxa"/>
          </w:tcPr>
          <w:p w14:paraId="59134E6C"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3115" w:type="dxa"/>
          </w:tcPr>
          <w:p w14:paraId="54B46E5C"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הסכום שנוצל (20%) מהרשאות בסך 206 מיליון ש"ח שהעביר משרד הבינוי והשיכון לתכנון יישובים אסטרטגיים במגזר הלא-יהודי בשנים 2020-2016, במסגרת יישום החלטת הממשלה 922</w:t>
            </w:r>
          </w:p>
        </w:tc>
      </w:tr>
      <w:tr w:rsidR="004F19B3" w14:paraId="5B10A347" w14:textId="77777777" w:rsidTr="00236CC3">
        <w:trPr>
          <w:trHeight w:val="227"/>
        </w:trPr>
        <w:tc>
          <w:tcPr>
            <w:tcW w:w="2554" w:type="dxa"/>
            <w:tcBorders>
              <w:bottom w:val="single" w:sz="12" w:space="0" w:color="auto"/>
            </w:tcBorders>
            <w:vAlign w:val="center"/>
          </w:tcPr>
          <w:p w14:paraId="2FED9B7D" w14:textId="77777777" w:rsidR="00236CC3" w:rsidRPr="00D1243A" w:rsidRDefault="00000000" w:rsidP="00236CC3">
            <w:pPr>
              <w:tabs>
                <w:tab w:val="center" w:pos="4153"/>
                <w:tab w:val="right" w:pos="8306"/>
              </w:tabs>
              <w:spacing w:line="240" w:lineRule="auto"/>
              <w:rPr>
                <w:rFonts w:ascii="Tahoma" w:hAnsi="Tahoma" w:cs="Tahoma"/>
                <w:b/>
                <w:bCs/>
                <w:spacing w:val="-10"/>
                <w:sz w:val="36"/>
                <w:szCs w:val="36"/>
                <w:rtl/>
              </w:rPr>
            </w:pPr>
            <w:r w:rsidRPr="00D1243A">
              <w:rPr>
                <w:rFonts w:ascii="Tahoma" w:hAnsi="Tahoma" w:cs="Tahoma"/>
                <w:b/>
                <w:bCs/>
                <w:spacing w:val="-10"/>
                <w:sz w:val="36"/>
                <w:szCs w:val="36"/>
                <w:rtl/>
              </w:rPr>
              <w:t>3,000</w:t>
            </w:r>
          </w:p>
        </w:tc>
        <w:tc>
          <w:tcPr>
            <w:tcW w:w="284" w:type="dxa"/>
          </w:tcPr>
          <w:p w14:paraId="4972D856"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2835" w:type="dxa"/>
            <w:tcBorders>
              <w:bottom w:val="single" w:sz="12" w:space="0" w:color="auto"/>
            </w:tcBorders>
            <w:vAlign w:val="center"/>
          </w:tcPr>
          <w:p w14:paraId="55E2317C" w14:textId="77777777" w:rsidR="00236CC3" w:rsidRPr="00D1243A" w:rsidRDefault="00000000" w:rsidP="00236CC3">
            <w:pPr>
              <w:tabs>
                <w:tab w:val="center" w:pos="4153"/>
                <w:tab w:val="right" w:pos="8306"/>
              </w:tabs>
              <w:spacing w:line="240" w:lineRule="auto"/>
              <w:rPr>
                <w:rFonts w:ascii="Tahoma" w:hAnsi="Tahoma" w:cs="Tahoma"/>
                <w:b/>
                <w:bCs/>
                <w:spacing w:val="-10"/>
                <w:sz w:val="36"/>
                <w:szCs w:val="36"/>
              </w:rPr>
            </w:pPr>
            <w:r w:rsidRPr="00D1243A">
              <w:rPr>
                <w:rFonts w:ascii="Tahoma" w:hAnsi="Tahoma" w:cs="Tahoma"/>
                <w:b/>
                <w:bCs/>
                <w:spacing w:val="-10"/>
                <w:sz w:val="36"/>
                <w:szCs w:val="36"/>
              </w:rPr>
              <w:t>268,282</w:t>
            </w:r>
            <w:r w:rsidRPr="00D1243A">
              <w:rPr>
                <w:rFonts w:ascii="Tahoma" w:hAnsi="Tahoma" w:cs="Tahoma" w:hint="cs"/>
                <w:b/>
                <w:bCs/>
                <w:spacing w:val="-10"/>
                <w:sz w:val="36"/>
                <w:szCs w:val="36"/>
                <w:rtl/>
              </w:rPr>
              <w:t xml:space="preserve"> </w:t>
            </w:r>
            <w:r w:rsidRPr="00D1243A">
              <w:rPr>
                <w:rFonts w:ascii="Tahoma" w:hAnsi="Tahoma" w:cs="Tahoma" w:hint="cs"/>
                <w:b/>
                <w:bCs/>
                <w:spacing w:val="-10"/>
                <w:sz w:val="26"/>
                <w:szCs w:val="26"/>
                <w:rtl/>
              </w:rPr>
              <w:t>(כ-24%)</w:t>
            </w:r>
          </w:p>
        </w:tc>
        <w:tc>
          <w:tcPr>
            <w:tcW w:w="283" w:type="dxa"/>
          </w:tcPr>
          <w:p w14:paraId="61913E82" w14:textId="77777777" w:rsidR="00236CC3" w:rsidRPr="00D1243A" w:rsidRDefault="00236CC3" w:rsidP="00236CC3">
            <w:pPr>
              <w:tabs>
                <w:tab w:val="center" w:pos="4153"/>
                <w:tab w:val="right" w:pos="8306"/>
              </w:tabs>
              <w:spacing w:line="240" w:lineRule="auto"/>
              <w:rPr>
                <w:rFonts w:ascii="Tahoma" w:hAnsi="Tahoma" w:cs="Tahoma"/>
                <w:b/>
                <w:bCs/>
                <w:spacing w:val="-10"/>
              </w:rPr>
            </w:pPr>
          </w:p>
        </w:tc>
        <w:tc>
          <w:tcPr>
            <w:tcW w:w="3115" w:type="dxa"/>
            <w:tcBorders>
              <w:bottom w:val="single" w:sz="12" w:space="0" w:color="auto"/>
            </w:tcBorders>
          </w:tcPr>
          <w:p w14:paraId="1C17E09D" w14:textId="77777777" w:rsidR="00236CC3" w:rsidRPr="00D1243A" w:rsidRDefault="00000000" w:rsidP="00236CC3">
            <w:pPr>
              <w:tabs>
                <w:tab w:val="center" w:pos="4153"/>
                <w:tab w:val="right" w:pos="8306"/>
              </w:tabs>
              <w:spacing w:line="240" w:lineRule="auto"/>
              <w:rPr>
                <w:rFonts w:ascii="Tahoma" w:hAnsi="Tahoma" w:cs="Tahoma"/>
                <w:b/>
                <w:bCs/>
                <w:spacing w:val="-10"/>
                <w:sz w:val="36"/>
                <w:szCs w:val="36"/>
              </w:rPr>
            </w:pPr>
            <w:r w:rsidRPr="00D1243A">
              <w:rPr>
                <w:rFonts w:ascii="Tahoma" w:hAnsi="Tahoma" w:cs="Tahoma"/>
                <w:b/>
                <w:bCs/>
                <w:spacing w:val="-10"/>
                <w:sz w:val="36"/>
                <w:szCs w:val="36"/>
                <w:rtl/>
              </w:rPr>
              <w:t xml:space="preserve">20 </w:t>
            </w:r>
            <w:r w:rsidRPr="00D1243A">
              <w:rPr>
                <w:rFonts w:ascii="Tahoma" w:hAnsi="Tahoma" w:cs="Tahoma"/>
                <w:b/>
                <w:bCs/>
                <w:spacing w:val="-10"/>
                <w:sz w:val="26"/>
                <w:szCs w:val="26"/>
                <w:rtl/>
              </w:rPr>
              <w:t>חודשים</w:t>
            </w:r>
          </w:p>
        </w:tc>
      </w:tr>
      <w:tr w:rsidR="004F19B3" w14:paraId="7CA54F27" w14:textId="77777777" w:rsidTr="00236CC3">
        <w:trPr>
          <w:trHeight w:val="990"/>
        </w:trPr>
        <w:tc>
          <w:tcPr>
            <w:tcW w:w="2554" w:type="dxa"/>
          </w:tcPr>
          <w:p w14:paraId="2854B622"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מספר מבנים אשר נבנו ללא היתר בשכונות עין ג'ראר ואל-עראייש על קרקע חקלאית ב</w:t>
            </w:r>
            <w:r w:rsidRPr="00236CC3">
              <w:rPr>
                <w:rFonts w:ascii="Tahoma" w:hAnsi="Tahoma" w:cs="Tahoma"/>
                <w:b/>
                <w:bCs/>
                <w:sz w:val="19"/>
                <w:szCs w:val="19"/>
                <w:rtl/>
              </w:rPr>
              <w:t>אום אל-פחם</w:t>
            </w:r>
          </w:p>
        </w:tc>
        <w:tc>
          <w:tcPr>
            <w:tcW w:w="284" w:type="dxa"/>
          </w:tcPr>
          <w:p w14:paraId="54DBF9F0"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835" w:type="dxa"/>
          </w:tcPr>
          <w:p w14:paraId="16103FE3"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מספר יחידות הדיור המיועדות למגזר הלא-יהודי, מתוך 1,135,310 יחידות הדיור שאושרו על ידי מוסדות התכנון בשנים 2022-2013</w:t>
            </w:r>
          </w:p>
          <w:p w14:paraId="086F96D3"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283" w:type="dxa"/>
          </w:tcPr>
          <w:p w14:paraId="3BF9C856" w14:textId="77777777" w:rsidR="00236CC3" w:rsidRPr="00236CC3" w:rsidRDefault="00236CC3" w:rsidP="00236CC3">
            <w:pPr>
              <w:tabs>
                <w:tab w:val="center" w:pos="4153"/>
                <w:tab w:val="right" w:pos="8306"/>
              </w:tabs>
              <w:spacing w:line="240" w:lineRule="auto"/>
              <w:jc w:val="left"/>
              <w:rPr>
                <w:rFonts w:ascii="Tahoma" w:hAnsi="Tahoma" w:cs="Tahoma"/>
                <w:sz w:val="19"/>
                <w:szCs w:val="19"/>
                <w:rtl/>
              </w:rPr>
            </w:pPr>
          </w:p>
        </w:tc>
        <w:tc>
          <w:tcPr>
            <w:tcW w:w="3115" w:type="dxa"/>
          </w:tcPr>
          <w:p w14:paraId="7887611B" w14:textId="77777777" w:rsidR="00236CC3" w:rsidRPr="00236CC3" w:rsidRDefault="00000000" w:rsidP="00236CC3">
            <w:pPr>
              <w:tabs>
                <w:tab w:val="center" w:pos="4153"/>
                <w:tab w:val="right" w:pos="8306"/>
              </w:tabs>
              <w:spacing w:line="240" w:lineRule="auto"/>
              <w:ind w:right="23"/>
              <w:jc w:val="left"/>
              <w:rPr>
                <w:rFonts w:ascii="Tahoma" w:hAnsi="Tahoma" w:cs="Tahoma"/>
                <w:sz w:val="19"/>
                <w:szCs w:val="19"/>
                <w:rtl/>
              </w:rPr>
            </w:pPr>
            <w:r w:rsidRPr="00236CC3">
              <w:rPr>
                <w:rFonts w:ascii="Tahoma" w:hAnsi="Tahoma" w:cs="Tahoma"/>
                <w:sz w:val="19"/>
                <w:szCs w:val="19"/>
                <w:rtl/>
              </w:rPr>
              <w:t>החריגה בלוחות הזמנים לטיפול בתמ"ל 1077 (ב</w:t>
            </w:r>
            <w:r w:rsidRPr="00236CC3">
              <w:rPr>
                <w:rFonts w:ascii="Tahoma" w:hAnsi="Tahoma" w:cs="Tahoma"/>
                <w:b/>
                <w:bCs/>
                <w:sz w:val="19"/>
                <w:szCs w:val="19"/>
                <w:rtl/>
              </w:rPr>
              <w:t>אום אל-פחם</w:t>
            </w:r>
            <w:r w:rsidRPr="00236CC3">
              <w:rPr>
                <w:rFonts w:ascii="Tahoma" w:hAnsi="Tahoma" w:cs="Tahoma"/>
                <w:sz w:val="19"/>
                <w:szCs w:val="19"/>
                <w:rtl/>
              </w:rPr>
              <w:t>) לעומת לוחות הזמנים שנקבעו בחוק (למעלה מ-44 חודשים בפועל לעומת 24 חודשים שנקבעו בחקיקה)</w:t>
            </w:r>
          </w:p>
        </w:tc>
      </w:tr>
    </w:tbl>
    <w:p w14:paraId="6CDA7F3B" w14:textId="77777777" w:rsidR="00236CC3" w:rsidRPr="00236CC3" w:rsidRDefault="00236CC3" w:rsidP="00236CC3">
      <w:pPr>
        <w:bidi w:val="0"/>
        <w:spacing w:after="200" w:line="288" w:lineRule="auto"/>
        <w:rPr>
          <w:rFonts w:ascii="Tahoma" w:eastAsiaTheme="minorHAnsi" w:hAnsi="Tahoma" w:cs="Tahoma"/>
          <w:sz w:val="6"/>
          <w:szCs w:val="10"/>
        </w:rPr>
      </w:pPr>
    </w:p>
    <w:p w14:paraId="154FE236" w14:textId="77777777" w:rsidR="00236CC3" w:rsidRPr="00236CC3" w:rsidRDefault="00000000" w:rsidP="00236CC3">
      <w:pPr>
        <w:spacing w:line="288" w:lineRule="auto"/>
        <w:ind w:left="-710"/>
        <w:rPr>
          <w:rFonts w:ascii="Tahoma" w:eastAsiaTheme="minorHAnsi" w:hAnsi="Tahoma" w:cs="Tahoma"/>
          <w:noProof/>
          <w:rtl/>
        </w:rPr>
      </w:pPr>
      <w:r w:rsidRPr="00236CC3">
        <w:rPr>
          <w:rFonts w:ascii="Tahoma" w:eastAsiaTheme="minorHAnsi" w:hAnsi="Tahoma" w:cs="Tahoma"/>
          <w:noProof/>
        </w:rPr>
        <w:drawing>
          <wp:inline distT="0" distB="0" distL="0" distR="0" wp14:anchorId="370F30CE" wp14:editId="5CD02FCB">
            <wp:extent cx="6104255" cy="438829"/>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34A5FB1F" w14:textId="77777777" w:rsidR="00236CC3" w:rsidRPr="00236CC3" w:rsidRDefault="00000000" w:rsidP="00236CC3">
      <w:pPr>
        <w:spacing w:before="240" w:after="160" w:line="288" w:lineRule="auto"/>
        <w:ind w:left="-709" w:right="-567"/>
        <w:rPr>
          <w:rFonts w:ascii="Tahoma" w:eastAsiaTheme="minorHAnsi" w:hAnsi="Tahoma" w:cs="Tahoma"/>
          <w:rtl/>
        </w:rPr>
      </w:pPr>
      <w:r w:rsidRPr="00236CC3">
        <w:rPr>
          <w:rFonts w:ascii="Tahoma" w:eastAsiaTheme="minorHAnsi" w:hAnsi="Tahoma" w:cs="Tahoma"/>
          <w:noProof/>
          <w:rtl/>
        </w:rPr>
        <w:drawing>
          <wp:inline distT="0" distB="0" distL="0" distR="0" wp14:anchorId="39C65A3C" wp14:editId="09808153">
            <wp:extent cx="2616789" cy="200650"/>
            <wp:effectExtent l="0" t="0" r="0" b="9525"/>
            <wp:docPr id="2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5E9FB55E" w14:textId="77777777" w:rsidR="00236CC3" w:rsidRPr="00236CC3" w:rsidRDefault="00000000" w:rsidP="00236CC3">
      <w:pPr>
        <w:numPr>
          <w:ilvl w:val="0"/>
          <w:numId w:val="21"/>
        </w:numPr>
        <w:spacing w:after="140" w:line="288" w:lineRule="auto"/>
        <w:ind w:left="-57" w:right="-567" w:hanging="720"/>
        <w:contextualSpacing/>
        <w:rPr>
          <w:rFonts w:ascii="Tahoma" w:eastAsiaTheme="minorHAnsi" w:hAnsi="Tahoma" w:cs="Tahoma"/>
          <w:sz w:val="19"/>
          <w:szCs w:val="19"/>
        </w:rPr>
      </w:pPr>
      <w:bookmarkStart w:id="99" w:name="_Hlk173330412"/>
      <w:r w:rsidRPr="00236CC3">
        <w:rPr>
          <w:rFonts w:ascii="Tahoma" w:eastAsiaTheme="minorHAnsi" w:hAnsi="Tahoma" w:cs="Tahoma"/>
          <w:b/>
          <w:bCs/>
          <w:sz w:val="19"/>
          <w:szCs w:val="19"/>
          <w:rtl/>
        </w:rPr>
        <w:t>מימוש החלטות הממשלה לקידום תוכניות בתחום התכנון והבנייה במגזר הלא-יהודי</w:t>
      </w:r>
      <w:r w:rsidRPr="00236CC3">
        <w:rPr>
          <w:rFonts w:ascii="Tahoma" w:eastAsiaTheme="minorHAnsi" w:hAnsi="Tahoma" w:cs="Tahoma"/>
          <w:sz w:val="19"/>
          <w:szCs w:val="19"/>
          <w:rtl/>
        </w:rPr>
        <w:t xml:space="preserve"> - מ</w:t>
      </w:r>
      <w:r w:rsidRPr="00236CC3">
        <w:rPr>
          <w:rFonts w:ascii="Tahoma" w:eastAsiaTheme="minorHAnsi" w:hAnsi="Tahoma" w:cs="Tahoma" w:hint="cs"/>
          <w:sz w:val="19"/>
          <w:szCs w:val="19"/>
          <w:rtl/>
        </w:rPr>
        <w:t xml:space="preserve">סכום של </w:t>
      </w:r>
      <w:r w:rsidRPr="00236CC3">
        <w:rPr>
          <w:rFonts w:ascii="Tahoma" w:eastAsiaTheme="minorHAnsi" w:hAnsi="Tahoma" w:cs="Tahoma"/>
          <w:sz w:val="19"/>
          <w:szCs w:val="19"/>
          <w:rtl/>
        </w:rPr>
        <w:t>80 מיליון ש"ח</w:t>
      </w:r>
      <w:r w:rsidRPr="00236CC3">
        <w:rPr>
          <w:rFonts w:ascii="Tahoma" w:eastAsiaTheme="minorHAnsi" w:hAnsi="Tahoma" w:cs="Tahoma" w:hint="cs"/>
          <w:sz w:val="19"/>
          <w:szCs w:val="19"/>
          <w:rtl/>
        </w:rPr>
        <w:t xml:space="preserve"> שהיה צורך להקצות</w:t>
      </w:r>
      <w:r w:rsidRPr="00236CC3">
        <w:rPr>
          <w:rFonts w:ascii="Tahoma" w:eastAsiaTheme="minorHAnsi" w:hAnsi="Tahoma" w:cs="Tahoma"/>
          <w:sz w:val="19"/>
          <w:szCs w:val="19"/>
          <w:rtl/>
        </w:rPr>
        <w:t xml:space="preserve"> לתכנון מתארי ומפורט, ניצלו מינהל התכנון והרשויות המקומיות רק 39.2 מיליון ש"ח (49%), ומתוך 100 מיליון ש"ח שנקבע באותה החלטה</w:t>
      </w:r>
      <w:r w:rsidRPr="00236CC3">
        <w:rPr>
          <w:rFonts w:ascii="Tahoma" w:eastAsiaTheme="minorHAnsi" w:hAnsi="Tahoma" w:cs="Tahoma" w:hint="cs"/>
          <w:sz w:val="19"/>
          <w:szCs w:val="19"/>
          <w:rtl/>
        </w:rPr>
        <w:t xml:space="preserve"> (922)</w:t>
      </w:r>
      <w:r w:rsidRPr="00236CC3">
        <w:rPr>
          <w:rFonts w:ascii="Tahoma" w:eastAsiaTheme="minorHAnsi" w:hAnsi="Tahoma" w:cs="Tahoma"/>
          <w:sz w:val="19"/>
          <w:szCs w:val="19"/>
          <w:rtl/>
        </w:rPr>
        <w:t xml:space="preserve"> כי יוקצו עבור פיצול ועדות מרחביות וחיזוק ועדות מקומיות, הקצה מינהל התכנון 28 מיליון ש"ח לצורך העסקת מתכננים אסטרטגיים, ובפועל ניתנו לרשויות המקומיות לצורך זה הרשאות בסך 15.8 מיליון ש"ח בלבד (56% מהתקציב שהקצה מינהל התכנון); מכוח החלטת הממשלה 959</w:t>
      </w:r>
      <w:r w:rsidRPr="00236CC3">
        <w:rPr>
          <w:rFonts w:ascii="Tahoma" w:eastAsiaTheme="minorHAnsi" w:hAnsi="Tahoma" w:cs="Tahoma"/>
          <w:sz w:val="19"/>
          <w:szCs w:val="19"/>
        </w:rPr>
        <w:t xml:space="preserve"> </w:t>
      </w:r>
      <w:r w:rsidRPr="00236CC3">
        <w:rPr>
          <w:rFonts w:ascii="Tahoma" w:eastAsiaTheme="minorHAnsi" w:hAnsi="Tahoma" w:cs="Tahoma"/>
          <w:sz w:val="19"/>
          <w:szCs w:val="19"/>
          <w:rtl/>
        </w:rPr>
        <w:t>בנושא תוכנית למגזרים הדרוזי, הצ'רקסי והבדואי לשנים 2020-2016, שהתקבלה בהמשך להחלטה 2332 בעניין, הוקצו לתכנון מתארי ומפורט 50 מיליון ש"ח, נוסף על 8 מיליון ש"ח שהקצה מינהל התכנון על פי החלטה 2332. מתוך אותו תקציב נוצלו באותן השנים 18.2 מיליון ש"ח (31%) עבור תכנון מתארי וייעוץ תכנוני ו-37 מיליון ש"ח (64%) היו בהרשאות</w:t>
      </w:r>
      <w:r w:rsidRPr="00236CC3">
        <w:rPr>
          <w:rFonts w:ascii="Tahoma" w:eastAsiaTheme="minorHAnsi" w:hAnsi="Tahoma" w:cs="Tahoma"/>
          <w:b/>
          <w:bCs/>
          <w:rtl/>
        </w:rPr>
        <w:t xml:space="preserve"> </w:t>
      </w:r>
      <w:r w:rsidRPr="00236CC3">
        <w:rPr>
          <w:rFonts w:ascii="Tahoma" w:eastAsiaTheme="minorHAnsi" w:hAnsi="Tahoma" w:cs="Tahoma"/>
          <w:sz w:val="19"/>
          <w:szCs w:val="19"/>
          <w:rtl/>
        </w:rPr>
        <w:t>עבור תכנון מפורט שהעמיד מינהל התכנון לזכות הרשויות המקומיות באותם מגזרים</w:t>
      </w:r>
      <w:r w:rsidRPr="00236CC3">
        <w:rPr>
          <w:rFonts w:ascii="Tahoma" w:eastAsiaTheme="minorHAnsi" w:hAnsi="Tahoma" w:cs="Tahoma"/>
          <w:sz w:val="19"/>
          <w:szCs w:val="19"/>
        </w:rPr>
        <w:t>;</w:t>
      </w:r>
      <w:r w:rsidRPr="00236CC3">
        <w:rPr>
          <w:rFonts w:ascii="Tahoma" w:eastAsiaTheme="minorHAnsi" w:hAnsi="Tahoma" w:cs="Tahoma"/>
          <w:sz w:val="19"/>
          <w:szCs w:val="19"/>
          <w:rtl/>
        </w:rPr>
        <w:t xml:space="preserve"> מ-252 מיליון ש"ח שהוקצו לתכנון תשתיות במרקם בנוי ולהעסקת יועצים אסטרטגיים במסגרת החלטה 922, העמיד משרד השיכון לזכות הרשויות המקומיות הרשאות בסך 206 מיליון ש"ח לתכנון יישובים אסטרטגיים, ומסכום זה ניצלו הרשויות המקומיות כ-41 מיליון ש"ח (20%), והרשאות בסך 2.33 מיליון ש"ח להעסקת יועצים אסטרטגיים, מהן ניצלו הרשויות המקומיות רק 0.85 מיליון ש"ח (36%)</w:t>
      </w:r>
      <w:bookmarkEnd w:id="99"/>
      <w:r w:rsidRPr="00236CC3">
        <w:rPr>
          <w:rFonts w:ascii="Tahoma" w:eastAsiaTheme="minorHAnsi" w:hAnsi="Tahoma" w:cs="Tahoma" w:hint="cs"/>
          <w:sz w:val="19"/>
          <w:szCs w:val="19"/>
          <w:rtl/>
        </w:rPr>
        <w:t xml:space="preserve">; </w:t>
      </w:r>
      <w:r w:rsidRPr="00236CC3">
        <w:rPr>
          <w:rFonts w:ascii="Tahoma" w:eastAsiaTheme="minorHAnsi" w:hAnsi="Tahoma" w:cs="Tahoma"/>
          <w:sz w:val="19"/>
          <w:szCs w:val="19"/>
          <w:rtl/>
        </w:rPr>
        <w:t>החלטות הממשלה שהתקבלו בעשור האחרון מצביעות על מצוקת הדיור והמחסור בפתרונות תכנוניים להרחבת הבנייה במגזר זה ועל הצורך והחשיבות של קידום תוכניות מערכתיות וקידום התכנון המתארי והמפורט. שש ההחלטות שהתקבלו בשנים 2021-2016 לצד ניצול חלקי של התקציבים על ידי הרשויות המקומיות, מצביעים על קיומם של חסמים ממשיים לקידום התכנון, בהם הצורך באיחוד וחלוקה מחדש של מגרשים ושכלול המנגנונים לעניין הפרשות קרקעות לצורכי ציבור והיעדר הסברה ושיתוף הציבור. אומנם צוותים בין-משרדיים מיפו את החסמים וגובשו המלצות ואף הוחל ביישומן, אך טרם הבשילו התנאים לבנייה ענפה למגורים.</w:t>
      </w:r>
    </w:p>
    <w:p w14:paraId="2FFDC093" w14:textId="77777777" w:rsidR="00236CC3" w:rsidRPr="00236CC3" w:rsidRDefault="00000000" w:rsidP="00236CC3">
      <w:pPr>
        <w:numPr>
          <w:ilvl w:val="0"/>
          <w:numId w:val="21"/>
        </w:numPr>
        <w:spacing w:after="160" w:line="288" w:lineRule="auto"/>
        <w:ind w:left="-57" w:right="-567" w:hanging="720"/>
        <w:rPr>
          <w:rFonts w:ascii="Tahoma" w:eastAsiaTheme="minorHAnsi" w:hAnsi="Tahoma" w:cs="Tahoma"/>
          <w:sz w:val="19"/>
          <w:szCs w:val="19"/>
        </w:rPr>
      </w:pPr>
      <w:r w:rsidRPr="00236CC3">
        <w:rPr>
          <w:rFonts w:ascii="Tahoma" w:eastAsiaTheme="minorHAnsi" w:hAnsi="Tahoma" w:cs="Tahoma"/>
          <w:b/>
          <w:bCs/>
          <w:sz w:val="19"/>
          <w:szCs w:val="19"/>
          <w:rtl/>
        </w:rPr>
        <w:t>קידום תוכניות מתאר כוללניות</w:t>
      </w:r>
      <w:r w:rsidRPr="00236CC3">
        <w:rPr>
          <w:rFonts w:ascii="Tahoma" w:eastAsiaTheme="minorHAnsi" w:hAnsi="Tahoma" w:cs="Tahoma"/>
          <w:sz w:val="19"/>
          <w:szCs w:val="19"/>
          <w:rtl/>
        </w:rPr>
        <w:t xml:space="preserve"> - התוכנית הכוללנית ל</w:t>
      </w:r>
      <w:r w:rsidRPr="00236CC3">
        <w:rPr>
          <w:rFonts w:ascii="Tahoma" w:eastAsiaTheme="minorHAnsi" w:hAnsi="Tahoma" w:cs="Tahoma"/>
          <w:b/>
          <w:bCs/>
          <w:sz w:val="19"/>
          <w:szCs w:val="19"/>
          <w:rtl/>
        </w:rPr>
        <w:t>אום אל-פחם</w:t>
      </w:r>
      <w:r w:rsidRPr="00236CC3">
        <w:rPr>
          <w:rFonts w:ascii="Tahoma" w:eastAsiaTheme="minorHAnsi" w:hAnsi="Tahoma" w:cs="Tahoma"/>
          <w:sz w:val="19"/>
          <w:szCs w:val="19"/>
          <w:rtl/>
        </w:rPr>
        <w:t>, שהוחל בהכנתה בשנת 2016, נועדה לקבוע מסגרת לתכנון המפורט ובכך לאפשר פיתוחה של העיר לטווח ארוך על ידי הוספת כ-23,320 יחידות דיור וכן לסייע במניעת עבירות בנייה.</w:t>
      </w:r>
      <w:r w:rsidRPr="00236CC3">
        <w:rPr>
          <w:rFonts w:ascii="Tahoma" w:eastAsiaTheme="minorHAnsi" w:hAnsi="Tahoma" w:cs="Tahoma"/>
          <w:rtl/>
        </w:rPr>
        <w:t xml:space="preserve"> </w:t>
      </w:r>
      <w:r w:rsidRPr="00236CC3">
        <w:rPr>
          <w:rFonts w:ascii="Tahoma" w:eastAsiaTheme="minorHAnsi" w:hAnsi="Tahoma" w:cs="Tahoma"/>
          <w:sz w:val="19"/>
          <w:szCs w:val="19"/>
          <w:rtl/>
        </w:rPr>
        <w:t>שבע השנים שחלפו ממועד הגשת התוכנית על ידי ועדת ההיגוי הבינמשרדית (עוד בשנת 2016) והעיכוב המתמשך בהליך אישורה שטרם הסתיים גם במועד סיום הביקורת עלולים לפגוע במענה התכנוני הניתן לתושבים;</w:t>
      </w:r>
      <w:r w:rsidRPr="00236CC3">
        <w:rPr>
          <w:rFonts w:ascii="Tahoma" w:eastAsiaTheme="minorHAnsi" w:hAnsi="Tahoma" w:cs="Tahoma"/>
          <w:sz w:val="19"/>
          <w:szCs w:val="19"/>
        </w:rPr>
        <w:t xml:space="preserve"> </w:t>
      </w:r>
      <w:r w:rsidRPr="00236CC3">
        <w:rPr>
          <w:rFonts w:ascii="Tahoma" w:eastAsiaTheme="minorHAnsi" w:hAnsi="Tahoma" w:cs="Tahoma"/>
          <w:sz w:val="19"/>
          <w:szCs w:val="19"/>
          <w:rtl/>
        </w:rPr>
        <w:t>הכנת תוכנית מתאר כוללנית ל</w:t>
      </w:r>
      <w:r w:rsidRPr="00236CC3">
        <w:rPr>
          <w:rFonts w:ascii="Tahoma" w:eastAsiaTheme="minorHAnsi" w:hAnsi="Tahoma" w:cs="Tahoma"/>
          <w:b/>
          <w:bCs/>
          <w:sz w:val="19"/>
          <w:szCs w:val="19"/>
          <w:rtl/>
        </w:rPr>
        <w:t>איעבלין</w:t>
      </w:r>
      <w:r w:rsidRPr="00236CC3">
        <w:rPr>
          <w:rFonts w:ascii="Tahoma" w:eastAsiaTheme="minorHAnsi" w:hAnsi="Tahoma" w:cs="Tahoma"/>
          <w:sz w:val="19"/>
          <w:szCs w:val="19"/>
          <w:rtl/>
        </w:rPr>
        <w:t xml:space="preserve"> החלה עוד בשנת 2017, במעורבות לשכת התכנון המחוזית </w:t>
      </w:r>
      <w:r w:rsidRPr="00236CC3">
        <w:rPr>
          <w:rFonts w:ascii="Tahoma" w:eastAsiaTheme="minorHAnsi" w:hAnsi="Tahoma" w:cs="Tahoma"/>
          <w:b/>
          <w:bCs/>
          <w:sz w:val="19"/>
          <w:szCs w:val="19"/>
          <w:rtl/>
        </w:rPr>
        <w:t>צפון</w:t>
      </w:r>
      <w:r w:rsidRPr="00236CC3">
        <w:rPr>
          <w:rFonts w:ascii="Tahoma" w:eastAsiaTheme="minorHAnsi" w:hAnsi="Tahoma" w:cs="Tahoma"/>
          <w:sz w:val="19"/>
          <w:szCs w:val="19"/>
          <w:rtl/>
        </w:rPr>
        <w:t xml:space="preserve"> ונציגי משרדי ממשלה שונים, אך טרם הגיעה לידי הפקדה נכון למועד סיום הביקורת. בשל עמדת המועצה המקומית </w:t>
      </w:r>
      <w:r w:rsidRPr="00236CC3">
        <w:rPr>
          <w:rFonts w:ascii="Tahoma" w:eastAsiaTheme="minorHAnsi" w:hAnsi="Tahoma" w:cs="Tahoma"/>
          <w:b/>
          <w:bCs/>
          <w:sz w:val="19"/>
          <w:szCs w:val="19"/>
          <w:rtl/>
        </w:rPr>
        <w:t>איעבלין</w:t>
      </w:r>
      <w:r w:rsidRPr="00236CC3">
        <w:rPr>
          <w:rFonts w:ascii="Tahoma" w:eastAsiaTheme="minorHAnsi" w:hAnsi="Tahoma" w:cs="Tahoma"/>
          <w:sz w:val="19"/>
          <w:szCs w:val="19"/>
          <w:rtl/>
        </w:rPr>
        <w:t xml:space="preserve"> מאוגוסט 2023 למשוך את התוכנית, קיים חשש כי הליך קידומה ייפסק באיבו, דבר העלול לפגוע בהתפתחות היישוב ולהביא לבזבוז המשאבים שהושקעו בהכנתה. </w:t>
      </w:r>
    </w:p>
    <w:p w14:paraId="34D190AF" w14:textId="77777777" w:rsidR="00236CC3" w:rsidRPr="00236CC3" w:rsidRDefault="00000000" w:rsidP="00236CC3">
      <w:pPr>
        <w:numPr>
          <w:ilvl w:val="0"/>
          <w:numId w:val="21"/>
        </w:numPr>
        <w:spacing w:after="160" w:line="288" w:lineRule="auto"/>
        <w:ind w:left="-57" w:right="-567" w:hanging="720"/>
        <w:rPr>
          <w:rFonts w:ascii="Tahoma" w:eastAsiaTheme="minorHAnsi" w:hAnsi="Tahoma" w:cs="Tahoma"/>
          <w:sz w:val="19"/>
          <w:szCs w:val="19"/>
        </w:rPr>
      </w:pPr>
      <w:r w:rsidRPr="00236CC3">
        <w:rPr>
          <w:rFonts w:ascii="Tahoma" w:eastAsiaTheme="minorHAnsi" w:hAnsi="Tahoma" w:cs="Tahoma"/>
          <w:b/>
          <w:bCs/>
          <w:sz w:val="19"/>
          <w:szCs w:val="19"/>
          <w:rtl/>
        </w:rPr>
        <w:t>קידום תוכניות איחוד וחלוקה ברשויות המקומיות</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שנבדקו -</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אום אל-פחם</w:t>
      </w:r>
      <w:r w:rsidRPr="00236CC3">
        <w:rPr>
          <w:rFonts w:ascii="Tahoma" w:eastAsiaTheme="minorHAnsi" w:hAnsi="Tahoma" w:cs="Tahoma"/>
          <w:sz w:val="19"/>
          <w:szCs w:val="19"/>
          <w:rtl/>
        </w:rPr>
        <w:t xml:space="preserve"> - לגבי שישה מתוך 12 (50%) מהמתחמים ב</w:t>
      </w:r>
      <w:r w:rsidRPr="00236CC3">
        <w:rPr>
          <w:rFonts w:ascii="Tahoma" w:eastAsiaTheme="minorHAnsi" w:hAnsi="Tahoma" w:cs="Tahoma"/>
          <w:b/>
          <w:bCs/>
          <w:sz w:val="19"/>
          <w:szCs w:val="19"/>
          <w:rtl/>
        </w:rPr>
        <w:t xml:space="preserve">אום אל-פחם </w:t>
      </w:r>
      <w:r w:rsidRPr="00236CC3">
        <w:rPr>
          <w:rFonts w:ascii="Tahoma" w:eastAsiaTheme="minorHAnsi" w:hAnsi="Tahoma" w:cs="Tahoma"/>
          <w:sz w:val="19"/>
          <w:szCs w:val="19"/>
          <w:rtl/>
        </w:rPr>
        <w:t xml:space="preserve">הכלולים בתוכניות מפורטות אשר אושרו לפני יותר מעשור ושבתוכם ניתן לבנות אלפי יחידות דיור, טרם הוחל בהכנת תוכניות איחוד וחלוקה שהן תנאי להוצאת היתרי בנייה. הדבר מונע הוצאת היתרי בנייה במתחמים אלה, וממילא מונע מהתושבים לממש את פוטנציאל הבנייה הקיים בתוכניות המפורטות כחוק; </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 בתשעה מתחמים ששטחם נע בין 17 דונם ל-92 דונם, בהם קיים פוטנציאל לבניית כ-1,560 יחידות דיור לפי תוכניות שאושרו במהלך 6 עד 28 השנים שקדמו למועד סיום הביקורת, לא הושלמו הליכי האיחוד והחלוקה, שנקבעו בכל אחת מהן. הדבר מונע הוצאת היתרי בנייה וממילא מונע מהתושבים לממש את פוטנציאל הבנייה הקיים בהן ; </w:t>
      </w:r>
      <w:r w:rsidRPr="00236CC3">
        <w:rPr>
          <w:rFonts w:ascii="Tahoma" w:eastAsiaTheme="minorHAnsi" w:hAnsi="Tahoma" w:cs="Tahoma"/>
          <w:b/>
          <w:bCs/>
          <w:sz w:val="19"/>
          <w:szCs w:val="19"/>
          <w:rtl/>
        </w:rPr>
        <w:t xml:space="preserve">ירכא </w:t>
      </w:r>
      <w:r w:rsidRPr="00236CC3">
        <w:rPr>
          <w:rFonts w:ascii="Tahoma" w:eastAsiaTheme="minorHAnsi" w:hAnsi="Tahoma" w:cs="Tahoma"/>
          <w:sz w:val="19"/>
          <w:szCs w:val="19"/>
          <w:rtl/>
        </w:rPr>
        <w:t>- במפגשי שיתוף ציבור שערך מינהל התכנון עם התושבים בחודש נובמבר 2021 לצורך גיבוש התכנון הסופי</w:t>
      </w:r>
      <w:r w:rsidRPr="00236CC3">
        <w:rPr>
          <w:rFonts w:ascii="Tahoma" w:eastAsiaTheme="minorHAnsi" w:hAnsi="Tahoma" w:cs="Tahoma"/>
          <w:rtl/>
        </w:rPr>
        <w:t xml:space="preserve"> </w:t>
      </w:r>
      <w:r w:rsidRPr="00236CC3">
        <w:rPr>
          <w:rFonts w:ascii="Tahoma" w:eastAsiaTheme="minorHAnsi" w:hAnsi="Tahoma" w:cs="Tahoma"/>
          <w:sz w:val="19"/>
          <w:szCs w:val="19"/>
          <w:rtl/>
        </w:rPr>
        <w:t>של שכונת אל-רוג'ב, המיועד להקמת כ-950 יחידות דיור, עלו סוגיות המעכבות את קידום התכנון ובהם: היעדר אפשרות להפרשת קרקעות בשל בנייה ללא היתר הקיימת בשכונה המתוכננת, התנגדויות של חלק מבעלי הקרקע לתוכנית איחוד וחלוקה והתנגדויות לשיעור הפרשות הקרקע לצורכי ציבור.</w:t>
      </w:r>
    </w:p>
    <w:p w14:paraId="66A855C6" w14:textId="77777777" w:rsidR="00236CC3" w:rsidRPr="00236CC3" w:rsidRDefault="00000000" w:rsidP="00236CC3">
      <w:pPr>
        <w:numPr>
          <w:ilvl w:val="0"/>
          <w:numId w:val="21"/>
        </w:numPr>
        <w:spacing w:after="160" w:line="288" w:lineRule="auto"/>
        <w:ind w:left="-57" w:right="-567" w:hanging="720"/>
        <w:rPr>
          <w:rFonts w:ascii="Tahoma" w:eastAsiaTheme="minorHAnsi" w:hAnsi="Tahoma" w:cs="Tahoma"/>
          <w:sz w:val="19"/>
          <w:szCs w:val="19"/>
        </w:rPr>
      </w:pPr>
      <w:r w:rsidRPr="00236CC3">
        <w:rPr>
          <w:rFonts w:ascii="Tahoma" w:eastAsiaTheme="minorHAnsi" w:hAnsi="Tahoma" w:cs="Tahoma"/>
          <w:b/>
          <w:bCs/>
          <w:sz w:val="19"/>
          <w:szCs w:val="19"/>
          <w:rtl/>
        </w:rPr>
        <w:t>בנייה ללא היתר</w:t>
      </w:r>
      <w:r w:rsidRPr="00236CC3">
        <w:rPr>
          <w:rFonts w:ascii="Tahoma" w:eastAsiaTheme="minorHAnsi" w:hAnsi="Tahoma" w:cs="Tahoma"/>
          <w:sz w:val="19"/>
          <w:szCs w:val="19"/>
          <w:rtl/>
        </w:rPr>
        <w:t xml:space="preserve"> - </w:t>
      </w:r>
      <w:bookmarkStart w:id="100" w:name="_Hlk160015651"/>
      <w:r w:rsidRPr="00236CC3">
        <w:rPr>
          <w:rFonts w:ascii="Tahoma" w:eastAsiaTheme="minorHAnsi" w:hAnsi="Tahoma" w:cs="Tahoma"/>
          <w:sz w:val="19"/>
          <w:szCs w:val="19"/>
          <w:rtl/>
        </w:rPr>
        <w:t xml:space="preserve">ברשויות המקומיות </w:t>
      </w:r>
      <w:r w:rsidRPr="00236CC3">
        <w:rPr>
          <w:rFonts w:ascii="Tahoma" w:eastAsiaTheme="minorHAnsi" w:hAnsi="Tahoma" w:cs="Tahoma"/>
          <w:b/>
          <w:bCs/>
          <w:sz w:val="19"/>
          <w:szCs w:val="19"/>
          <w:rtl/>
        </w:rPr>
        <w:t>אום אל-פחם</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איעבלין</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ירכא</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ובוועדות המקומיות לתכנון ולבנייה </w:t>
      </w:r>
      <w:r w:rsidRPr="00236CC3">
        <w:rPr>
          <w:rFonts w:ascii="Tahoma" w:eastAsiaTheme="minorHAnsi" w:hAnsi="Tahoma" w:cs="Tahoma"/>
          <w:b/>
          <w:bCs/>
          <w:sz w:val="19"/>
          <w:szCs w:val="19"/>
          <w:rtl/>
        </w:rPr>
        <w:t>גבעות אלונים</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גליל מרכזי</w:t>
      </w:r>
      <w:r w:rsidRPr="00236CC3">
        <w:rPr>
          <w:rFonts w:ascii="Tahoma" w:eastAsiaTheme="minorHAnsi" w:hAnsi="Tahoma" w:cs="Tahoma"/>
          <w:sz w:val="19"/>
          <w:szCs w:val="19"/>
          <w:rtl/>
        </w:rPr>
        <w:t xml:space="preserve"> ו</w:t>
      </w:r>
      <w:r w:rsidRPr="00236CC3">
        <w:rPr>
          <w:rFonts w:ascii="Tahoma" w:eastAsiaTheme="minorHAnsi" w:hAnsi="Tahoma" w:cs="Tahoma"/>
          <w:b/>
          <w:bCs/>
          <w:sz w:val="19"/>
          <w:szCs w:val="19"/>
          <w:rtl/>
        </w:rPr>
        <w:t>עירון</w:t>
      </w:r>
      <w:r w:rsidRPr="00236CC3">
        <w:rPr>
          <w:rFonts w:ascii="Tahoma" w:eastAsiaTheme="minorHAnsi" w:hAnsi="Tahoma" w:cs="Tahoma"/>
          <w:sz w:val="19"/>
          <w:szCs w:val="19"/>
          <w:rtl/>
        </w:rPr>
        <w:t xml:space="preserve"> </w:t>
      </w:r>
      <w:bookmarkEnd w:id="100"/>
      <w:r w:rsidRPr="00236CC3">
        <w:rPr>
          <w:rFonts w:ascii="Tahoma" w:eastAsiaTheme="minorHAnsi" w:hAnsi="Tahoma" w:cs="Tahoma"/>
          <w:sz w:val="19"/>
          <w:szCs w:val="19"/>
          <w:rtl/>
        </w:rPr>
        <w:t>לא היה מידע על מספרם של המבנים שנבנו ללא היתר בתחומן של ארבע הרשויות, והן לא פעלו מספיק לאיתור, לאכיפה ולמניעת הבנייה ללא היתר; אחת המטרות של שתי תוכניות מפורטות ב</w:t>
      </w:r>
      <w:r w:rsidRPr="00236CC3">
        <w:rPr>
          <w:rFonts w:ascii="Tahoma" w:eastAsiaTheme="minorHAnsi" w:hAnsi="Tahoma" w:cs="Tahoma"/>
          <w:b/>
          <w:bCs/>
          <w:sz w:val="19"/>
          <w:szCs w:val="19"/>
          <w:rtl/>
        </w:rPr>
        <w:t xml:space="preserve">אום אל-פחם, </w:t>
      </w:r>
      <w:r w:rsidRPr="00236CC3">
        <w:rPr>
          <w:rFonts w:ascii="Tahoma" w:eastAsiaTheme="minorHAnsi" w:hAnsi="Tahoma" w:cs="Tahoma"/>
          <w:sz w:val="19"/>
          <w:szCs w:val="19"/>
          <w:rtl/>
        </w:rPr>
        <w:t>המקודמות במוסדות התכנון</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וטרם אושרו,</w:t>
      </w:r>
      <w:r w:rsidRPr="00236CC3">
        <w:rPr>
          <w:rFonts w:ascii="Tahoma" w:eastAsiaTheme="minorHAnsi" w:hAnsi="Tahoma" w:cs="Tahoma"/>
          <w:b/>
          <w:bCs/>
          <w:sz w:val="19"/>
          <w:szCs w:val="19"/>
          <w:rtl/>
        </w:rPr>
        <w:t xml:space="preserve"> </w:t>
      </w:r>
      <w:r w:rsidRPr="00236CC3">
        <w:rPr>
          <w:rFonts w:ascii="Tahoma" w:eastAsiaTheme="minorHAnsi" w:hAnsi="Tahoma" w:cs="Tahoma"/>
          <w:sz w:val="19"/>
          <w:szCs w:val="19"/>
          <w:rtl/>
        </w:rPr>
        <w:t>הייתה הסדרת הבנייה הקיימת ללא היתר. כך למשל: תמ"ל 1077 ב</w:t>
      </w:r>
      <w:r w:rsidRPr="00236CC3">
        <w:rPr>
          <w:rFonts w:ascii="Tahoma" w:eastAsiaTheme="minorHAnsi" w:hAnsi="Tahoma" w:cs="Tahoma"/>
          <w:b/>
          <w:bCs/>
          <w:sz w:val="19"/>
          <w:szCs w:val="19"/>
          <w:rtl/>
        </w:rPr>
        <w:t xml:space="preserve">אום אל-פחם, </w:t>
      </w:r>
      <w:r w:rsidRPr="00236CC3">
        <w:rPr>
          <w:rFonts w:ascii="Tahoma" w:eastAsiaTheme="minorHAnsi" w:hAnsi="Tahoma" w:cs="Tahoma"/>
          <w:sz w:val="19"/>
          <w:szCs w:val="19"/>
          <w:rtl/>
        </w:rPr>
        <w:t>מסדירה את הבנייה ללא היתר בשכונות עין ג'ראר ואל-עראייש שבהן נבנו כ-3,000 מבנים ללא היתר, רובם על קרקע חקלאית, ושכונת אלעיון סוויסה מסדירה כ-600 מבנים קיימים ללא היתר; משנת 2018, מועד התחלת תכנון שכונת אל-רוג'ב</w:t>
      </w:r>
      <w:r w:rsidRPr="00236CC3">
        <w:rPr>
          <w:rFonts w:ascii="Tahoma" w:eastAsiaTheme="minorHAnsi" w:hAnsi="Tahoma" w:cs="Tahoma"/>
          <w:sz w:val="19"/>
          <w:szCs w:val="19"/>
        </w:rPr>
        <w:t xml:space="preserve"> </w:t>
      </w:r>
      <w:r w:rsidRPr="00236CC3">
        <w:rPr>
          <w:rFonts w:ascii="Tahoma" w:eastAsiaTheme="minorHAnsi" w:hAnsi="Tahoma" w:cs="Tahoma"/>
          <w:sz w:val="19"/>
          <w:szCs w:val="19"/>
          <w:rtl/>
        </w:rPr>
        <w:t>ב</w:t>
      </w:r>
      <w:r w:rsidRPr="00236CC3">
        <w:rPr>
          <w:rFonts w:ascii="Tahoma" w:eastAsiaTheme="minorHAnsi" w:hAnsi="Tahoma" w:cs="Tahoma"/>
          <w:b/>
          <w:bCs/>
          <w:sz w:val="19"/>
          <w:szCs w:val="19"/>
          <w:rtl/>
        </w:rPr>
        <w:t xml:space="preserve">ירכא </w:t>
      </w:r>
      <w:r w:rsidRPr="00236CC3">
        <w:rPr>
          <w:rFonts w:ascii="Tahoma" w:eastAsiaTheme="minorHAnsi" w:hAnsi="Tahoma" w:cs="Tahoma"/>
          <w:sz w:val="19"/>
          <w:szCs w:val="19"/>
          <w:rtl/>
        </w:rPr>
        <w:t>שהייתה רוויה בבנייה ללא היתר</w:t>
      </w:r>
      <w:r w:rsidRPr="00236CC3">
        <w:rPr>
          <w:rFonts w:ascii="Tahoma" w:eastAsiaTheme="minorHAnsi" w:hAnsi="Tahoma" w:cs="Tahoma"/>
          <w:rtl/>
        </w:rPr>
        <w:t xml:space="preserve"> </w:t>
      </w:r>
      <w:r w:rsidRPr="00236CC3">
        <w:rPr>
          <w:rFonts w:ascii="Tahoma" w:eastAsiaTheme="minorHAnsi" w:hAnsi="Tahoma" w:cs="Tahoma"/>
          <w:sz w:val="19"/>
          <w:szCs w:val="19"/>
          <w:rtl/>
        </w:rPr>
        <w:t>נוספה בנייה חדשה ללא היתר, המסכלת את התכנון ופוגעת בסיכויים לסיימו ולאשר את התוכנית של השכונה.</w:t>
      </w:r>
    </w:p>
    <w:p w14:paraId="62EF82B7" w14:textId="77777777" w:rsidR="00236CC3" w:rsidRPr="00236CC3" w:rsidRDefault="00000000" w:rsidP="00236CC3">
      <w:pPr>
        <w:numPr>
          <w:ilvl w:val="0"/>
          <w:numId w:val="21"/>
        </w:numPr>
        <w:spacing w:after="160" w:line="288" w:lineRule="auto"/>
        <w:ind w:left="-57" w:right="-567" w:hanging="720"/>
        <w:rPr>
          <w:rFonts w:ascii="Tahoma" w:eastAsiaTheme="minorHAnsi" w:hAnsi="Tahoma" w:cs="Tahoma"/>
          <w:sz w:val="19"/>
          <w:szCs w:val="19"/>
        </w:rPr>
      </w:pPr>
      <w:r w:rsidRPr="00236CC3">
        <w:rPr>
          <w:rFonts w:ascii="Tahoma" w:eastAsiaTheme="minorHAnsi" w:hAnsi="Tahoma" w:cs="Tahoma"/>
          <w:b/>
          <w:bCs/>
          <w:sz w:val="19"/>
          <w:szCs w:val="19"/>
          <w:rtl/>
        </w:rPr>
        <w:t>עיכובים בקידום פתרון קצה לביוב</w:t>
      </w:r>
      <w:r w:rsidRPr="00236CC3">
        <w:rPr>
          <w:rFonts w:ascii="Tahoma" w:eastAsiaTheme="minorHAnsi" w:hAnsi="Tahoma" w:cs="Tahoma"/>
          <w:sz w:val="19"/>
          <w:szCs w:val="19"/>
          <w:rtl/>
        </w:rPr>
        <w:t xml:space="preserve"> - לשם קידום תוכניות בנייה חדשות ב</w:t>
      </w:r>
      <w:r w:rsidRPr="00236CC3">
        <w:rPr>
          <w:rFonts w:ascii="Tahoma" w:eastAsiaTheme="minorHAnsi" w:hAnsi="Tahoma" w:cs="Tahoma"/>
          <w:b/>
          <w:bCs/>
          <w:sz w:val="19"/>
          <w:szCs w:val="19"/>
          <w:rtl/>
        </w:rPr>
        <w:t xml:space="preserve">איעבלין </w:t>
      </w:r>
      <w:r w:rsidRPr="00236CC3">
        <w:rPr>
          <w:rFonts w:ascii="Tahoma" w:eastAsiaTheme="minorHAnsi" w:hAnsi="Tahoma" w:cs="Tahoma"/>
          <w:sz w:val="19"/>
          <w:szCs w:val="19"/>
          <w:rtl/>
        </w:rPr>
        <w:t>וב</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הוחל לפני למעלה מעשור, בשנת 2011, בביצוע קו ביוב חדש לעיר </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אשר אמור להתחבר למט"ש חיפה. הקו נועד לשרת את </w:t>
      </w:r>
      <w:r w:rsidRPr="00236CC3">
        <w:rPr>
          <w:rFonts w:ascii="Tahoma" w:eastAsiaTheme="minorHAnsi" w:hAnsi="Tahoma" w:cs="Tahoma"/>
          <w:b/>
          <w:bCs/>
          <w:sz w:val="19"/>
          <w:szCs w:val="19"/>
          <w:rtl/>
        </w:rPr>
        <w:t xml:space="preserve">איעבלין </w:t>
      </w:r>
      <w:r w:rsidRPr="00236CC3">
        <w:rPr>
          <w:rFonts w:ascii="Tahoma" w:eastAsiaTheme="minorHAnsi" w:hAnsi="Tahoma" w:cs="Tahoma"/>
          <w:sz w:val="19"/>
          <w:szCs w:val="19"/>
          <w:rtl/>
        </w:rPr>
        <w:t xml:space="preserve">ואת </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והוא מתוכנן להחליף את הקו הקיים כיום. עד למועד סיום הביקורת, טרם הושלם פתרון הקצה לביוב למרות המאמצים הרבים שהושקעו בו, לרבות הסדרתו הסטטוטורית במסגרת מספר תוכניות. זאת בעיקר עקב חוסר נכונות של הוועדה המקומית לתכנון ולבנייה </w:t>
      </w:r>
      <w:r w:rsidRPr="00236CC3">
        <w:rPr>
          <w:rFonts w:ascii="Tahoma" w:eastAsiaTheme="minorHAnsi" w:hAnsi="Tahoma" w:cs="Tahoma"/>
          <w:b/>
          <w:bCs/>
          <w:sz w:val="19"/>
          <w:szCs w:val="19"/>
          <w:rtl/>
        </w:rPr>
        <w:t>קריית אתא</w:t>
      </w:r>
      <w:r w:rsidRPr="00236CC3">
        <w:rPr>
          <w:rFonts w:ascii="Tahoma" w:eastAsiaTheme="minorHAnsi" w:hAnsi="Tahoma" w:cs="Tahoma"/>
          <w:sz w:val="19"/>
          <w:szCs w:val="19"/>
          <w:rtl/>
        </w:rPr>
        <w:t xml:space="preserve"> לקדם הוצאת היתרים להקמת תחנת השאיבה הראשית ולהעברת חלק מקווי ההולכה בתחומה בהתאם לתוכניות מאושרות. כך, בניגוד להנחיית הוועדה המחוזית לתכנון ולבנייה מחוז </w:t>
      </w:r>
      <w:r w:rsidRPr="00236CC3">
        <w:rPr>
          <w:rFonts w:ascii="Tahoma" w:eastAsiaTheme="minorHAnsi" w:hAnsi="Tahoma" w:cs="Tahoma"/>
          <w:b/>
          <w:bCs/>
          <w:sz w:val="19"/>
          <w:szCs w:val="19"/>
          <w:rtl/>
        </w:rPr>
        <w:t>חיפה</w:t>
      </w:r>
      <w:r w:rsidRPr="00236CC3">
        <w:rPr>
          <w:rFonts w:ascii="Tahoma" w:eastAsiaTheme="minorHAnsi" w:hAnsi="Tahoma" w:cs="Tahoma"/>
          <w:sz w:val="19"/>
          <w:szCs w:val="19"/>
          <w:rtl/>
        </w:rPr>
        <w:t xml:space="preserve"> משנת 2011 למוסדות התכנון שבתחומה להחיש את ההליכים להקמת קו הביוב החדש של </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ואיעבלין</w:t>
      </w:r>
      <w:r w:rsidRPr="00236CC3">
        <w:rPr>
          <w:rFonts w:ascii="Tahoma" w:eastAsiaTheme="minorHAnsi" w:hAnsi="Tahoma" w:cs="Tahoma"/>
          <w:sz w:val="19"/>
          <w:szCs w:val="19"/>
          <w:rtl/>
        </w:rPr>
        <w:t xml:space="preserve"> נוכח חשיבותו הציבורית הרבה, ההליכים בוועדה המקומית </w:t>
      </w:r>
      <w:r w:rsidRPr="00236CC3">
        <w:rPr>
          <w:rFonts w:ascii="Tahoma" w:eastAsiaTheme="minorHAnsi" w:hAnsi="Tahoma" w:cs="Tahoma"/>
          <w:b/>
          <w:bCs/>
          <w:sz w:val="19"/>
          <w:szCs w:val="19"/>
          <w:rtl/>
        </w:rPr>
        <w:t>קריית אתא</w:t>
      </w:r>
      <w:r w:rsidRPr="00236CC3">
        <w:rPr>
          <w:rFonts w:ascii="Tahoma" w:eastAsiaTheme="minorHAnsi" w:hAnsi="Tahoma" w:cs="Tahoma"/>
          <w:sz w:val="19"/>
          <w:szCs w:val="19"/>
          <w:rtl/>
        </w:rPr>
        <w:t xml:space="preserve"> מתארכים זה שבע שנים, במהלכן היא הערימה קשיים שלא לצורך במקום להשקיע מאמץ כדי להביאם לסיומם. התנהלות זו של הוועדה המקומית עומדת בניגוד לחובתה הציבורית לפעול בנאמנות ובהגינות, פוגעת בקידום פתרון מצוקת הדיור ב</w:t>
      </w:r>
      <w:r w:rsidRPr="00236CC3">
        <w:rPr>
          <w:rFonts w:ascii="Tahoma" w:eastAsiaTheme="minorHAnsi" w:hAnsi="Tahoma" w:cs="Tahoma"/>
          <w:b/>
          <w:bCs/>
          <w:sz w:val="19"/>
          <w:szCs w:val="19"/>
          <w:rtl/>
        </w:rPr>
        <w:t>שפרעם</w:t>
      </w:r>
      <w:r w:rsidRPr="00236CC3">
        <w:rPr>
          <w:rFonts w:ascii="Tahoma" w:eastAsiaTheme="minorHAnsi" w:hAnsi="Tahoma" w:cs="Tahoma"/>
          <w:sz w:val="19"/>
          <w:szCs w:val="19"/>
          <w:rtl/>
        </w:rPr>
        <w:t xml:space="preserve"> ויוצרת סיכון ממשי למפגע תברואתי ביישובים בסביבה.</w:t>
      </w:r>
    </w:p>
    <w:p w14:paraId="19769501" w14:textId="77777777" w:rsidR="00236CC3" w:rsidRPr="00236CC3" w:rsidRDefault="00000000" w:rsidP="00236CC3">
      <w:pPr>
        <w:numPr>
          <w:ilvl w:val="0"/>
          <w:numId w:val="21"/>
        </w:numPr>
        <w:spacing w:line="288" w:lineRule="auto"/>
        <w:ind w:left="-59" w:right="-567" w:hanging="720"/>
        <w:rPr>
          <w:rFonts w:ascii="Tahoma" w:eastAsiaTheme="minorHAnsi" w:hAnsi="Tahoma" w:cs="Tahoma"/>
          <w:sz w:val="19"/>
          <w:szCs w:val="19"/>
        </w:rPr>
      </w:pPr>
      <w:r w:rsidRPr="00236CC3">
        <w:rPr>
          <w:rFonts w:ascii="Tahoma" w:eastAsiaTheme="minorHAnsi" w:hAnsi="Tahoma" w:cs="Tahoma"/>
          <w:b/>
          <w:bCs/>
          <w:sz w:val="19"/>
          <w:szCs w:val="19"/>
          <w:rtl/>
        </w:rPr>
        <w:t>קידום התכנון המפורט בידי משרד השיכון במועצה המקומית</w:t>
      </w:r>
      <w:r w:rsidRPr="00236CC3">
        <w:rPr>
          <w:rFonts w:ascii="Tahoma" w:eastAsiaTheme="minorHAnsi" w:hAnsi="Tahoma" w:cs="Tahoma"/>
          <w:sz w:val="19"/>
          <w:szCs w:val="19"/>
          <w:rtl/>
        </w:rPr>
        <w:t xml:space="preserve"> </w:t>
      </w:r>
      <w:r w:rsidRPr="00236CC3">
        <w:rPr>
          <w:rFonts w:ascii="Tahoma" w:eastAsiaTheme="minorHAnsi" w:hAnsi="Tahoma" w:cs="Tahoma"/>
          <w:b/>
          <w:bCs/>
          <w:sz w:val="19"/>
          <w:szCs w:val="19"/>
          <w:rtl/>
        </w:rPr>
        <w:t>ירכא</w:t>
      </w:r>
      <w:r w:rsidRPr="00236CC3">
        <w:rPr>
          <w:rFonts w:ascii="Tahoma" w:eastAsiaTheme="minorHAnsi" w:hAnsi="Tahoma" w:cs="Tahoma"/>
          <w:sz w:val="19"/>
          <w:szCs w:val="19"/>
          <w:rtl/>
        </w:rPr>
        <w:t xml:space="preserve"> - משרד השיכון, מלווה ומתקצב את התכנון של שבעה מתחמים בתחום המועצה המקומית </w:t>
      </w:r>
      <w:r w:rsidRPr="00236CC3">
        <w:rPr>
          <w:rFonts w:ascii="Tahoma" w:eastAsiaTheme="minorHAnsi" w:hAnsi="Tahoma" w:cs="Tahoma"/>
          <w:b/>
          <w:bCs/>
          <w:sz w:val="19"/>
          <w:szCs w:val="19"/>
          <w:rtl/>
        </w:rPr>
        <w:t>ירכא</w:t>
      </w:r>
      <w:r w:rsidRPr="00236CC3">
        <w:rPr>
          <w:rFonts w:ascii="Tahoma" w:eastAsiaTheme="minorHAnsi" w:hAnsi="Tahoma" w:cs="Tahoma"/>
          <w:sz w:val="19"/>
          <w:szCs w:val="19"/>
          <w:rtl/>
        </w:rPr>
        <w:t xml:space="preserve">. מחוז הצפון במשרד השיכון, המוביל את התכנון ביישובי הצפון לרבות במועצה המקומית </w:t>
      </w:r>
      <w:r w:rsidRPr="00236CC3">
        <w:rPr>
          <w:rFonts w:ascii="Tahoma" w:eastAsiaTheme="minorHAnsi" w:hAnsi="Tahoma" w:cs="Tahoma"/>
          <w:b/>
          <w:bCs/>
          <w:sz w:val="19"/>
          <w:szCs w:val="19"/>
          <w:rtl/>
        </w:rPr>
        <w:t>ירכא</w:t>
      </w:r>
      <w:r w:rsidRPr="00236CC3">
        <w:rPr>
          <w:rFonts w:ascii="Tahoma" w:eastAsiaTheme="minorHAnsi" w:hAnsi="Tahoma" w:cs="Tahoma"/>
          <w:sz w:val="19"/>
          <w:szCs w:val="19"/>
          <w:rtl/>
        </w:rPr>
        <w:t>, לא מינה חברת ניהול שתסייע בקידום התכנון במתחמים שהוא מלווה במועצה, וקידום התכנון המפורט בחמישה מתוך שבעה מתחמים שהוא מלווה כבר יותר משלוש שנים לא התקדם במוסדות התכנון לצורך קליטתם במערכות מינהל התכנון.</w:t>
      </w:r>
    </w:p>
    <w:p w14:paraId="753EF7C4" w14:textId="77777777" w:rsidR="00236CC3" w:rsidRPr="00236CC3" w:rsidRDefault="00000000" w:rsidP="00236CC3">
      <w:pPr>
        <w:numPr>
          <w:ilvl w:val="0"/>
          <w:numId w:val="21"/>
        </w:numPr>
        <w:spacing w:line="288" w:lineRule="auto"/>
        <w:ind w:left="-59" w:right="-567" w:hanging="720"/>
        <w:rPr>
          <w:rFonts w:ascii="Tahoma" w:eastAsiaTheme="minorHAnsi" w:hAnsi="Tahoma" w:cs="Tahoma"/>
          <w:sz w:val="19"/>
          <w:szCs w:val="19"/>
        </w:rPr>
      </w:pPr>
      <w:r w:rsidRPr="00236CC3">
        <w:rPr>
          <w:rFonts w:ascii="Tahoma" w:eastAsiaTheme="minorHAnsi" w:hAnsi="Tahoma" w:cs="Tahoma"/>
          <w:b/>
          <w:bCs/>
          <w:sz w:val="19"/>
          <w:szCs w:val="19"/>
          <w:rtl/>
        </w:rPr>
        <w:t xml:space="preserve">קידום תוכניות מועדפות למגורים (תמ"ל) באום אל-פחם </w:t>
      </w:r>
      <w:r w:rsidRPr="00236CC3">
        <w:rPr>
          <w:rFonts w:ascii="Tahoma" w:eastAsiaTheme="minorHAnsi" w:hAnsi="Tahoma" w:cs="Tahoma"/>
          <w:sz w:val="19"/>
          <w:szCs w:val="19"/>
          <w:rtl/>
        </w:rPr>
        <w:t>- במהלך החודשים אפריל ומאי 2022 קיים חוקר שמינתה הוותמ"ל חמש ישיבות שבהן שמע את ההתנגדויות לתמ"ל 1077 ובמרץ 2023 הוא הגיש את המלצותיו, אולם עד מועד סיום הביקורת טרם התקבלה החלטת ועדת המשנה להתנגדויות בעניינן. כך, בעוד חוק הוותמ"ל קובע פרק זמן של 75 ימי עבודה להליך שמיעת ההתנגדויות וההכרעה בהן (כשלושה עד ארבעה חודשים), שלב ההתנגדויות לתמ"ל 1077 נמשך יותר מ-21 חודשים (כ-450 ימי עבודה) ובמועד סיום הביקורת טרם הובא על ידי הוותמ"ל לסיומו; על אף השקעה של כ-3.44 מיליון ש"ח שנוצלו לצורך תכנון שכונת רבין ב</w:t>
      </w:r>
      <w:r w:rsidRPr="00236CC3">
        <w:rPr>
          <w:rFonts w:ascii="Tahoma" w:eastAsiaTheme="minorHAnsi" w:hAnsi="Tahoma" w:cs="Tahoma"/>
          <w:b/>
          <w:bCs/>
          <w:sz w:val="19"/>
          <w:szCs w:val="19"/>
          <w:rtl/>
        </w:rPr>
        <w:t>ירכא</w:t>
      </w:r>
      <w:r w:rsidRPr="00236CC3">
        <w:rPr>
          <w:rFonts w:ascii="Tahoma" w:eastAsiaTheme="minorHAnsi" w:hAnsi="Tahoma" w:cs="Tahoma"/>
          <w:sz w:val="19"/>
          <w:szCs w:val="19"/>
          <w:rtl/>
        </w:rPr>
        <w:t xml:space="preserve">, שנועדה לספק מלאי של 3,800 יחידות דיור כמענה למחוסרי דיור, המועצה המקומית </w:t>
      </w:r>
      <w:r w:rsidRPr="00236CC3">
        <w:rPr>
          <w:rFonts w:ascii="Tahoma" w:eastAsiaTheme="minorHAnsi" w:hAnsi="Tahoma" w:cs="Tahoma"/>
          <w:b/>
          <w:bCs/>
          <w:sz w:val="19"/>
          <w:szCs w:val="19"/>
          <w:rtl/>
        </w:rPr>
        <w:t xml:space="preserve">ירכא </w:t>
      </w:r>
      <w:r w:rsidRPr="00236CC3">
        <w:rPr>
          <w:rFonts w:ascii="Tahoma" w:eastAsiaTheme="minorHAnsi" w:hAnsi="Tahoma" w:cs="Tahoma"/>
          <w:sz w:val="19"/>
          <w:szCs w:val="19"/>
          <w:rtl/>
        </w:rPr>
        <w:t>ומשרד השיכון לא הצליחו במשך כתשע שנים, לקדם את התוכנית שמטרתה הסדרת בנייה ללא היתר שנבנתה במשך השנים בידי בעלי קרקעות פרטיות ובניית יחידות מגורים נוספות שיקלו על מצוקת הדיור ביישוב.</w:t>
      </w:r>
    </w:p>
    <w:p w14:paraId="0BB40115" w14:textId="77777777" w:rsidR="00236CC3" w:rsidRPr="00236CC3" w:rsidRDefault="00236CC3" w:rsidP="00236CC3">
      <w:pPr>
        <w:spacing w:line="288" w:lineRule="auto"/>
        <w:ind w:left="-59"/>
        <w:rPr>
          <w:rFonts w:ascii="Tahoma" w:eastAsiaTheme="minorHAnsi" w:hAnsi="Tahoma" w:cs="Tahoma"/>
          <w:sz w:val="19"/>
          <w:szCs w:val="19"/>
        </w:rPr>
      </w:pPr>
    </w:p>
    <w:p w14:paraId="139A453E" w14:textId="77777777" w:rsidR="00236CC3" w:rsidRPr="00236CC3" w:rsidRDefault="00000000" w:rsidP="00236CC3">
      <w:pPr>
        <w:spacing w:after="160" w:line="288" w:lineRule="auto"/>
        <w:ind w:left="-284" w:right="-567" w:hanging="454"/>
        <w:rPr>
          <w:rFonts w:ascii="Tahoma" w:eastAsiaTheme="minorHAnsi" w:hAnsi="Tahoma" w:cs="Tahoma"/>
          <w:sz w:val="19"/>
          <w:szCs w:val="19"/>
          <w:rtl/>
        </w:rPr>
      </w:pPr>
      <w:r w:rsidRPr="00236CC3">
        <w:rPr>
          <w:rFonts w:ascii="Tahoma" w:eastAsiaTheme="minorHAnsi" w:hAnsi="Tahoma" w:cs="Tahoma"/>
          <w:noProof/>
          <w:sz w:val="19"/>
          <w:szCs w:val="19"/>
          <w:rtl/>
        </w:rPr>
        <w:drawing>
          <wp:inline distT="0" distB="0" distL="0" distR="0" wp14:anchorId="21EDF23E" wp14:editId="40730AFE">
            <wp:extent cx="2710450" cy="207831"/>
            <wp:effectExtent l="0" t="0" r="0" b="1905"/>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205F215C" w14:textId="77777777" w:rsidR="00236CC3" w:rsidRPr="00236CC3" w:rsidRDefault="00000000" w:rsidP="00236CC3">
      <w:pPr>
        <w:spacing w:line="288" w:lineRule="auto"/>
        <w:ind w:left="-1" w:right="-567"/>
        <w:rPr>
          <w:rFonts w:ascii="Tahoma" w:eastAsiaTheme="minorHAnsi" w:hAnsi="Tahoma" w:cs="Tahoma"/>
          <w:sz w:val="19"/>
          <w:szCs w:val="19"/>
          <w:rtl/>
        </w:rPr>
      </w:pPr>
      <w:r w:rsidRPr="00236CC3">
        <w:rPr>
          <w:rFonts w:ascii="Tahoma" w:eastAsiaTheme="minorHAnsi" w:hAnsi="Tahoma" w:cs="Tahoma"/>
          <w:b/>
          <w:bCs/>
          <w:sz w:val="19"/>
          <w:szCs w:val="19"/>
          <w:rtl/>
        </w:rPr>
        <w:t>מתן הסבר לציבור אודות תכנון הקרקעות הפרטיות באמצעות הליכי איחוד וחלוקה</w:t>
      </w:r>
      <w:r w:rsidRPr="00236CC3">
        <w:rPr>
          <w:rFonts w:ascii="Tahoma" w:eastAsiaTheme="minorHAnsi" w:hAnsi="Tahoma" w:cs="Tahoma"/>
          <w:sz w:val="19"/>
          <w:szCs w:val="19"/>
          <w:rtl/>
        </w:rPr>
        <w:t xml:space="preserve"> - באוגוסט 2021 פרסם מינהל התכנון באתר המרשתת (האינטרנט) שלו, חוברת המפרטת את ההליך להכנת תוכנית איחוד וחלוקה במגזר הלא-יהודי, והיא נשלחה לכל הרשויות המקומיות והוועדות המקומיות לתכנון ולבנייה. במרץ 2023 הכין מינהל התכנון סרטון אנימציה המסביר הן בעברית והן בערבית את חשיבות תכנון הקרקעות הפרטיות באמצעות הליכי איחוד וחלוקה ופרסם אותו במרשתת.</w:t>
      </w:r>
    </w:p>
    <w:p w14:paraId="7C8F84FC" w14:textId="77777777" w:rsidR="00236CC3" w:rsidRPr="00236CC3" w:rsidRDefault="00236CC3" w:rsidP="00236CC3">
      <w:pPr>
        <w:spacing w:line="288" w:lineRule="auto"/>
        <w:ind w:left="-851" w:right="-567"/>
        <w:rPr>
          <w:rFonts w:ascii="Tahoma" w:eastAsiaTheme="minorHAnsi" w:hAnsi="Tahoma" w:cs="Tahoma"/>
          <w:sz w:val="19"/>
          <w:szCs w:val="19"/>
          <w:rtl/>
        </w:rPr>
      </w:pPr>
    </w:p>
    <w:p w14:paraId="28EDAB17" w14:textId="77777777" w:rsidR="00236CC3" w:rsidRPr="00236CC3" w:rsidRDefault="00000000" w:rsidP="00236CC3">
      <w:pPr>
        <w:spacing w:line="288" w:lineRule="auto"/>
        <w:ind w:left="-851" w:right="-567"/>
        <w:rPr>
          <w:rFonts w:ascii="Tahoma" w:eastAsiaTheme="minorHAnsi" w:hAnsi="Tahoma" w:cs="Tahoma"/>
          <w:b/>
          <w:bCs/>
          <w:sz w:val="19"/>
          <w:szCs w:val="19"/>
          <w:rtl/>
        </w:rPr>
      </w:pPr>
      <w:r w:rsidRPr="00236CC3">
        <w:rPr>
          <w:rFonts w:ascii="Tahoma" w:eastAsiaTheme="minorHAnsi" w:hAnsi="Tahoma" w:cs="Tahoma" w:hint="cs"/>
          <w:b/>
          <w:bCs/>
          <w:sz w:val="19"/>
          <w:szCs w:val="19"/>
          <w:rtl/>
        </w:rPr>
        <w:t>מבקר המדינה מתניהו אנגלמן ק</w:t>
      </w:r>
      <w:r w:rsidRPr="00236CC3">
        <w:rPr>
          <w:rFonts w:ascii="Tahoma" w:eastAsiaTheme="minorHAnsi" w:hAnsi="Tahoma" w:cs="Tahoma" w:hint="eastAsia"/>
          <w:b/>
          <w:bCs/>
          <w:sz w:val="19"/>
          <w:szCs w:val="19"/>
          <w:highlight w:val="yellow"/>
          <w:rtl/>
        </w:rPr>
        <w:t>ו</w:t>
      </w:r>
      <w:r w:rsidRPr="00236CC3">
        <w:rPr>
          <w:rFonts w:ascii="Tahoma" w:eastAsiaTheme="minorHAnsi" w:hAnsi="Tahoma" w:cs="Tahoma" w:hint="cs"/>
          <w:b/>
          <w:bCs/>
          <w:sz w:val="19"/>
          <w:szCs w:val="19"/>
          <w:rtl/>
        </w:rPr>
        <w:t>בע כי</w:t>
      </w:r>
      <w:r w:rsidRPr="00236CC3">
        <w:rPr>
          <w:rFonts w:ascii="Tahoma" w:eastAsiaTheme="minorHAnsi" w:hAnsi="Tahoma" w:cs="Tahoma"/>
          <w:b/>
          <w:bCs/>
          <w:sz w:val="19"/>
          <w:szCs w:val="19"/>
          <w:rtl/>
        </w:rPr>
        <w:t xml:space="preserve"> על שר הפנים להנחות את גורמי התכנון הרלוונטיים למצוא פתרונות לקידום התכנון במגזר הלא-יהודי</w:t>
      </w:r>
      <w:r w:rsidRPr="00236CC3">
        <w:rPr>
          <w:rFonts w:ascii="Tahoma" w:eastAsiaTheme="minorHAnsi" w:hAnsi="Tahoma" w:cs="Tahoma"/>
          <w:b/>
          <w:bCs/>
          <w:rtl/>
        </w:rPr>
        <w:t xml:space="preserve">, </w:t>
      </w:r>
      <w:r w:rsidRPr="00236CC3">
        <w:rPr>
          <w:rFonts w:ascii="Tahoma" w:eastAsiaTheme="minorHAnsi" w:hAnsi="Tahoma" w:cs="Tahoma"/>
          <w:b/>
          <w:bCs/>
          <w:sz w:val="19"/>
          <w:szCs w:val="19"/>
          <w:rtl/>
        </w:rPr>
        <w:t>למקד פעילות בנושא חשוב זה, ולבצע בקרה אחר קידום פתרונות הדיור במגזר הלא-יהודי, לצד הגברת האכיפה למניעת בנייה ללא היתר. על מינהל התכנון, משרד השיכון, הרשויות המקומיות והוועדות המקומיות לתכנון ולבנייה לפעול במשותף ולרכז מאמצים למציאת פתרון לחסמים המעכבים את התכנון ביישובי המגזר הלא-יהודי</w:t>
      </w:r>
      <w:r w:rsidRPr="00236CC3">
        <w:rPr>
          <w:rFonts w:ascii="Tahoma" w:eastAsiaTheme="minorHAnsi" w:hAnsi="Tahoma" w:cs="Tahoma"/>
          <w:b/>
          <w:bCs/>
          <w:rtl/>
        </w:rPr>
        <w:t>.</w:t>
      </w:r>
    </w:p>
    <w:p w14:paraId="40C9486E" w14:textId="77777777" w:rsidR="00236CC3" w:rsidRPr="00236CC3" w:rsidRDefault="00236CC3" w:rsidP="00236CC3">
      <w:pPr>
        <w:bidi w:val="0"/>
        <w:spacing w:after="160" w:line="288" w:lineRule="auto"/>
        <w:jc w:val="left"/>
        <w:rPr>
          <w:rFonts w:ascii="Tahoma" w:eastAsiaTheme="minorHAnsi" w:hAnsi="Tahoma" w:cs="Tahoma"/>
          <w:sz w:val="22"/>
          <w:szCs w:val="22"/>
          <w:rtl/>
        </w:rPr>
      </w:pPr>
    </w:p>
    <w:bookmarkEnd w:id="63"/>
    <w:bookmarkEnd w:id="64"/>
    <w:p w14:paraId="04EC6AD9" w14:textId="77777777" w:rsidR="00236CC3" w:rsidRPr="00236CC3" w:rsidRDefault="00236CC3" w:rsidP="00236CC3">
      <w:pPr>
        <w:spacing w:line="288" w:lineRule="auto"/>
        <w:rPr>
          <w:rFonts w:ascii="Tahoma" w:eastAsiaTheme="minorHAnsi" w:hAnsi="Tahoma" w:cs="Tahoma"/>
          <w:rtl/>
        </w:rPr>
      </w:pPr>
    </w:p>
    <w:p w14:paraId="7CCBB3DC" w14:textId="77777777" w:rsidR="00236CC3" w:rsidRPr="00236CC3" w:rsidRDefault="00000000" w:rsidP="00D45993">
      <w:pPr>
        <w:bidi w:val="0"/>
        <w:spacing w:line="240" w:lineRule="auto"/>
        <w:jc w:val="left"/>
        <w:rPr>
          <w:rFonts w:ascii="Tahoma" w:eastAsiaTheme="minorHAnsi" w:hAnsi="Tahoma" w:cs="Tahoma"/>
        </w:rPr>
      </w:pPr>
      <w:r>
        <w:rPr>
          <w:rFonts w:ascii="Tahoma" w:eastAsiaTheme="minorHAnsi" w:hAnsi="Tahoma" w:cs="Tahoma"/>
          <w:rtl/>
        </w:rPr>
        <w:br w:type="page"/>
      </w:r>
    </w:p>
    <w:p w14:paraId="2DC0057F" w14:textId="77777777" w:rsidR="00236CC3" w:rsidRPr="00236CC3" w:rsidRDefault="00236CC3" w:rsidP="00236CC3">
      <w:pPr>
        <w:spacing w:line="288" w:lineRule="auto"/>
        <w:rPr>
          <w:rFonts w:ascii="Tahoma" w:eastAsiaTheme="minorHAnsi" w:hAnsi="Tahoma" w:cs="Tahoma"/>
          <w:rtl/>
        </w:rPr>
      </w:pPr>
    </w:p>
    <w:p w14:paraId="3A9F954E" w14:textId="77777777" w:rsidR="00236CC3" w:rsidRPr="00236CC3" w:rsidRDefault="00236CC3" w:rsidP="00236CC3">
      <w:pPr>
        <w:spacing w:line="288" w:lineRule="auto"/>
        <w:rPr>
          <w:rFonts w:ascii="Tahoma" w:eastAsiaTheme="minorHAnsi" w:hAnsi="Tahoma" w:cs="Tahoma"/>
          <w:rtl/>
        </w:rPr>
      </w:pPr>
    </w:p>
    <w:tbl>
      <w:tblPr>
        <w:tblStyle w:val="41"/>
        <w:tblpPr w:leftFromText="180" w:rightFromText="180" w:vertAnchor="text" w:tblpXSpec="center" w:tblpY="1"/>
        <w:tblOverlap w:val="never"/>
        <w:bidiVisual/>
        <w:tblW w:w="9401"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460"/>
        <w:gridCol w:w="3085"/>
        <w:gridCol w:w="354"/>
        <w:gridCol w:w="2597"/>
        <w:gridCol w:w="30"/>
      </w:tblGrid>
      <w:tr w:rsidR="004F19B3" w14:paraId="6120FA30" w14:textId="77777777" w:rsidTr="00236CC3">
        <w:trPr>
          <w:gridAfter w:val="1"/>
          <w:wAfter w:w="30" w:type="dxa"/>
        </w:trPr>
        <w:tc>
          <w:tcPr>
            <w:tcW w:w="9371" w:type="dxa"/>
            <w:gridSpan w:val="5"/>
          </w:tcPr>
          <w:p w14:paraId="172FA5B5" w14:textId="77777777" w:rsidR="00236CC3" w:rsidRPr="00AD2D9C" w:rsidRDefault="00000000" w:rsidP="00AD2D9C">
            <w:pPr>
              <w:pStyle w:val="1"/>
              <w:jc w:val="left"/>
              <w:rPr>
                <w:rFonts w:ascii="Tahoma" w:hAnsi="Tahoma" w:cs="Tahoma"/>
                <w:sz w:val="40"/>
                <w:szCs w:val="40"/>
                <w:rtl/>
              </w:rPr>
            </w:pPr>
            <w:bookmarkStart w:id="101" w:name="_Toc179710268"/>
            <w:bookmarkStart w:id="102" w:name="_Hlk165969800"/>
            <w:r w:rsidRPr="00AD2D9C">
              <w:rPr>
                <w:rFonts w:ascii="Tahoma" w:hAnsi="Tahoma" w:cs="Tahoma"/>
                <w:sz w:val="40"/>
                <w:szCs w:val="40"/>
                <w:rtl/>
              </w:rPr>
              <w:t>זמני המתנה לקבלת שירותי רפואת מומחים</w:t>
            </w:r>
            <w:bookmarkEnd w:id="101"/>
          </w:p>
          <w:p w14:paraId="19F4D877" w14:textId="77777777" w:rsidR="00236CC3" w:rsidRPr="00AD2D9C" w:rsidRDefault="00236CC3" w:rsidP="00AD2D9C">
            <w:pPr>
              <w:pStyle w:val="1"/>
              <w:jc w:val="left"/>
              <w:rPr>
                <w:rFonts w:ascii="Tahoma" w:hAnsi="Tahoma" w:cs="Tahoma"/>
                <w:sz w:val="40"/>
                <w:szCs w:val="40"/>
                <w:rtl/>
              </w:rPr>
            </w:pPr>
          </w:p>
        </w:tc>
      </w:tr>
      <w:tr w:rsidR="004F19B3" w14:paraId="0C60BF81"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9401" w:type="dxa"/>
            <w:gridSpan w:val="6"/>
            <w:tcBorders>
              <w:top w:val="nil"/>
              <w:left w:val="nil"/>
              <w:bottom w:val="nil"/>
              <w:right w:val="nil"/>
            </w:tcBorders>
          </w:tcPr>
          <w:p w14:paraId="492ADCAD" w14:textId="77777777" w:rsidR="00236CC3" w:rsidRPr="00236CC3" w:rsidRDefault="00000000" w:rsidP="00236CC3">
            <w:pPr>
              <w:tabs>
                <w:tab w:val="center" w:pos="4153"/>
                <w:tab w:val="right" w:pos="8306"/>
              </w:tabs>
              <w:jc w:val="center"/>
              <w:rPr>
                <w:rFonts w:ascii="Tahoma" w:hAnsi="Tahoma" w:cs="Tahoma"/>
                <w:rtl/>
              </w:rPr>
            </w:pPr>
            <w:r w:rsidRPr="00236CC3">
              <w:rPr>
                <w:rFonts w:ascii="Tahoma" w:hAnsi="Tahoma" w:cs="Tahoma"/>
                <w:noProof/>
                <w:rtl/>
              </w:rPr>
              <w:drawing>
                <wp:anchor distT="0" distB="0" distL="114300" distR="114300" simplePos="0" relativeHeight="251658240" behindDoc="0" locked="0" layoutInCell="1" allowOverlap="1" wp14:anchorId="18797D48" wp14:editId="36388A9C">
                  <wp:simplePos x="0" y="0"/>
                  <wp:positionH relativeFrom="margin">
                    <wp:posOffset>4273550</wp:posOffset>
                  </wp:positionH>
                  <wp:positionV relativeFrom="margin">
                    <wp:posOffset>45720</wp:posOffset>
                  </wp:positionV>
                  <wp:extent cx="1579245" cy="359410"/>
                  <wp:effectExtent l="0" t="0" r="1905" b="2540"/>
                  <wp:wrapSquare wrapText="bothSides"/>
                  <wp:docPr id="7202" name="תמונה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 name="תקציר-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79245" cy="359410"/>
                          </a:xfrm>
                          <a:prstGeom prst="rect">
                            <a:avLst/>
                          </a:prstGeom>
                        </pic:spPr>
                      </pic:pic>
                    </a:graphicData>
                  </a:graphic>
                  <wp14:sizeRelH relativeFrom="margin">
                    <wp14:pctWidth>0</wp14:pctWidth>
                  </wp14:sizeRelH>
                  <wp14:sizeRelV relativeFrom="margin">
                    <wp14:pctHeight>0</wp14:pctHeight>
                  </wp14:sizeRelV>
                </wp:anchor>
              </w:drawing>
            </w:r>
          </w:p>
        </w:tc>
      </w:tr>
      <w:tr w:rsidR="004F19B3" w14:paraId="5C05845D"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9401" w:type="dxa"/>
            <w:gridSpan w:val="6"/>
            <w:tcBorders>
              <w:top w:val="nil"/>
              <w:left w:val="nil"/>
              <w:bottom w:val="nil"/>
              <w:right w:val="nil"/>
            </w:tcBorders>
          </w:tcPr>
          <w:p w14:paraId="769F657E" w14:textId="77777777" w:rsidR="00236CC3" w:rsidRPr="00236CC3" w:rsidRDefault="00236CC3" w:rsidP="00236CC3">
            <w:pPr>
              <w:tabs>
                <w:tab w:val="center" w:pos="4153"/>
                <w:tab w:val="right" w:pos="8306"/>
              </w:tabs>
              <w:rPr>
                <w:rFonts w:ascii="Tahoma" w:hAnsi="Tahoma" w:cs="Tahoma"/>
                <w:rtl/>
              </w:rPr>
            </w:pPr>
          </w:p>
        </w:tc>
      </w:tr>
      <w:tr w:rsidR="004F19B3" w14:paraId="02DD248B"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2875" w:type="dxa"/>
            <w:tcBorders>
              <w:top w:val="nil"/>
              <w:left w:val="nil"/>
              <w:bottom w:val="single" w:sz="12" w:space="0" w:color="auto"/>
              <w:right w:val="nil"/>
            </w:tcBorders>
            <w:shd w:val="clear" w:color="auto" w:fill="auto"/>
            <w:vAlign w:val="center"/>
          </w:tcPr>
          <w:p w14:paraId="5AB3CBB6" w14:textId="77777777" w:rsidR="00236CC3" w:rsidRPr="00D1243A" w:rsidRDefault="00000000" w:rsidP="00236CC3">
            <w:pPr>
              <w:tabs>
                <w:tab w:val="center" w:pos="4153"/>
                <w:tab w:val="right" w:pos="8306"/>
              </w:tabs>
              <w:rPr>
                <w:rFonts w:ascii="Tahoma" w:hAnsi="Tahoma" w:cs="Tahoma"/>
                <w:b/>
                <w:bCs/>
                <w:spacing w:val="-10"/>
                <w:sz w:val="36"/>
                <w:szCs w:val="36"/>
                <w:rtl/>
              </w:rPr>
            </w:pPr>
            <w:r w:rsidRPr="00D1243A">
              <w:rPr>
                <w:rFonts w:ascii="Tahoma" w:hAnsi="Tahoma" w:cs="Tahoma" w:hint="cs"/>
                <w:b/>
                <w:bCs/>
                <w:spacing w:val="-10"/>
                <w:sz w:val="36"/>
                <w:szCs w:val="36"/>
                <w:rtl/>
              </w:rPr>
              <w:t xml:space="preserve">55 - 62 </w:t>
            </w:r>
            <w:r w:rsidRPr="00D1243A">
              <w:rPr>
                <w:rFonts w:ascii="Tahoma" w:hAnsi="Tahoma" w:cs="Tahoma" w:hint="cs"/>
                <w:b/>
                <w:bCs/>
                <w:spacing w:val="-10"/>
                <w:sz w:val="26"/>
                <w:szCs w:val="26"/>
                <w:rtl/>
              </w:rPr>
              <w:t>ימים</w:t>
            </w:r>
          </w:p>
        </w:tc>
        <w:tc>
          <w:tcPr>
            <w:tcW w:w="460" w:type="dxa"/>
            <w:tcBorders>
              <w:top w:val="nil"/>
              <w:left w:val="nil"/>
              <w:bottom w:val="nil"/>
              <w:right w:val="nil"/>
            </w:tcBorders>
          </w:tcPr>
          <w:p w14:paraId="3E9ADC7C" w14:textId="77777777" w:rsidR="00236CC3" w:rsidRPr="00D1243A" w:rsidRDefault="00236CC3" w:rsidP="00236CC3">
            <w:pPr>
              <w:tabs>
                <w:tab w:val="center" w:pos="4153"/>
                <w:tab w:val="right" w:pos="8306"/>
              </w:tabs>
              <w:rPr>
                <w:rFonts w:ascii="Tahoma" w:hAnsi="Tahoma" w:cs="Tahoma"/>
                <w:b/>
                <w:bCs/>
                <w:spacing w:val="-10"/>
              </w:rPr>
            </w:pPr>
          </w:p>
        </w:tc>
        <w:tc>
          <w:tcPr>
            <w:tcW w:w="3085" w:type="dxa"/>
            <w:tcBorders>
              <w:top w:val="nil"/>
              <w:left w:val="nil"/>
              <w:bottom w:val="single" w:sz="12" w:space="0" w:color="auto"/>
              <w:right w:val="nil"/>
            </w:tcBorders>
            <w:vAlign w:val="center"/>
          </w:tcPr>
          <w:p w14:paraId="560952F1" w14:textId="77777777" w:rsidR="00236CC3" w:rsidRPr="00D1243A" w:rsidRDefault="00000000" w:rsidP="00236CC3">
            <w:pPr>
              <w:tabs>
                <w:tab w:val="center" w:pos="4153"/>
                <w:tab w:val="right" w:pos="8306"/>
              </w:tabs>
              <w:spacing w:line="240" w:lineRule="auto"/>
              <w:jc w:val="left"/>
              <w:rPr>
                <w:rFonts w:ascii="Tahoma" w:hAnsi="Tahoma" w:cs="Tahoma"/>
                <w:b/>
                <w:bCs/>
                <w:spacing w:val="-10"/>
                <w:sz w:val="36"/>
                <w:szCs w:val="36"/>
                <w:rtl/>
              </w:rPr>
            </w:pPr>
            <w:r w:rsidRPr="00D1243A">
              <w:rPr>
                <w:rFonts w:ascii="Tahoma" w:hAnsi="Tahoma" w:cs="Tahoma" w:hint="cs"/>
                <w:b/>
                <w:bCs/>
                <w:sz w:val="26"/>
                <w:szCs w:val="26"/>
                <w:rtl/>
              </w:rPr>
              <w:t>בין</w:t>
            </w:r>
            <w:r w:rsidRPr="00D1243A">
              <w:rPr>
                <w:rFonts w:ascii="Tahoma" w:hAnsi="Tahoma" w:cs="Tahoma" w:hint="cs"/>
                <w:b/>
                <w:bCs/>
                <w:spacing w:val="-10"/>
                <w:sz w:val="36"/>
                <w:szCs w:val="36"/>
                <w:rtl/>
              </w:rPr>
              <w:t xml:space="preserve"> 53 </w:t>
            </w:r>
            <w:r w:rsidRPr="00D1243A">
              <w:rPr>
                <w:rFonts w:ascii="Tahoma" w:hAnsi="Tahoma" w:cs="Tahoma" w:hint="cs"/>
                <w:b/>
                <w:bCs/>
                <w:sz w:val="26"/>
                <w:szCs w:val="26"/>
                <w:rtl/>
              </w:rPr>
              <w:t>ל-</w:t>
            </w:r>
            <w:r w:rsidRPr="00D1243A">
              <w:rPr>
                <w:rFonts w:ascii="Tahoma" w:hAnsi="Tahoma" w:cs="Tahoma" w:hint="cs"/>
                <w:b/>
                <w:bCs/>
                <w:spacing w:val="-10"/>
                <w:sz w:val="36"/>
                <w:szCs w:val="36"/>
                <w:rtl/>
              </w:rPr>
              <w:t xml:space="preserve">71 </w:t>
            </w:r>
            <w:r w:rsidRPr="00D1243A">
              <w:rPr>
                <w:rFonts w:ascii="Tahoma" w:hAnsi="Tahoma" w:cs="Tahoma" w:hint="cs"/>
                <w:b/>
                <w:bCs/>
                <w:sz w:val="26"/>
                <w:szCs w:val="26"/>
                <w:rtl/>
              </w:rPr>
              <w:t>ימי המתנה</w:t>
            </w:r>
          </w:p>
        </w:tc>
        <w:tc>
          <w:tcPr>
            <w:tcW w:w="354" w:type="dxa"/>
            <w:tcBorders>
              <w:top w:val="nil"/>
              <w:left w:val="nil"/>
              <w:bottom w:val="nil"/>
              <w:right w:val="nil"/>
            </w:tcBorders>
          </w:tcPr>
          <w:p w14:paraId="3EBFD5D8" w14:textId="77777777" w:rsidR="00236CC3" w:rsidRPr="00D1243A" w:rsidRDefault="00236CC3" w:rsidP="00236CC3">
            <w:pPr>
              <w:tabs>
                <w:tab w:val="center" w:pos="4153"/>
                <w:tab w:val="right" w:pos="8306"/>
              </w:tabs>
              <w:rPr>
                <w:rFonts w:ascii="Tahoma" w:hAnsi="Tahoma" w:cs="Tahoma"/>
                <w:b/>
                <w:bCs/>
                <w:spacing w:val="-10"/>
              </w:rPr>
            </w:pPr>
          </w:p>
        </w:tc>
        <w:tc>
          <w:tcPr>
            <w:tcW w:w="2627" w:type="dxa"/>
            <w:gridSpan w:val="2"/>
            <w:tcBorders>
              <w:top w:val="nil"/>
              <w:left w:val="nil"/>
              <w:bottom w:val="single" w:sz="12" w:space="0" w:color="auto"/>
              <w:right w:val="nil"/>
            </w:tcBorders>
            <w:vAlign w:val="center"/>
          </w:tcPr>
          <w:p w14:paraId="607BA7B1" w14:textId="77777777" w:rsidR="00236CC3" w:rsidRPr="00D1243A" w:rsidRDefault="00000000" w:rsidP="00236CC3">
            <w:pPr>
              <w:tabs>
                <w:tab w:val="center" w:pos="4153"/>
                <w:tab w:val="right" w:pos="8306"/>
              </w:tabs>
              <w:jc w:val="left"/>
              <w:rPr>
                <w:rFonts w:ascii="Tahoma" w:hAnsi="Tahoma" w:cs="Tahoma"/>
                <w:b/>
                <w:bCs/>
                <w:spacing w:val="-10"/>
                <w:sz w:val="36"/>
                <w:szCs w:val="36"/>
                <w:rtl/>
              </w:rPr>
            </w:pPr>
            <w:r w:rsidRPr="00D1243A">
              <w:rPr>
                <w:rFonts w:ascii="Tahoma" w:hAnsi="Tahoma" w:cs="Tahoma" w:hint="cs"/>
                <w:b/>
                <w:bCs/>
                <w:spacing w:val="-10"/>
                <w:sz w:val="26"/>
                <w:szCs w:val="26"/>
                <w:rtl/>
              </w:rPr>
              <w:t>כ-</w:t>
            </w:r>
            <w:r w:rsidRPr="00D1243A">
              <w:rPr>
                <w:rFonts w:ascii="Tahoma" w:hAnsi="Tahoma" w:cs="Tahoma" w:hint="cs"/>
                <w:b/>
                <w:bCs/>
                <w:spacing w:val="-10"/>
                <w:sz w:val="36"/>
                <w:szCs w:val="36"/>
                <w:rtl/>
              </w:rPr>
              <w:t>53%</w:t>
            </w:r>
          </w:p>
        </w:tc>
      </w:tr>
      <w:tr w:rsidR="004F19B3" w14:paraId="51B61913"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9401" w:type="dxa"/>
            <w:gridSpan w:val="6"/>
            <w:tcBorders>
              <w:top w:val="single" w:sz="12" w:space="0" w:color="auto"/>
              <w:left w:val="nil"/>
              <w:bottom w:val="nil"/>
              <w:right w:val="nil"/>
            </w:tcBorders>
            <w:shd w:val="clear" w:color="auto" w:fill="auto"/>
            <w:vAlign w:val="center"/>
          </w:tcPr>
          <w:p w14:paraId="78CFA9E8"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5605F2C9"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5"/>
        </w:trPr>
        <w:tc>
          <w:tcPr>
            <w:tcW w:w="2875" w:type="dxa"/>
            <w:tcBorders>
              <w:top w:val="nil"/>
              <w:left w:val="nil"/>
              <w:bottom w:val="nil"/>
              <w:right w:val="nil"/>
            </w:tcBorders>
          </w:tcPr>
          <w:p w14:paraId="51ECDF1E" w14:textId="77777777" w:rsidR="00236CC3" w:rsidRPr="00236CC3" w:rsidRDefault="00000000" w:rsidP="00236CC3">
            <w:pPr>
              <w:tabs>
                <w:tab w:val="center" w:pos="4153"/>
                <w:tab w:val="right" w:pos="8306"/>
              </w:tabs>
              <w:jc w:val="left"/>
              <w:rPr>
                <w:rFonts w:ascii="Tahoma" w:hAnsi="Tahoma" w:cs="Tahoma"/>
                <w:sz w:val="18"/>
                <w:szCs w:val="18"/>
                <w:rtl/>
              </w:rPr>
            </w:pPr>
            <w:r w:rsidRPr="00236CC3">
              <w:rPr>
                <w:rFonts w:ascii="Tahoma" w:hAnsi="Tahoma" w:cs="Tahoma" w:hint="cs"/>
                <w:spacing w:val="-10"/>
                <w:szCs w:val="22"/>
                <w:rtl/>
              </w:rPr>
              <w:t>זמן המתנה ה</w:t>
            </w:r>
            <w:r w:rsidRPr="00236CC3">
              <w:rPr>
                <w:rFonts w:ascii="Tahoma" w:hAnsi="Tahoma" w:cs="Tahoma"/>
                <w:spacing w:val="-10"/>
                <w:szCs w:val="22"/>
                <w:rtl/>
              </w:rPr>
              <w:t>ממוצע</w:t>
            </w:r>
            <w:r w:rsidRPr="00236CC3">
              <w:rPr>
                <w:rFonts w:ascii="Tahoma" w:hAnsi="Tahoma" w:cs="Tahoma" w:hint="cs"/>
                <w:spacing w:val="-10"/>
                <w:szCs w:val="22"/>
                <w:rtl/>
              </w:rPr>
              <w:t xml:space="preserve"> </w:t>
            </w:r>
            <w:r w:rsidRPr="00236CC3">
              <w:rPr>
                <w:rFonts w:ascii="Tahoma" w:hAnsi="Tahoma" w:cs="Tahoma"/>
                <w:spacing w:val="-10"/>
                <w:szCs w:val="22"/>
                <w:rtl/>
              </w:rPr>
              <w:t xml:space="preserve">בתחום האנדוקרינולוגיה </w:t>
            </w:r>
            <w:r w:rsidRPr="00236CC3">
              <w:rPr>
                <w:rFonts w:ascii="Tahoma" w:hAnsi="Tahoma" w:cs="Tahoma" w:hint="cs"/>
                <w:spacing w:val="-10"/>
                <w:szCs w:val="22"/>
                <w:rtl/>
              </w:rPr>
              <w:t>של בני 70 ומעלה ל</w:t>
            </w:r>
            <w:r w:rsidRPr="00236CC3">
              <w:rPr>
                <w:rFonts w:ascii="Tahoma" w:hAnsi="Tahoma" w:cs="Tahoma"/>
                <w:spacing w:val="-10"/>
                <w:szCs w:val="22"/>
                <w:rtl/>
              </w:rPr>
              <w:t xml:space="preserve">עומת בני </w:t>
            </w:r>
            <w:r w:rsidRPr="00236CC3">
              <w:rPr>
                <w:rFonts w:ascii="Tahoma" w:hAnsi="Tahoma" w:cs="Tahoma" w:hint="cs"/>
                <w:spacing w:val="-10"/>
                <w:szCs w:val="22"/>
                <w:rtl/>
              </w:rPr>
              <w:t>2</w:t>
            </w:r>
            <w:r w:rsidRPr="00236CC3">
              <w:rPr>
                <w:rFonts w:ascii="Tahoma" w:hAnsi="Tahoma" w:cs="Tahoma"/>
                <w:spacing w:val="-10"/>
                <w:szCs w:val="22"/>
                <w:rtl/>
              </w:rPr>
              <w:t>0</w:t>
            </w:r>
            <w:r w:rsidRPr="00236CC3">
              <w:rPr>
                <w:rFonts w:ascii="Tahoma" w:hAnsi="Tahoma" w:cs="Tahoma" w:hint="cs"/>
                <w:spacing w:val="-10"/>
                <w:szCs w:val="22"/>
                <w:rtl/>
              </w:rPr>
              <w:t xml:space="preserve"> </w:t>
            </w:r>
            <w:r w:rsidRPr="00236CC3">
              <w:rPr>
                <w:rFonts w:ascii="Tahoma" w:hAnsi="Tahoma" w:cs="Tahoma"/>
                <w:spacing w:val="-10"/>
                <w:szCs w:val="22"/>
                <w:rtl/>
              </w:rPr>
              <w:t>-</w:t>
            </w:r>
            <w:r w:rsidRPr="00236CC3">
              <w:rPr>
                <w:rFonts w:ascii="Tahoma" w:hAnsi="Tahoma" w:cs="Tahoma" w:hint="cs"/>
                <w:spacing w:val="-10"/>
                <w:szCs w:val="22"/>
                <w:rtl/>
              </w:rPr>
              <w:t xml:space="preserve"> 3</w:t>
            </w:r>
            <w:r w:rsidRPr="00236CC3">
              <w:rPr>
                <w:rFonts w:ascii="Tahoma" w:hAnsi="Tahoma" w:cs="Tahoma"/>
                <w:spacing w:val="-10"/>
                <w:szCs w:val="22"/>
                <w:rtl/>
              </w:rPr>
              <w:t>0 שממתינים בממוצע בין 32 ל-40 ימים</w:t>
            </w:r>
          </w:p>
        </w:tc>
        <w:tc>
          <w:tcPr>
            <w:tcW w:w="460" w:type="dxa"/>
            <w:tcBorders>
              <w:top w:val="nil"/>
              <w:left w:val="nil"/>
              <w:bottom w:val="nil"/>
              <w:right w:val="nil"/>
            </w:tcBorders>
          </w:tcPr>
          <w:p w14:paraId="07386D59" w14:textId="77777777" w:rsidR="00236CC3" w:rsidRPr="00236CC3" w:rsidRDefault="00236CC3" w:rsidP="00236CC3">
            <w:pPr>
              <w:tabs>
                <w:tab w:val="center" w:pos="4153"/>
                <w:tab w:val="right" w:pos="8306"/>
              </w:tabs>
              <w:rPr>
                <w:rFonts w:ascii="Tahoma" w:hAnsi="Tahoma" w:cs="Tahoma"/>
                <w:rtl/>
              </w:rPr>
            </w:pPr>
          </w:p>
        </w:tc>
        <w:tc>
          <w:tcPr>
            <w:tcW w:w="3085" w:type="dxa"/>
            <w:tcBorders>
              <w:top w:val="nil"/>
              <w:left w:val="nil"/>
              <w:bottom w:val="nil"/>
              <w:right w:val="nil"/>
            </w:tcBorders>
          </w:tcPr>
          <w:p w14:paraId="1AC7B4F1" w14:textId="77777777" w:rsidR="00236CC3" w:rsidRPr="00236CC3" w:rsidRDefault="00000000" w:rsidP="00236CC3">
            <w:pPr>
              <w:tabs>
                <w:tab w:val="center" w:pos="4153"/>
                <w:tab w:val="right" w:pos="8306"/>
              </w:tabs>
              <w:ind w:right="25"/>
              <w:jc w:val="left"/>
              <w:rPr>
                <w:rFonts w:ascii="Tahoma" w:hAnsi="Tahoma" w:cs="Tahoma"/>
                <w:sz w:val="19"/>
                <w:szCs w:val="19"/>
                <w:rtl/>
              </w:rPr>
            </w:pPr>
            <w:r w:rsidRPr="00236CC3">
              <w:rPr>
                <w:rFonts w:ascii="Tahoma" w:hAnsi="Tahoma" w:cs="Tahoma" w:hint="cs"/>
                <w:sz w:val="19"/>
                <w:szCs w:val="19"/>
                <w:rtl/>
              </w:rPr>
              <w:t xml:space="preserve">בממוצע לתור בראומוטולוגיה - התחום עם זמן ההמתנה הארוך ביותר בכל ארבע הקופות מ-13 התחומים שנבדקו  </w:t>
            </w:r>
          </w:p>
        </w:tc>
        <w:tc>
          <w:tcPr>
            <w:tcW w:w="354" w:type="dxa"/>
            <w:tcBorders>
              <w:top w:val="nil"/>
              <w:left w:val="nil"/>
              <w:bottom w:val="nil"/>
              <w:right w:val="nil"/>
            </w:tcBorders>
          </w:tcPr>
          <w:p w14:paraId="7A755192" w14:textId="77777777" w:rsidR="00236CC3" w:rsidRPr="00236CC3" w:rsidRDefault="00236CC3" w:rsidP="00236CC3">
            <w:pPr>
              <w:tabs>
                <w:tab w:val="center" w:pos="4153"/>
                <w:tab w:val="right" w:pos="8306"/>
              </w:tabs>
              <w:jc w:val="left"/>
              <w:rPr>
                <w:rFonts w:ascii="Tahoma" w:hAnsi="Tahoma" w:cs="Tahoma"/>
                <w:sz w:val="19"/>
                <w:szCs w:val="19"/>
                <w:rtl/>
              </w:rPr>
            </w:pPr>
          </w:p>
        </w:tc>
        <w:tc>
          <w:tcPr>
            <w:tcW w:w="2627" w:type="dxa"/>
            <w:gridSpan w:val="2"/>
            <w:tcBorders>
              <w:top w:val="nil"/>
              <w:left w:val="nil"/>
              <w:bottom w:val="nil"/>
              <w:right w:val="nil"/>
            </w:tcBorders>
          </w:tcPr>
          <w:p w14:paraId="01C74DF2" w14:textId="77777777" w:rsidR="00236CC3" w:rsidRPr="00236CC3" w:rsidRDefault="00000000" w:rsidP="00236CC3">
            <w:pPr>
              <w:tabs>
                <w:tab w:val="center" w:pos="4153"/>
                <w:tab w:val="right" w:pos="8306"/>
              </w:tabs>
              <w:ind w:right="177"/>
              <w:jc w:val="left"/>
              <w:rPr>
                <w:rFonts w:ascii="Tahoma" w:hAnsi="Tahoma" w:cs="Tahoma"/>
                <w:sz w:val="19"/>
                <w:szCs w:val="19"/>
                <w:rtl/>
              </w:rPr>
            </w:pPr>
            <w:r w:rsidRPr="00236CC3">
              <w:rPr>
                <w:rFonts w:ascii="Tahoma" w:hAnsi="Tahoma" w:cs="Tahoma"/>
                <w:sz w:val="19"/>
                <w:szCs w:val="19"/>
                <w:rtl/>
              </w:rPr>
              <w:t xml:space="preserve">מהתורים לרפואה יועצת שנקבעו בארבע </w:t>
            </w:r>
            <w:r w:rsidRPr="00236CC3">
              <w:rPr>
                <w:rFonts w:ascii="Tahoma" w:hAnsi="Tahoma" w:cs="Tahoma" w:hint="cs"/>
                <w:sz w:val="19"/>
                <w:szCs w:val="19"/>
                <w:rtl/>
              </w:rPr>
              <w:t>ה</w:t>
            </w:r>
            <w:r w:rsidRPr="00236CC3">
              <w:rPr>
                <w:rFonts w:ascii="Tahoma" w:hAnsi="Tahoma" w:cs="Tahoma"/>
                <w:sz w:val="19"/>
                <w:szCs w:val="19"/>
                <w:rtl/>
              </w:rPr>
              <w:t>קופות לא מומשו</w:t>
            </w:r>
            <w:r w:rsidRPr="00236CC3">
              <w:rPr>
                <w:rFonts w:ascii="Tahoma" w:hAnsi="Tahoma" w:cs="Tahoma" w:hint="cs"/>
                <w:sz w:val="19"/>
                <w:szCs w:val="19"/>
                <w:rtl/>
              </w:rPr>
              <w:t xml:space="preserve"> בשנת 2022; התורים בוטלו או שלא הופיעו אליהם</w:t>
            </w:r>
            <w:r w:rsidRPr="00236CC3">
              <w:rPr>
                <w:rFonts w:ascii="Tahoma" w:hAnsi="Tahoma" w:cs="Tahoma"/>
                <w:sz w:val="19"/>
                <w:szCs w:val="19"/>
                <w:rtl/>
              </w:rPr>
              <w:t>.</w:t>
            </w:r>
            <w:r w:rsidRPr="00236CC3">
              <w:rPr>
                <w:rFonts w:ascii="Tahoma" w:hAnsi="Tahoma" w:cs="Tahoma" w:hint="cs"/>
                <w:sz w:val="19"/>
                <w:szCs w:val="19"/>
                <w:rtl/>
              </w:rPr>
              <w:t xml:space="preserve"> בכ-24% מהתורים שלא בוטלו </w:t>
            </w:r>
            <w:r w:rsidRPr="00236CC3">
              <w:rPr>
                <w:rFonts w:ascii="Tahoma" w:hAnsi="Tahoma" w:cs="Tahoma"/>
                <w:sz w:val="19"/>
                <w:szCs w:val="19"/>
                <w:rtl/>
              </w:rPr>
              <w:t>המבוטח לא הגיע אליהם</w:t>
            </w:r>
            <w:r w:rsidRPr="00236CC3">
              <w:rPr>
                <w:rFonts w:ascii="Tahoma" w:hAnsi="Tahoma" w:cs="Tahoma" w:hint="cs"/>
                <w:sz w:val="19"/>
                <w:szCs w:val="19"/>
                <w:rtl/>
              </w:rPr>
              <w:t xml:space="preserve"> (</w:t>
            </w:r>
            <w:r w:rsidRPr="00236CC3">
              <w:rPr>
                <w:rFonts w:ascii="Tahoma" w:hAnsi="Tahoma" w:cs="Tahoma"/>
                <w:sz w:val="19"/>
                <w:szCs w:val="19"/>
              </w:rPr>
              <w:t>No Show</w:t>
            </w:r>
            <w:r w:rsidRPr="00236CC3">
              <w:rPr>
                <w:rFonts w:ascii="Tahoma" w:hAnsi="Tahoma" w:cs="Tahoma" w:hint="cs"/>
                <w:sz w:val="19"/>
                <w:szCs w:val="19"/>
                <w:rtl/>
              </w:rPr>
              <w:t>), שהם כ-3.5 מיליון תורים לרפואה שניונית בקהילה בשנה</w:t>
            </w:r>
          </w:p>
        </w:tc>
      </w:tr>
      <w:tr w:rsidR="004F19B3" w14:paraId="5A6172E4"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9401" w:type="dxa"/>
            <w:gridSpan w:val="6"/>
            <w:tcBorders>
              <w:top w:val="nil"/>
              <w:left w:val="nil"/>
              <w:bottom w:val="nil"/>
              <w:right w:val="nil"/>
            </w:tcBorders>
          </w:tcPr>
          <w:p w14:paraId="3D3FF9DD" w14:textId="77777777" w:rsidR="00236CC3" w:rsidRPr="00236CC3" w:rsidRDefault="00236CC3" w:rsidP="00236CC3">
            <w:pPr>
              <w:tabs>
                <w:tab w:val="center" w:pos="4153"/>
                <w:tab w:val="right" w:pos="8306"/>
              </w:tabs>
              <w:rPr>
                <w:rFonts w:ascii="Tahoma" w:hAnsi="Tahoma" w:cs="Tahoma"/>
                <w:sz w:val="6"/>
                <w:szCs w:val="6"/>
                <w:rtl/>
              </w:rPr>
            </w:pPr>
          </w:p>
        </w:tc>
      </w:tr>
      <w:tr w:rsidR="004F19B3" w14:paraId="4D24E627"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875" w:type="dxa"/>
            <w:tcBorders>
              <w:top w:val="nil"/>
              <w:left w:val="nil"/>
              <w:bottom w:val="single" w:sz="12" w:space="0" w:color="auto"/>
              <w:right w:val="nil"/>
            </w:tcBorders>
            <w:vAlign w:val="center"/>
          </w:tcPr>
          <w:p w14:paraId="67818C56" w14:textId="77777777" w:rsidR="00236CC3" w:rsidRPr="00D1243A" w:rsidRDefault="00000000" w:rsidP="00236CC3">
            <w:pPr>
              <w:tabs>
                <w:tab w:val="center" w:pos="4153"/>
                <w:tab w:val="right" w:pos="8306"/>
              </w:tabs>
              <w:rPr>
                <w:rFonts w:ascii="Tahoma" w:hAnsi="Tahoma" w:cs="Tahoma"/>
                <w:b/>
                <w:bCs/>
                <w:spacing w:val="-10"/>
                <w:sz w:val="36"/>
                <w:szCs w:val="36"/>
                <w:rtl/>
              </w:rPr>
            </w:pPr>
            <w:r w:rsidRPr="00D1243A">
              <w:rPr>
                <w:rFonts w:ascii="Tahoma" w:hAnsi="Tahoma" w:cs="Tahoma" w:hint="cs"/>
                <w:b/>
                <w:bCs/>
                <w:spacing w:val="-10"/>
                <w:sz w:val="36"/>
                <w:szCs w:val="36"/>
                <w:rtl/>
              </w:rPr>
              <w:t>כ-58%</w:t>
            </w:r>
          </w:p>
        </w:tc>
        <w:tc>
          <w:tcPr>
            <w:tcW w:w="460" w:type="dxa"/>
            <w:tcBorders>
              <w:top w:val="nil"/>
              <w:left w:val="nil"/>
              <w:bottom w:val="nil"/>
              <w:right w:val="nil"/>
            </w:tcBorders>
          </w:tcPr>
          <w:p w14:paraId="6FF1B494" w14:textId="77777777" w:rsidR="00236CC3" w:rsidRPr="00D1243A" w:rsidRDefault="00236CC3" w:rsidP="00236CC3">
            <w:pPr>
              <w:tabs>
                <w:tab w:val="center" w:pos="4153"/>
                <w:tab w:val="right" w:pos="8306"/>
              </w:tabs>
              <w:rPr>
                <w:rFonts w:ascii="Tahoma" w:hAnsi="Tahoma" w:cs="Tahoma"/>
                <w:b/>
                <w:bCs/>
                <w:spacing w:val="-10"/>
              </w:rPr>
            </w:pPr>
          </w:p>
        </w:tc>
        <w:tc>
          <w:tcPr>
            <w:tcW w:w="3085" w:type="dxa"/>
            <w:tcBorders>
              <w:top w:val="nil"/>
              <w:left w:val="nil"/>
              <w:bottom w:val="single" w:sz="12" w:space="0" w:color="auto"/>
              <w:right w:val="nil"/>
            </w:tcBorders>
            <w:vAlign w:val="center"/>
          </w:tcPr>
          <w:p w14:paraId="26A97CD7" w14:textId="77777777" w:rsidR="00236CC3" w:rsidRPr="00D1243A" w:rsidRDefault="00000000" w:rsidP="00236CC3">
            <w:pPr>
              <w:tabs>
                <w:tab w:val="center" w:pos="4153"/>
                <w:tab w:val="right" w:pos="8306"/>
              </w:tabs>
              <w:rPr>
                <w:rFonts w:ascii="Tahoma" w:hAnsi="Tahoma" w:cs="Tahoma"/>
                <w:b/>
                <w:bCs/>
                <w:spacing w:val="-10"/>
                <w:sz w:val="36"/>
                <w:szCs w:val="36"/>
                <w:rtl/>
              </w:rPr>
            </w:pPr>
            <w:r w:rsidRPr="00D1243A">
              <w:rPr>
                <w:rFonts w:ascii="Tahoma" w:hAnsi="Tahoma" w:cs="Tahoma"/>
                <w:b/>
                <w:bCs/>
                <w:spacing w:val="-10"/>
                <w:sz w:val="26"/>
                <w:szCs w:val="26"/>
                <w:rtl/>
              </w:rPr>
              <w:t>בין</w:t>
            </w:r>
            <w:r w:rsidRPr="00D1243A">
              <w:rPr>
                <w:rFonts w:ascii="Tahoma" w:hAnsi="Tahoma" w:cs="Tahoma"/>
                <w:b/>
                <w:bCs/>
                <w:spacing w:val="-10"/>
                <w:szCs w:val="22"/>
                <w:rtl/>
              </w:rPr>
              <w:t xml:space="preserve"> </w:t>
            </w:r>
            <w:r w:rsidRPr="00D1243A">
              <w:rPr>
                <w:rFonts w:ascii="Tahoma" w:hAnsi="Tahoma" w:cs="Tahoma" w:hint="cs"/>
                <w:b/>
                <w:bCs/>
                <w:spacing w:val="-10"/>
                <w:sz w:val="36"/>
                <w:szCs w:val="36"/>
                <w:rtl/>
              </w:rPr>
              <w:t>18</w:t>
            </w:r>
            <w:r w:rsidRPr="00D1243A">
              <w:rPr>
                <w:rFonts w:ascii="Tahoma" w:hAnsi="Tahoma" w:cs="Tahoma"/>
                <w:b/>
                <w:bCs/>
                <w:spacing w:val="-10"/>
                <w:szCs w:val="22"/>
                <w:rtl/>
              </w:rPr>
              <w:t xml:space="preserve"> </w:t>
            </w:r>
            <w:r w:rsidRPr="00D1243A">
              <w:rPr>
                <w:rFonts w:ascii="Tahoma" w:hAnsi="Tahoma" w:cs="Tahoma"/>
                <w:b/>
                <w:bCs/>
                <w:spacing w:val="-10"/>
                <w:sz w:val="26"/>
                <w:szCs w:val="26"/>
                <w:rtl/>
              </w:rPr>
              <w:t>ל-</w:t>
            </w:r>
            <w:r w:rsidRPr="00D1243A">
              <w:rPr>
                <w:rFonts w:ascii="Tahoma" w:hAnsi="Tahoma" w:cs="Tahoma" w:hint="cs"/>
                <w:b/>
                <w:bCs/>
                <w:spacing w:val="-10"/>
                <w:szCs w:val="22"/>
                <w:rtl/>
              </w:rPr>
              <w:t xml:space="preserve"> </w:t>
            </w:r>
            <w:r w:rsidRPr="00D1243A">
              <w:rPr>
                <w:rFonts w:ascii="Tahoma" w:hAnsi="Tahoma" w:cs="Tahoma" w:hint="cs"/>
                <w:b/>
                <w:bCs/>
                <w:spacing w:val="-10"/>
                <w:sz w:val="36"/>
                <w:szCs w:val="36"/>
                <w:rtl/>
              </w:rPr>
              <w:t xml:space="preserve">35 </w:t>
            </w:r>
            <w:r w:rsidRPr="00D1243A">
              <w:rPr>
                <w:rFonts w:ascii="Tahoma" w:hAnsi="Tahoma" w:cs="Tahoma" w:hint="cs"/>
                <w:b/>
                <w:bCs/>
                <w:spacing w:val="-10"/>
                <w:sz w:val="26"/>
                <w:szCs w:val="26"/>
                <w:rtl/>
              </w:rPr>
              <w:t>בלבד</w:t>
            </w:r>
          </w:p>
        </w:tc>
        <w:tc>
          <w:tcPr>
            <w:tcW w:w="354" w:type="dxa"/>
            <w:tcBorders>
              <w:top w:val="nil"/>
              <w:left w:val="nil"/>
              <w:bottom w:val="nil"/>
              <w:right w:val="nil"/>
            </w:tcBorders>
          </w:tcPr>
          <w:p w14:paraId="4F270D4F" w14:textId="77777777" w:rsidR="00236CC3" w:rsidRPr="00D1243A" w:rsidRDefault="00236CC3" w:rsidP="00236CC3">
            <w:pPr>
              <w:tabs>
                <w:tab w:val="center" w:pos="4153"/>
                <w:tab w:val="right" w:pos="8306"/>
              </w:tabs>
              <w:rPr>
                <w:rFonts w:ascii="Tahoma" w:hAnsi="Tahoma" w:cs="Tahoma"/>
                <w:b/>
                <w:bCs/>
                <w:spacing w:val="-10"/>
              </w:rPr>
            </w:pPr>
          </w:p>
        </w:tc>
        <w:tc>
          <w:tcPr>
            <w:tcW w:w="2627" w:type="dxa"/>
            <w:gridSpan w:val="2"/>
            <w:tcBorders>
              <w:top w:val="nil"/>
              <w:left w:val="nil"/>
              <w:bottom w:val="single" w:sz="12" w:space="0" w:color="auto"/>
              <w:right w:val="nil"/>
            </w:tcBorders>
            <w:vAlign w:val="center"/>
          </w:tcPr>
          <w:p w14:paraId="28367B4C" w14:textId="77777777" w:rsidR="00236CC3" w:rsidRPr="00D1243A" w:rsidRDefault="00000000" w:rsidP="00236CC3">
            <w:pPr>
              <w:tabs>
                <w:tab w:val="center" w:pos="4153"/>
                <w:tab w:val="right" w:pos="8306"/>
              </w:tabs>
              <w:rPr>
                <w:rFonts w:ascii="Tahoma" w:hAnsi="Tahoma" w:cs="Tahoma"/>
                <w:b/>
                <w:bCs/>
                <w:spacing w:val="-10"/>
                <w:sz w:val="36"/>
                <w:szCs w:val="36"/>
                <w:rtl/>
              </w:rPr>
            </w:pPr>
            <w:r w:rsidRPr="00D1243A">
              <w:rPr>
                <w:rFonts w:ascii="Tahoma" w:hAnsi="Tahoma" w:cs="Tahoma" w:hint="cs"/>
                <w:b/>
                <w:bCs/>
                <w:spacing w:val="-10"/>
                <w:sz w:val="36"/>
                <w:szCs w:val="36"/>
                <w:rtl/>
              </w:rPr>
              <w:t>34%</w:t>
            </w:r>
          </w:p>
        </w:tc>
      </w:tr>
      <w:tr w:rsidR="004F19B3" w14:paraId="24155B5A"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401" w:type="dxa"/>
            <w:gridSpan w:val="6"/>
            <w:tcBorders>
              <w:top w:val="single" w:sz="12" w:space="0" w:color="auto"/>
              <w:left w:val="nil"/>
              <w:bottom w:val="nil"/>
              <w:right w:val="nil"/>
            </w:tcBorders>
            <w:vAlign w:val="center"/>
          </w:tcPr>
          <w:p w14:paraId="1B9E5451" w14:textId="77777777" w:rsidR="00236CC3" w:rsidRPr="00236CC3" w:rsidRDefault="00236CC3" w:rsidP="00236CC3">
            <w:pPr>
              <w:tabs>
                <w:tab w:val="center" w:pos="4153"/>
                <w:tab w:val="right" w:pos="8306"/>
              </w:tabs>
              <w:rPr>
                <w:rFonts w:ascii="Tahoma" w:hAnsi="Tahoma" w:cs="Tahoma"/>
                <w:spacing w:val="-10"/>
                <w:sz w:val="6"/>
                <w:szCs w:val="6"/>
                <w:rtl/>
              </w:rPr>
            </w:pPr>
          </w:p>
        </w:tc>
      </w:tr>
      <w:tr w:rsidR="004F19B3" w14:paraId="1B9BF8E5" w14:textId="77777777" w:rsidTr="00236C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trPr>
        <w:tc>
          <w:tcPr>
            <w:tcW w:w="2875" w:type="dxa"/>
            <w:tcBorders>
              <w:top w:val="nil"/>
              <w:left w:val="nil"/>
              <w:bottom w:val="nil"/>
              <w:right w:val="nil"/>
            </w:tcBorders>
          </w:tcPr>
          <w:p w14:paraId="625E60D0" w14:textId="77777777" w:rsidR="00236CC3" w:rsidRPr="00236CC3" w:rsidRDefault="00000000" w:rsidP="00236CC3">
            <w:pPr>
              <w:tabs>
                <w:tab w:val="center" w:pos="4153"/>
                <w:tab w:val="right" w:pos="8306"/>
              </w:tabs>
              <w:ind w:right="177"/>
              <w:jc w:val="left"/>
              <w:rPr>
                <w:rFonts w:ascii="Tahoma" w:hAnsi="Tahoma" w:cs="Tahoma"/>
                <w:sz w:val="19"/>
                <w:szCs w:val="19"/>
                <w:rtl/>
              </w:rPr>
            </w:pPr>
            <w:r w:rsidRPr="00236CC3">
              <w:rPr>
                <w:rFonts w:ascii="Tahoma" w:hAnsi="Tahoma" w:cs="Tahoma" w:hint="cs"/>
                <w:sz w:val="19"/>
                <w:szCs w:val="19"/>
                <w:rtl/>
              </w:rPr>
              <w:t>מבוגרי לימודי הרפואה הישראלים בשנת 2020 למדו מחוץ למדינה, יותר מכל מדינה אחרת ב-</w:t>
            </w:r>
            <w:r w:rsidRPr="00236CC3">
              <w:rPr>
                <w:rFonts w:ascii="Tahoma" w:hAnsi="Tahoma" w:cs="Tahoma" w:hint="cs"/>
                <w:sz w:val="19"/>
                <w:szCs w:val="19"/>
              </w:rPr>
              <w:t>OECD</w:t>
            </w:r>
          </w:p>
        </w:tc>
        <w:tc>
          <w:tcPr>
            <w:tcW w:w="460" w:type="dxa"/>
            <w:tcBorders>
              <w:top w:val="nil"/>
              <w:left w:val="nil"/>
              <w:bottom w:val="nil"/>
              <w:right w:val="nil"/>
            </w:tcBorders>
          </w:tcPr>
          <w:p w14:paraId="59B4F296" w14:textId="77777777" w:rsidR="00236CC3" w:rsidRPr="00236CC3" w:rsidRDefault="00236CC3" w:rsidP="00236CC3">
            <w:pPr>
              <w:tabs>
                <w:tab w:val="center" w:pos="4153"/>
                <w:tab w:val="right" w:pos="8306"/>
              </w:tabs>
              <w:rPr>
                <w:rFonts w:ascii="Tahoma" w:hAnsi="Tahoma" w:cs="Tahoma"/>
                <w:rtl/>
              </w:rPr>
            </w:pPr>
          </w:p>
        </w:tc>
        <w:tc>
          <w:tcPr>
            <w:tcW w:w="3085" w:type="dxa"/>
            <w:tcBorders>
              <w:top w:val="nil"/>
              <w:left w:val="nil"/>
              <w:bottom w:val="nil"/>
              <w:right w:val="nil"/>
            </w:tcBorders>
          </w:tcPr>
          <w:p w14:paraId="0DCB5B55" w14:textId="77777777" w:rsidR="00236CC3" w:rsidRPr="00236CC3" w:rsidRDefault="00000000" w:rsidP="00236CC3">
            <w:pPr>
              <w:tabs>
                <w:tab w:val="center" w:pos="4153"/>
                <w:tab w:val="right" w:pos="8306"/>
              </w:tabs>
              <w:ind w:right="25"/>
              <w:jc w:val="left"/>
              <w:rPr>
                <w:rFonts w:ascii="Tahoma" w:hAnsi="Tahoma" w:cs="Tahoma"/>
                <w:sz w:val="19"/>
                <w:szCs w:val="19"/>
                <w:rtl/>
              </w:rPr>
            </w:pPr>
            <w:r w:rsidRPr="00236CC3">
              <w:rPr>
                <w:rFonts w:ascii="Tahoma" w:hAnsi="Tahoma" w:cs="Tahoma" w:hint="cs"/>
                <w:sz w:val="19"/>
                <w:szCs w:val="19"/>
                <w:rtl/>
              </w:rPr>
              <w:t xml:space="preserve">מספר תחומי הרפואה השונים המוצעים בכל קופות החולים ביישובים הפריפריאליים שנבדקו, לעומת 69 תחומים מוצעים בתל-אביב  </w:t>
            </w:r>
          </w:p>
        </w:tc>
        <w:tc>
          <w:tcPr>
            <w:tcW w:w="354" w:type="dxa"/>
            <w:tcBorders>
              <w:top w:val="nil"/>
              <w:left w:val="nil"/>
              <w:bottom w:val="nil"/>
              <w:right w:val="nil"/>
            </w:tcBorders>
          </w:tcPr>
          <w:p w14:paraId="4D7B8280" w14:textId="77777777" w:rsidR="00236CC3" w:rsidRPr="00236CC3" w:rsidRDefault="00236CC3" w:rsidP="00236CC3">
            <w:pPr>
              <w:tabs>
                <w:tab w:val="center" w:pos="4153"/>
                <w:tab w:val="right" w:pos="8306"/>
              </w:tabs>
              <w:jc w:val="left"/>
              <w:rPr>
                <w:rFonts w:ascii="Tahoma" w:hAnsi="Tahoma" w:cs="Tahoma"/>
                <w:sz w:val="19"/>
                <w:szCs w:val="19"/>
                <w:rtl/>
              </w:rPr>
            </w:pPr>
          </w:p>
        </w:tc>
        <w:tc>
          <w:tcPr>
            <w:tcW w:w="2627" w:type="dxa"/>
            <w:gridSpan w:val="2"/>
            <w:tcBorders>
              <w:top w:val="nil"/>
              <w:left w:val="nil"/>
              <w:bottom w:val="nil"/>
              <w:right w:val="nil"/>
            </w:tcBorders>
          </w:tcPr>
          <w:p w14:paraId="164A524D" w14:textId="77777777" w:rsidR="00236CC3" w:rsidRPr="00236CC3" w:rsidRDefault="00000000" w:rsidP="00236CC3">
            <w:pPr>
              <w:tabs>
                <w:tab w:val="center" w:pos="4153"/>
                <w:tab w:val="right" w:pos="8306"/>
              </w:tabs>
              <w:jc w:val="left"/>
              <w:rPr>
                <w:rFonts w:ascii="Tahoma" w:hAnsi="Tahoma" w:cs="Tahoma"/>
                <w:sz w:val="19"/>
                <w:szCs w:val="19"/>
              </w:rPr>
            </w:pPr>
            <w:r w:rsidRPr="00236CC3">
              <w:rPr>
                <w:rFonts w:ascii="Tahoma" w:hAnsi="Tahoma" w:cs="Tahoma" w:hint="cs"/>
                <w:sz w:val="19"/>
                <w:szCs w:val="19"/>
                <w:rtl/>
              </w:rPr>
              <w:t>ממקבלי רישיונות הרפואה בשנת 2022 למדו באוניברסיטאות בחו"ל שמשרד הבריאות הפסיק להכיר בהן. בפריפריה רוב הרופאים החדשים הם בוגרים אלו: במחוז דרום - 51% ובמחוז הצפון 63%.</w:t>
            </w:r>
          </w:p>
          <w:p w14:paraId="3C4419BB" w14:textId="77777777" w:rsidR="00236CC3" w:rsidRPr="00236CC3" w:rsidRDefault="00236CC3" w:rsidP="00236CC3">
            <w:pPr>
              <w:tabs>
                <w:tab w:val="center" w:pos="4153"/>
                <w:tab w:val="right" w:pos="8306"/>
              </w:tabs>
              <w:ind w:right="177"/>
              <w:jc w:val="left"/>
              <w:rPr>
                <w:rFonts w:ascii="Tahoma" w:hAnsi="Tahoma" w:cs="Tahoma"/>
                <w:sz w:val="19"/>
                <w:szCs w:val="19"/>
                <w:rtl/>
              </w:rPr>
            </w:pPr>
          </w:p>
        </w:tc>
      </w:tr>
    </w:tbl>
    <w:p w14:paraId="49A83A7D" w14:textId="77777777" w:rsidR="00236CC3" w:rsidRPr="00236CC3" w:rsidRDefault="00236CC3" w:rsidP="00236CC3">
      <w:pPr>
        <w:bidi w:val="0"/>
        <w:rPr>
          <w:rFonts w:ascii="Tahoma" w:eastAsiaTheme="minorHAnsi" w:hAnsi="Tahoma" w:cs="Tahoma"/>
        </w:rPr>
      </w:pPr>
    </w:p>
    <w:p w14:paraId="55D8AA52" w14:textId="77777777" w:rsidR="00D45993" w:rsidRDefault="00000000" w:rsidP="00D45993">
      <w:r>
        <w:br w:type="page"/>
      </w:r>
    </w:p>
    <w:tbl>
      <w:tblPr>
        <w:tblStyle w:val="41"/>
        <w:tblpPr w:leftFromText="180" w:rightFromText="180" w:vertAnchor="text" w:tblpXSpec="center" w:tblpY="1"/>
        <w:tblOverlap w:val="never"/>
        <w:bidiVisual/>
        <w:tblW w:w="10283" w:type="dxa"/>
        <w:tblLook w:val="04A0" w:firstRow="1" w:lastRow="0" w:firstColumn="1" w:lastColumn="0" w:noHBand="0" w:noVBand="1"/>
      </w:tblPr>
      <w:tblGrid>
        <w:gridCol w:w="9652"/>
        <w:gridCol w:w="631"/>
      </w:tblGrid>
      <w:tr w:rsidR="004F19B3" w14:paraId="5E453C1E" w14:textId="77777777" w:rsidTr="00D45993">
        <w:trPr>
          <w:trHeight w:val="1699"/>
        </w:trPr>
        <w:tc>
          <w:tcPr>
            <w:tcW w:w="10283" w:type="dxa"/>
            <w:gridSpan w:val="2"/>
            <w:tcBorders>
              <w:top w:val="nil"/>
              <w:left w:val="nil"/>
              <w:bottom w:val="nil"/>
              <w:right w:val="nil"/>
            </w:tcBorders>
          </w:tcPr>
          <w:p w14:paraId="740AEE9E" w14:textId="77777777" w:rsidR="00236CC3" w:rsidRPr="00236CC3" w:rsidRDefault="00000000" w:rsidP="00236CC3">
            <w:pPr>
              <w:tabs>
                <w:tab w:val="center" w:pos="4153"/>
                <w:tab w:val="right" w:pos="8306"/>
              </w:tabs>
              <w:rPr>
                <w:rFonts w:ascii="Tahoma" w:hAnsi="Tahoma" w:cs="Tahoma"/>
                <w:rtl/>
              </w:rPr>
            </w:pPr>
            <w:r w:rsidRPr="00236CC3">
              <w:rPr>
                <w:rFonts w:ascii="Tahoma" w:hAnsi="Tahoma" w:cs="Tahoma"/>
                <w:noProof/>
              </w:rPr>
              <w:drawing>
                <wp:inline distT="0" distB="0" distL="0" distR="0" wp14:anchorId="19E2124B" wp14:editId="10E49806">
                  <wp:extent cx="5748020" cy="414010"/>
                  <wp:effectExtent l="0" t="0" r="0" b="5715"/>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תקציר תמונה 2.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37336" cy="434848"/>
                          </a:xfrm>
                          <a:prstGeom prst="rect">
                            <a:avLst/>
                          </a:prstGeom>
                        </pic:spPr>
                      </pic:pic>
                    </a:graphicData>
                  </a:graphic>
                </wp:inline>
              </w:drawing>
            </w:r>
          </w:p>
          <w:p w14:paraId="627113A4" w14:textId="77777777" w:rsidR="00236CC3" w:rsidRPr="00236CC3" w:rsidRDefault="00000000" w:rsidP="00236CC3">
            <w:pPr>
              <w:tabs>
                <w:tab w:val="center" w:pos="4153"/>
                <w:tab w:val="right" w:pos="8306"/>
              </w:tabs>
              <w:rPr>
                <w:rFonts w:ascii="Tahoma" w:hAnsi="Tahoma" w:cs="Tahoma"/>
                <w:rtl/>
              </w:rPr>
            </w:pPr>
            <w:r w:rsidRPr="00236CC3">
              <w:rPr>
                <w:rFonts w:ascii="Tahoma" w:hAnsi="Tahoma" w:cs="Tahoma"/>
                <w:noProof/>
                <w:rtl/>
              </w:rPr>
              <w:drawing>
                <wp:inline distT="0" distB="0" distL="0" distR="0" wp14:anchorId="2CA8CA50" wp14:editId="62663860">
                  <wp:extent cx="2616789" cy="200650"/>
                  <wp:effectExtent l="0" t="0" r="0" b="9525"/>
                  <wp:docPr id="3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270B5851"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b/>
                <w:bCs/>
                <w:sz w:val="19"/>
                <w:szCs w:val="19"/>
                <w:rtl/>
              </w:rPr>
              <w:t xml:space="preserve">מידע חלקי </w:t>
            </w:r>
            <w:r w:rsidRPr="00236CC3">
              <w:rPr>
                <w:rFonts w:ascii="Tahoma" w:hAnsi="Tahoma" w:cs="Tahoma" w:hint="cs"/>
                <w:b/>
                <w:bCs/>
                <w:sz w:val="19"/>
                <w:szCs w:val="19"/>
                <w:rtl/>
              </w:rPr>
              <w:t xml:space="preserve">במשרד הבריאות </w:t>
            </w:r>
            <w:r w:rsidRPr="00236CC3">
              <w:rPr>
                <w:rFonts w:ascii="Tahoma" w:hAnsi="Tahoma" w:cs="Tahoma"/>
                <w:b/>
                <w:bCs/>
                <w:sz w:val="19"/>
                <w:szCs w:val="19"/>
                <w:rtl/>
              </w:rPr>
              <w:t>על מצבת הרופאים בישראל</w:t>
            </w:r>
            <w:r w:rsidRPr="00236CC3">
              <w:rPr>
                <w:rFonts w:ascii="Tahoma" w:hAnsi="Tahoma" w:cs="Tahoma"/>
                <w:sz w:val="19"/>
                <w:szCs w:val="19"/>
                <w:rtl/>
              </w:rPr>
              <w:t xml:space="preserve"> </w:t>
            </w:r>
            <w:r w:rsidRPr="00236CC3">
              <w:rPr>
                <w:rFonts w:ascii="Tahoma" w:hAnsi="Tahoma" w:cs="Tahoma" w:hint="cs"/>
                <w:sz w:val="19"/>
                <w:szCs w:val="19"/>
                <w:rtl/>
              </w:rPr>
              <w:t xml:space="preserve">- </w:t>
            </w:r>
            <w:r w:rsidRPr="00236CC3">
              <w:rPr>
                <w:rFonts w:ascii="Tahoma" w:hAnsi="Tahoma" w:cs="Tahoma"/>
                <w:sz w:val="19"/>
                <w:szCs w:val="19"/>
                <w:rtl/>
              </w:rPr>
              <w:t>ל</w:t>
            </w:r>
            <w:r w:rsidRPr="00236CC3">
              <w:rPr>
                <w:rFonts w:ascii="Tahoma" w:hAnsi="Tahoma" w:cs="Tahoma" w:hint="cs"/>
                <w:sz w:val="19"/>
                <w:szCs w:val="19"/>
                <w:rtl/>
              </w:rPr>
              <w:t xml:space="preserve">משרד הבריאות </w:t>
            </w:r>
            <w:r w:rsidRPr="00236CC3">
              <w:rPr>
                <w:rFonts w:ascii="Tahoma" w:hAnsi="Tahoma" w:cs="Tahoma"/>
                <w:sz w:val="19"/>
                <w:szCs w:val="19"/>
                <w:rtl/>
              </w:rPr>
              <w:t xml:space="preserve">אין נתונים מדויקים </w:t>
            </w:r>
            <w:r w:rsidRPr="00236CC3">
              <w:rPr>
                <w:rFonts w:ascii="Tahoma" w:hAnsi="Tahoma" w:cs="Tahoma" w:hint="cs"/>
                <w:sz w:val="19"/>
                <w:szCs w:val="19"/>
                <w:rtl/>
              </w:rPr>
              <w:t xml:space="preserve">על </w:t>
            </w:r>
            <w:r w:rsidRPr="00236CC3">
              <w:rPr>
                <w:rFonts w:ascii="Tahoma" w:hAnsi="Tahoma" w:cs="Tahoma"/>
                <w:sz w:val="19"/>
                <w:szCs w:val="19"/>
                <w:rtl/>
              </w:rPr>
              <w:t xml:space="preserve">אודות מצבת הרופאים בישראל, ועל כן פרסומים שונים של </w:t>
            </w:r>
            <w:r w:rsidRPr="00236CC3">
              <w:rPr>
                <w:rFonts w:ascii="Tahoma" w:hAnsi="Tahoma" w:cs="Tahoma" w:hint="cs"/>
                <w:sz w:val="19"/>
                <w:szCs w:val="19"/>
                <w:rtl/>
              </w:rPr>
              <w:t>ה</w:t>
            </w:r>
            <w:r w:rsidRPr="00236CC3">
              <w:rPr>
                <w:rFonts w:ascii="Tahoma" w:hAnsi="Tahoma" w:cs="Tahoma"/>
                <w:sz w:val="19"/>
                <w:szCs w:val="19"/>
                <w:rtl/>
              </w:rPr>
              <w:t>משרד</w:t>
            </w:r>
            <w:r w:rsidRPr="00236CC3">
              <w:rPr>
                <w:rFonts w:ascii="Tahoma" w:hAnsi="Tahoma" w:cs="Tahoma" w:hint="cs"/>
                <w:sz w:val="19"/>
                <w:szCs w:val="19"/>
                <w:rtl/>
              </w:rPr>
              <w:t xml:space="preserve"> </w:t>
            </w:r>
            <w:r w:rsidRPr="00236CC3">
              <w:rPr>
                <w:rFonts w:ascii="Tahoma" w:hAnsi="Tahoma" w:cs="Tahoma"/>
                <w:sz w:val="19"/>
                <w:szCs w:val="19"/>
                <w:rtl/>
              </w:rPr>
              <w:t xml:space="preserve">מתבססים על נתונים שונים ומציגים מצבת רופאים שונה. </w:t>
            </w:r>
            <w:r w:rsidRPr="00236CC3">
              <w:rPr>
                <w:rFonts w:ascii="Tahoma" w:hAnsi="Tahoma" w:cs="Tahoma" w:hint="cs"/>
                <w:sz w:val="19"/>
                <w:szCs w:val="19"/>
                <w:rtl/>
              </w:rPr>
              <w:t>כך</w:t>
            </w:r>
            <w:r w:rsidRPr="00236CC3">
              <w:rPr>
                <w:rtl/>
              </w:rPr>
              <w:t xml:space="preserve"> </w:t>
            </w:r>
            <w:r w:rsidRPr="00236CC3">
              <w:rPr>
                <w:rFonts w:ascii="Tahoma" w:hAnsi="Tahoma" w:cs="Tahoma" w:hint="cs"/>
                <w:sz w:val="19"/>
                <w:szCs w:val="19"/>
                <w:rtl/>
              </w:rPr>
              <w:t>לפי הנתונים על מצבת הרופאים בדוח בנושא "</w:t>
            </w:r>
            <w:r w:rsidRPr="00236CC3">
              <w:rPr>
                <w:rFonts w:ascii="Tahoma" w:hAnsi="Tahoma" w:cs="Tahoma"/>
                <w:sz w:val="19"/>
                <w:szCs w:val="19"/>
                <w:rtl/>
              </w:rPr>
              <w:t>כוח אדם במקצועות הבריאות 2021</w:t>
            </w:r>
            <w:r w:rsidRPr="00236CC3">
              <w:rPr>
                <w:rFonts w:ascii="Tahoma" w:hAnsi="Tahoma" w:cs="Tahoma" w:hint="cs"/>
                <w:sz w:val="19"/>
                <w:szCs w:val="19"/>
                <w:rtl/>
              </w:rPr>
              <w:t>" שפרסם אגף המידע</w:t>
            </w:r>
            <w:r w:rsidRPr="00236CC3">
              <w:rPr>
                <w:rFonts w:hint="cs"/>
                <w:b/>
                <w:bCs/>
                <w:rtl/>
              </w:rPr>
              <w:t xml:space="preserve"> </w:t>
            </w:r>
            <w:r w:rsidRPr="00236CC3">
              <w:rPr>
                <w:rFonts w:ascii="Tahoma" w:hAnsi="Tahoma" w:cs="Tahoma"/>
                <w:sz w:val="19"/>
                <w:szCs w:val="19"/>
                <w:rtl/>
              </w:rPr>
              <w:t xml:space="preserve">היו 3.9 רופאים ל-1,000 נפש, ולפי </w:t>
            </w:r>
            <w:r w:rsidRPr="00236CC3">
              <w:rPr>
                <w:rFonts w:hint="cs"/>
                <w:b/>
                <w:bCs/>
                <w:rtl/>
              </w:rPr>
              <w:t xml:space="preserve"> </w:t>
            </w:r>
            <w:r w:rsidRPr="00236CC3">
              <w:rPr>
                <w:rFonts w:ascii="Tahoma" w:hAnsi="Tahoma" w:cs="Tahoma" w:hint="cs"/>
                <w:sz w:val="19"/>
                <w:szCs w:val="19"/>
                <w:rtl/>
              </w:rPr>
              <w:t xml:space="preserve">נתוני  מינהל תכנון אסטרטגי וכלכלי במשרד אשר שימשו לצורך בניית </w:t>
            </w:r>
            <w:r w:rsidRPr="00236CC3">
              <w:rPr>
                <w:rFonts w:ascii="Tahoma" w:hAnsi="Tahoma" w:cs="Tahoma"/>
                <w:sz w:val="19"/>
                <w:szCs w:val="19"/>
                <w:rtl/>
              </w:rPr>
              <w:t>תחזית מספר הרופאים המועסקים ל-1,000 נפש</w:t>
            </w:r>
            <w:r w:rsidRPr="00236CC3">
              <w:rPr>
                <w:rFonts w:ascii="Tahoma" w:hAnsi="Tahoma" w:cs="Tahoma" w:hint="cs"/>
                <w:sz w:val="19"/>
                <w:szCs w:val="19"/>
                <w:rtl/>
              </w:rPr>
              <w:t xml:space="preserve"> לשנים 2020 - 2035 </w:t>
            </w:r>
            <w:r w:rsidRPr="00236CC3">
              <w:rPr>
                <w:rFonts w:ascii="Tahoma" w:hAnsi="Tahoma" w:cs="Tahoma"/>
                <w:sz w:val="19"/>
                <w:szCs w:val="19"/>
                <w:rtl/>
              </w:rPr>
              <w:t>היו 3.21</w:t>
            </w:r>
            <w:r w:rsidRPr="00236CC3">
              <w:rPr>
                <w:rFonts w:ascii="Tahoma" w:hAnsi="Tahoma" w:cs="Tahoma" w:hint="cs"/>
                <w:sz w:val="19"/>
                <w:szCs w:val="19"/>
                <w:rtl/>
              </w:rPr>
              <w:t>.</w:t>
            </w:r>
            <w:r w:rsidRPr="00236CC3">
              <w:rPr>
                <w:rFonts w:ascii="Tahoma" w:hAnsi="Tahoma" w:cs="Tahoma"/>
                <w:sz w:val="19"/>
                <w:szCs w:val="19"/>
                <w:rtl/>
              </w:rPr>
              <w:t xml:space="preserve"> בחישוב לכלל אוכלוסיית ישראל מדובר בפער של </w:t>
            </w:r>
            <w:r w:rsidRPr="00236CC3">
              <w:rPr>
                <w:rFonts w:ascii="Tahoma" w:hAnsi="Tahoma" w:cs="Tahoma" w:hint="cs"/>
                <w:sz w:val="19"/>
                <w:szCs w:val="19"/>
                <w:rtl/>
              </w:rPr>
              <w:t>יותר</w:t>
            </w:r>
            <w:r w:rsidRPr="00236CC3">
              <w:rPr>
                <w:rFonts w:ascii="Tahoma" w:hAnsi="Tahoma" w:cs="Tahoma"/>
                <w:sz w:val="19"/>
                <w:szCs w:val="19"/>
                <w:rtl/>
              </w:rPr>
              <w:t xml:space="preserve"> </w:t>
            </w:r>
            <w:r w:rsidRPr="00236CC3">
              <w:rPr>
                <w:rFonts w:ascii="Tahoma" w:hAnsi="Tahoma" w:cs="Tahoma" w:hint="cs"/>
                <w:sz w:val="19"/>
                <w:szCs w:val="19"/>
                <w:rtl/>
              </w:rPr>
              <w:t>מ</w:t>
            </w:r>
            <w:r w:rsidRPr="00236CC3">
              <w:rPr>
                <w:rFonts w:ascii="Tahoma" w:hAnsi="Tahoma" w:cs="Tahoma"/>
                <w:sz w:val="19"/>
                <w:szCs w:val="19"/>
                <w:rtl/>
              </w:rPr>
              <w:t>-6,000 רופאים.</w:t>
            </w:r>
            <w:r w:rsidRPr="00236CC3">
              <w:rPr>
                <w:rFonts w:ascii="Tahoma" w:hAnsi="Tahoma" w:cs="Tahoma" w:hint="cs"/>
                <w:sz w:val="19"/>
                <w:szCs w:val="19"/>
                <w:rtl/>
              </w:rPr>
              <w:t xml:space="preserve"> </w:t>
            </w:r>
          </w:p>
          <w:p w14:paraId="7947D7D1" w14:textId="77777777" w:rsidR="00236CC3" w:rsidRPr="00236CC3" w:rsidRDefault="00000000" w:rsidP="00236CC3">
            <w:pPr>
              <w:numPr>
                <w:ilvl w:val="0"/>
                <w:numId w:val="21"/>
              </w:numPr>
              <w:tabs>
                <w:tab w:val="center" w:pos="4153"/>
                <w:tab w:val="right" w:pos="8306"/>
              </w:tabs>
              <w:spacing w:after="240"/>
              <w:ind w:left="454" w:hanging="454"/>
              <w:contextualSpacing/>
              <w:rPr>
                <w:rFonts w:ascii="Tahoma" w:hAnsi="Tahoma" w:cs="Tahoma"/>
                <w:sz w:val="19"/>
                <w:szCs w:val="19"/>
              </w:rPr>
            </w:pPr>
            <w:bookmarkStart w:id="103" w:name="_Hlk167351751"/>
            <w:r w:rsidRPr="00236CC3">
              <w:rPr>
                <w:rFonts w:ascii="Tahoma" w:hAnsi="Tahoma" w:cs="Tahoma" w:hint="eastAsia"/>
                <w:b/>
                <w:bCs/>
                <w:sz w:val="19"/>
                <w:szCs w:val="19"/>
                <w:rtl/>
              </w:rPr>
              <w:t>תחזית</w:t>
            </w:r>
            <w:r w:rsidRPr="00236CC3">
              <w:rPr>
                <w:rFonts w:ascii="Tahoma" w:hAnsi="Tahoma" w:cs="Tahoma"/>
                <w:b/>
                <w:bCs/>
                <w:sz w:val="19"/>
                <w:szCs w:val="19"/>
                <w:rtl/>
              </w:rPr>
              <w:t xml:space="preserve"> </w:t>
            </w:r>
            <w:r w:rsidRPr="00236CC3">
              <w:rPr>
                <w:rFonts w:ascii="Tahoma" w:hAnsi="Tahoma" w:cs="Tahoma" w:hint="cs"/>
                <w:b/>
                <w:bCs/>
                <w:sz w:val="19"/>
                <w:szCs w:val="19"/>
                <w:rtl/>
              </w:rPr>
              <w:t>משרד הבריאות ל</w:t>
            </w:r>
            <w:r w:rsidRPr="00236CC3">
              <w:rPr>
                <w:rFonts w:ascii="Tahoma" w:hAnsi="Tahoma" w:cs="Tahoma" w:hint="eastAsia"/>
                <w:b/>
                <w:bCs/>
                <w:sz w:val="19"/>
                <w:szCs w:val="19"/>
                <w:rtl/>
              </w:rPr>
              <w:t>מספר</w:t>
            </w:r>
            <w:r w:rsidRPr="00236CC3">
              <w:rPr>
                <w:rFonts w:ascii="Tahoma" w:hAnsi="Tahoma" w:cs="Tahoma"/>
                <w:b/>
                <w:bCs/>
                <w:sz w:val="19"/>
                <w:szCs w:val="19"/>
                <w:rtl/>
              </w:rPr>
              <w:t xml:space="preserve"> </w:t>
            </w:r>
            <w:r w:rsidRPr="00236CC3">
              <w:rPr>
                <w:rFonts w:ascii="Tahoma" w:hAnsi="Tahoma" w:cs="Tahoma" w:hint="eastAsia"/>
                <w:b/>
                <w:bCs/>
                <w:sz w:val="19"/>
                <w:szCs w:val="19"/>
                <w:rtl/>
              </w:rPr>
              <w:t>הרופאים</w:t>
            </w:r>
            <w:r w:rsidRPr="00236CC3">
              <w:rPr>
                <w:rFonts w:ascii="Tahoma" w:hAnsi="Tahoma" w:cs="Tahoma"/>
                <w:b/>
                <w:bCs/>
                <w:sz w:val="19"/>
                <w:szCs w:val="19"/>
                <w:rtl/>
              </w:rPr>
              <w:t xml:space="preserve"> </w:t>
            </w:r>
            <w:r w:rsidRPr="00236CC3">
              <w:rPr>
                <w:rFonts w:ascii="Tahoma" w:hAnsi="Tahoma" w:cs="Tahoma" w:hint="eastAsia"/>
                <w:b/>
                <w:bCs/>
                <w:sz w:val="19"/>
                <w:szCs w:val="19"/>
                <w:rtl/>
              </w:rPr>
              <w:t>בישראל</w:t>
            </w:r>
            <w:r w:rsidRPr="00236CC3">
              <w:rPr>
                <w:rFonts w:ascii="Tahoma" w:hAnsi="Tahoma" w:cs="Tahoma" w:hint="cs"/>
                <w:sz w:val="19"/>
                <w:szCs w:val="19"/>
                <w:rtl/>
              </w:rPr>
              <w:t xml:space="preserve"> </w:t>
            </w:r>
            <w:bookmarkEnd w:id="103"/>
            <w:r w:rsidRPr="00236CC3">
              <w:rPr>
                <w:rFonts w:ascii="Tahoma" w:hAnsi="Tahoma" w:cs="Tahoma" w:hint="cs"/>
                <w:sz w:val="19"/>
                <w:szCs w:val="19"/>
                <w:rtl/>
              </w:rPr>
              <w:t>- על פי</w:t>
            </w:r>
            <w:r w:rsidRPr="00236CC3">
              <w:rPr>
                <w:rFonts w:ascii="Tahoma" w:hAnsi="Tahoma" w:cs="Tahoma"/>
                <w:sz w:val="19"/>
                <w:szCs w:val="19"/>
                <w:rtl/>
              </w:rPr>
              <w:t xml:space="preserve"> התחזית </w:t>
            </w:r>
            <w:r w:rsidRPr="00236CC3">
              <w:rPr>
                <w:rFonts w:ascii="Tahoma" w:hAnsi="Tahoma" w:cs="Tahoma" w:hint="cs"/>
                <w:sz w:val="19"/>
                <w:szCs w:val="19"/>
                <w:rtl/>
              </w:rPr>
              <w:t xml:space="preserve">לשנים 2020 - 2035 </w:t>
            </w:r>
            <w:r w:rsidRPr="00236CC3">
              <w:rPr>
                <w:rFonts w:ascii="Tahoma" w:hAnsi="Tahoma" w:cs="Tahoma"/>
                <w:sz w:val="19"/>
                <w:szCs w:val="19"/>
                <w:rtl/>
              </w:rPr>
              <w:t>מספר הרופאים בישראל ל-1,000 נפש נמוך מהממוצע ב-</w:t>
            </w:r>
            <w:r w:rsidRPr="00236CC3">
              <w:rPr>
                <w:rFonts w:ascii="Tahoma" w:hAnsi="Tahoma" w:cs="Tahoma"/>
                <w:sz w:val="19"/>
                <w:szCs w:val="19"/>
              </w:rPr>
              <w:t>OECD</w:t>
            </w:r>
            <w:r w:rsidRPr="00236CC3">
              <w:rPr>
                <w:rFonts w:ascii="Tahoma" w:hAnsi="Tahoma" w:cs="Tahoma"/>
                <w:sz w:val="19"/>
                <w:szCs w:val="19"/>
                <w:rtl/>
              </w:rPr>
              <w:t xml:space="preserve"> </w:t>
            </w:r>
            <w:r w:rsidRPr="00236CC3">
              <w:rPr>
                <w:rFonts w:ascii="Tahoma" w:hAnsi="Tahoma" w:cs="Tahoma" w:hint="cs"/>
                <w:sz w:val="19"/>
                <w:szCs w:val="19"/>
                <w:rtl/>
              </w:rPr>
              <w:t xml:space="preserve">ונע בין </w:t>
            </w:r>
            <w:r w:rsidRPr="00236CC3">
              <w:rPr>
                <w:rFonts w:ascii="Tahoma" w:hAnsi="Tahoma" w:cs="Tahoma"/>
                <w:sz w:val="19"/>
                <w:szCs w:val="19"/>
                <w:rtl/>
              </w:rPr>
              <w:t xml:space="preserve">3.16 בשנת 2019 </w:t>
            </w:r>
            <w:r w:rsidRPr="00236CC3">
              <w:rPr>
                <w:rFonts w:ascii="Tahoma" w:hAnsi="Tahoma" w:cs="Tahoma" w:hint="cs"/>
                <w:sz w:val="19"/>
                <w:szCs w:val="19"/>
                <w:rtl/>
              </w:rPr>
              <w:t>ל-3.02 בשנת 2035, אל</w:t>
            </w:r>
            <w:r w:rsidRPr="00236CC3">
              <w:rPr>
                <w:rFonts w:ascii="Tahoma" w:hAnsi="Tahoma" w:cs="Tahoma"/>
                <w:sz w:val="19"/>
                <w:szCs w:val="19"/>
                <w:rtl/>
              </w:rPr>
              <w:t xml:space="preserve"> מול 3.5 ב-</w:t>
            </w:r>
            <w:r w:rsidRPr="00236CC3">
              <w:rPr>
                <w:rFonts w:ascii="Tahoma" w:hAnsi="Tahoma" w:cs="Tahoma"/>
                <w:sz w:val="19"/>
                <w:szCs w:val="19"/>
              </w:rPr>
              <w:t>OECD</w:t>
            </w:r>
            <w:r w:rsidRPr="00236CC3">
              <w:rPr>
                <w:rFonts w:ascii="Tahoma" w:hAnsi="Tahoma" w:cs="Tahoma" w:hint="cs"/>
                <w:sz w:val="19"/>
                <w:szCs w:val="19"/>
                <w:rtl/>
              </w:rPr>
              <w:t xml:space="preserve"> לאורך אותן שנים. ב</w:t>
            </w:r>
            <w:r w:rsidRPr="00236CC3">
              <w:rPr>
                <w:rFonts w:ascii="Tahoma" w:hAnsi="Tahoma" w:cs="Tahoma"/>
                <w:sz w:val="19"/>
                <w:szCs w:val="19"/>
                <w:rtl/>
              </w:rPr>
              <w:t xml:space="preserve">שנת 2020 היה שיעור הרופאים בישראל שגילם 55 ומעלה כ-48%, </w:t>
            </w:r>
            <w:r w:rsidRPr="00236CC3">
              <w:rPr>
                <w:rFonts w:ascii="Tahoma" w:hAnsi="Tahoma" w:cs="Tahoma"/>
                <w:b/>
                <w:bCs/>
                <w:sz w:val="19"/>
                <w:szCs w:val="19"/>
                <w:rtl/>
              </w:rPr>
              <w:t>הגבוה ביותר מבין מדינות ה-</w:t>
            </w:r>
            <w:r w:rsidRPr="00236CC3">
              <w:rPr>
                <w:rFonts w:ascii="Tahoma" w:hAnsi="Tahoma" w:cs="Tahoma"/>
                <w:b/>
                <w:bCs/>
                <w:sz w:val="19"/>
                <w:szCs w:val="19"/>
              </w:rPr>
              <w:t>OECD</w:t>
            </w:r>
            <w:r w:rsidRPr="00236CC3">
              <w:rPr>
                <w:rFonts w:ascii="Tahoma" w:hAnsi="Tahoma" w:cs="Tahoma"/>
                <w:sz w:val="19"/>
                <w:szCs w:val="19"/>
                <w:rtl/>
              </w:rPr>
              <w:t xml:space="preserve"> (ממוצע ה-</w:t>
            </w:r>
            <w:r w:rsidRPr="00236CC3">
              <w:rPr>
                <w:rFonts w:ascii="Tahoma" w:hAnsi="Tahoma" w:cs="Tahoma"/>
                <w:sz w:val="19"/>
                <w:szCs w:val="19"/>
              </w:rPr>
              <w:t>OECD</w:t>
            </w:r>
            <w:r w:rsidRPr="00236CC3">
              <w:rPr>
                <w:rFonts w:ascii="Tahoma" w:hAnsi="Tahoma" w:cs="Tahoma"/>
                <w:sz w:val="19"/>
                <w:szCs w:val="19"/>
                <w:rtl/>
              </w:rPr>
              <w:t xml:space="preserve"> עמד בשנה זו על כ-33%), אחרי איטליה (56%).</w:t>
            </w:r>
            <w:r w:rsidRPr="00236CC3">
              <w:rPr>
                <w:rFonts w:ascii="Tahoma" w:hAnsi="Tahoma" w:cs="Tahoma" w:hint="cs"/>
                <w:sz w:val="19"/>
                <w:szCs w:val="19"/>
                <w:rtl/>
              </w:rPr>
              <w:t xml:space="preserve"> </w:t>
            </w:r>
            <w:r w:rsidRPr="00236CC3">
              <w:rPr>
                <w:rtl/>
              </w:rPr>
              <w:t xml:space="preserve"> </w:t>
            </w:r>
            <w:r w:rsidRPr="00236CC3">
              <w:rPr>
                <w:b/>
                <w:bCs/>
                <w:rtl/>
              </w:rPr>
              <w:t xml:space="preserve"> </w:t>
            </w:r>
            <w:r w:rsidRPr="00236CC3">
              <w:rPr>
                <w:rFonts w:ascii="Tahoma" w:hAnsi="Tahoma" w:cs="Tahoma"/>
                <w:sz w:val="19"/>
                <w:szCs w:val="19"/>
                <w:rtl/>
              </w:rPr>
              <w:t xml:space="preserve">הצעות </w:t>
            </w:r>
            <w:r w:rsidRPr="00236CC3">
              <w:rPr>
                <w:rFonts w:ascii="Tahoma" w:hAnsi="Tahoma" w:cs="Tahoma" w:hint="cs"/>
                <w:sz w:val="19"/>
                <w:szCs w:val="19"/>
                <w:rtl/>
              </w:rPr>
              <w:t>ה</w:t>
            </w:r>
            <w:r w:rsidRPr="00236CC3">
              <w:rPr>
                <w:rFonts w:ascii="Tahoma" w:hAnsi="Tahoma" w:cs="Tahoma"/>
                <w:sz w:val="19"/>
                <w:szCs w:val="19"/>
                <w:rtl/>
              </w:rPr>
              <w:t>מדיניות להגדלת מספר הרופאים</w:t>
            </w:r>
            <w:r w:rsidRPr="00236CC3">
              <w:rPr>
                <w:rFonts w:ascii="Tahoma" w:hAnsi="Tahoma" w:cs="Tahoma" w:hint="cs"/>
                <w:sz w:val="19"/>
                <w:szCs w:val="19"/>
                <w:rtl/>
              </w:rPr>
              <w:t xml:space="preserve"> שגיבש משרד הבריאות</w:t>
            </w:r>
            <w:r w:rsidRPr="00236CC3">
              <w:rPr>
                <w:rFonts w:ascii="Tahoma" w:hAnsi="Tahoma" w:cs="Tahoma"/>
                <w:sz w:val="19"/>
                <w:szCs w:val="19"/>
                <w:rtl/>
              </w:rPr>
              <w:t xml:space="preserve"> </w:t>
            </w:r>
            <w:r w:rsidRPr="00236CC3">
              <w:rPr>
                <w:rFonts w:ascii="Tahoma" w:hAnsi="Tahoma" w:cs="Tahoma" w:hint="cs"/>
                <w:sz w:val="19"/>
                <w:szCs w:val="19"/>
                <w:rtl/>
              </w:rPr>
              <w:t xml:space="preserve">וכן הצפי לפתיחת שלושה בתי ספר לרפואה </w:t>
            </w:r>
            <w:r w:rsidRPr="00236CC3">
              <w:rPr>
                <w:rFonts w:ascii="Tahoma" w:hAnsi="Tahoma" w:cs="Tahoma"/>
                <w:sz w:val="19"/>
                <w:szCs w:val="19"/>
                <w:rtl/>
              </w:rPr>
              <w:t xml:space="preserve">נועדו להבטיח את כמות הרופאים הנדרשת ואת רמתם המקצועית הגבוהה בטווח הארוך. </w:t>
            </w:r>
            <w:r w:rsidRPr="00236CC3">
              <w:rPr>
                <w:rFonts w:ascii="Tahoma" w:hAnsi="Tahoma" w:cs="Tahoma" w:hint="cs"/>
                <w:sz w:val="19"/>
                <w:szCs w:val="19"/>
                <w:rtl/>
              </w:rPr>
              <w:t>עם זאת, בהתייחס ל</w:t>
            </w:r>
            <w:r w:rsidRPr="00236CC3">
              <w:rPr>
                <w:rFonts w:ascii="Tahoma" w:hAnsi="Tahoma" w:cs="Tahoma"/>
                <w:sz w:val="19"/>
                <w:szCs w:val="19"/>
                <w:rtl/>
              </w:rPr>
              <w:t xml:space="preserve">טווח הקצר והבינוני </w:t>
            </w:r>
            <w:r w:rsidRPr="00236CC3">
              <w:rPr>
                <w:rFonts w:ascii="Tahoma" w:hAnsi="Tahoma" w:cs="Tahoma" w:hint="cs"/>
                <w:sz w:val="19"/>
                <w:szCs w:val="19"/>
                <w:rtl/>
              </w:rPr>
              <w:t xml:space="preserve">עלה כי </w:t>
            </w:r>
            <w:r w:rsidRPr="00236CC3">
              <w:rPr>
                <w:rFonts w:ascii="Tahoma" w:hAnsi="Tahoma" w:cs="Tahoma"/>
                <w:sz w:val="19"/>
                <w:szCs w:val="19"/>
                <w:rtl/>
              </w:rPr>
              <w:t>משרד הבריאות החל בעבודת מטה אך היא טרם הושלמה ולא התגבשה לתכנית אופרטיבית מלאה עם יעדים ומדדים לפי תחומי התמחות ואזורים גאוגרפיים</w:t>
            </w:r>
            <w:r w:rsidRPr="00236CC3">
              <w:rPr>
                <w:rFonts w:ascii="Tahoma" w:hAnsi="Tahoma" w:cs="Tahoma" w:hint="cs"/>
                <w:sz w:val="19"/>
                <w:szCs w:val="19"/>
                <w:rtl/>
              </w:rPr>
              <w:t xml:space="preserve">. בהעדר תכנית, </w:t>
            </w:r>
            <w:r w:rsidRPr="00236CC3">
              <w:rPr>
                <w:rFonts w:ascii="Tahoma" w:hAnsi="Tahoma" w:cs="Tahoma" w:hint="cs"/>
                <w:b/>
                <w:bCs/>
                <w:sz w:val="19"/>
                <w:szCs w:val="19"/>
                <w:rtl/>
              </w:rPr>
              <w:t xml:space="preserve">לא ניתן לתת מענה הולם </w:t>
            </w:r>
            <w:r w:rsidRPr="00236CC3">
              <w:rPr>
                <w:rFonts w:ascii="Tahoma" w:hAnsi="Tahoma" w:cs="Tahoma"/>
                <w:b/>
                <w:bCs/>
                <w:sz w:val="19"/>
                <w:szCs w:val="19"/>
                <w:rtl/>
              </w:rPr>
              <w:t>למחסור ברופאים מומחים בהתייחס לאזורים ג</w:t>
            </w:r>
            <w:r w:rsidRPr="00236CC3">
              <w:rPr>
                <w:rFonts w:ascii="Tahoma" w:hAnsi="Tahoma" w:cs="Tahoma" w:hint="cs"/>
                <w:b/>
                <w:bCs/>
                <w:sz w:val="19"/>
                <w:szCs w:val="19"/>
                <w:rtl/>
              </w:rPr>
              <w:t>י</w:t>
            </w:r>
            <w:r w:rsidRPr="00236CC3">
              <w:rPr>
                <w:rFonts w:ascii="Tahoma" w:hAnsi="Tahoma" w:cs="Tahoma"/>
                <w:b/>
                <w:bCs/>
                <w:sz w:val="19"/>
                <w:szCs w:val="19"/>
                <w:rtl/>
              </w:rPr>
              <w:t>אוגרפיים שונים</w:t>
            </w:r>
            <w:r w:rsidRPr="00236CC3">
              <w:rPr>
                <w:rFonts w:ascii="Tahoma" w:hAnsi="Tahoma" w:cs="Tahoma" w:hint="cs"/>
                <w:sz w:val="19"/>
                <w:szCs w:val="19"/>
                <w:rtl/>
              </w:rPr>
              <w:t>.</w:t>
            </w:r>
          </w:p>
          <w:p w14:paraId="542F5633" w14:textId="77777777" w:rsidR="00236CC3" w:rsidRPr="00236CC3" w:rsidRDefault="00236CC3" w:rsidP="00236CC3">
            <w:pPr>
              <w:tabs>
                <w:tab w:val="center" w:pos="4153"/>
                <w:tab w:val="right" w:pos="8306"/>
              </w:tabs>
              <w:spacing w:after="240"/>
              <w:ind w:left="454"/>
              <w:contextualSpacing/>
              <w:rPr>
                <w:rFonts w:ascii="Tahoma" w:hAnsi="Tahoma" w:cs="Tahoma"/>
                <w:sz w:val="19"/>
                <w:szCs w:val="19"/>
              </w:rPr>
            </w:pPr>
          </w:p>
          <w:p w14:paraId="370AC44F"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hint="eastAsia"/>
                <w:b/>
                <w:bCs/>
                <w:sz w:val="19"/>
                <w:szCs w:val="19"/>
                <w:rtl/>
              </w:rPr>
              <w:t>סטנדרט</w:t>
            </w:r>
            <w:r w:rsidRPr="00236CC3">
              <w:rPr>
                <w:rFonts w:ascii="Tahoma" w:hAnsi="Tahoma" w:cs="Tahoma"/>
                <w:b/>
                <w:bCs/>
                <w:sz w:val="19"/>
                <w:szCs w:val="19"/>
                <w:rtl/>
              </w:rPr>
              <w:t xml:space="preserve"> </w:t>
            </w:r>
            <w:r w:rsidRPr="00236CC3">
              <w:rPr>
                <w:rFonts w:ascii="Tahoma" w:hAnsi="Tahoma" w:cs="Tahoma" w:hint="eastAsia"/>
                <w:b/>
                <w:bCs/>
                <w:sz w:val="19"/>
                <w:szCs w:val="19"/>
                <w:rtl/>
              </w:rPr>
              <w:t>לזמינות</w:t>
            </w:r>
            <w:r w:rsidRPr="00236CC3">
              <w:rPr>
                <w:rFonts w:ascii="Tahoma" w:hAnsi="Tahoma" w:cs="Tahoma"/>
                <w:b/>
                <w:bCs/>
                <w:sz w:val="19"/>
                <w:szCs w:val="19"/>
                <w:rtl/>
              </w:rPr>
              <w:t xml:space="preserve"> </w:t>
            </w:r>
            <w:r w:rsidRPr="00236CC3">
              <w:rPr>
                <w:rFonts w:ascii="Tahoma" w:hAnsi="Tahoma" w:cs="Tahoma" w:hint="eastAsia"/>
                <w:b/>
                <w:bCs/>
                <w:sz w:val="19"/>
                <w:szCs w:val="19"/>
                <w:rtl/>
              </w:rPr>
              <w:t>שירותי</w:t>
            </w:r>
            <w:r w:rsidRPr="00236CC3">
              <w:rPr>
                <w:rFonts w:ascii="Tahoma" w:hAnsi="Tahoma" w:cs="Tahoma"/>
                <w:b/>
                <w:bCs/>
                <w:sz w:val="19"/>
                <w:szCs w:val="19"/>
                <w:rtl/>
              </w:rPr>
              <w:t xml:space="preserve"> </w:t>
            </w:r>
            <w:r w:rsidRPr="00236CC3">
              <w:rPr>
                <w:rFonts w:ascii="Tahoma" w:hAnsi="Tahoma" w:cs="Tahoma" w:hint="eastAsia"/>
                <w:b/>
                <w:bCs/>
                <w:sz w:val="19"/>
                <w:szCs w:val="19"/>
                <w:rtl/>
              </w:rPr>
              <w:t>רפואה</w:t>
            </w:r>
            <w:r w:rsidRPr="00236CC3">
              <w:rPr>
                <w:rFonts w:ascii="Tahoma" w:hAnsi="Tahoma" w:cs="Tahoma" w:hint="cs"/>
                <w:sz w:val="19"/>
                <w:szCs w:val="19"/>
                <w:rtl/>
              </w:rPr>
              <w:t xml:space="preserve"> - </w:t>
            </w:r>
            <w:r w:rsidRPr="00236CC3">
              <w:rPr>
                <w:rFonts w:ascii="Tahoma" w:hAnsi="Tahoma" w:cs="Tahoma"/>
                <w:sz w:val="19"/>
                <w:szCs w:val="19"/>
                <w:rtl/>
              </w:rPr>
              <w:t>משרד הבריאות א</w:t>
            </w:r>
            <w:r w:rsidRPr="00236CC3">
              <w:rPr>
                <w:rFonts w:ascii="Tahoma" w:hAnsi="Tahoma" w:cs="Tahoma" w:hint="cs"/>
                <w:sz w:val="19"/>
                <w:szCs w:val="19"/>
                <w:rtl/>
              </w:rPr>
              <w:t>ו</w:t>
            </w:r>
            <w:r w:rsidRPr="00236CC3">
              <w:rPr>
                <w:rFonts w:ascii="Tahoma" w:hAnsi="Tahoma" w:cs="Tahoma"/>
                <w:sz w:val="19"/>
                <w:szCs w:val="19"/>
                <w:rtl/>
              </w:rPr>
              <w:t>מנם קבע סטנדרט המתייחס לזמינות השירות הרפואי בקהילה, אך הוא לא הגדיר לו מדדים - מהו טווח הזמינות הרצוי והסביר. יצוין כי קופות החולים קבעו לעצמן סטנדרט פנימי לזמינות השירות ברפואה היועצת, אולם הן א</w:t>
            </w:r>
            <w:r w:rsidRPr="00236CC3">
              <w:rPr>
                <w:rFonts w:ascii="Tahoma" w:hAnsi="Tahoma" w:cs="Tahoma" w:hint="cs"/>
                <w:sz w:val="19"/>
                <w:szCs w:val="19"/>
                <w:rtl/>
              </w:rPr>
              <w:t>ינן</w:t>
            </w:r>
            <w:r w:rsidRPr="00236CC3">
              <w:rPr>
                <w:rFonts w:ascii="Tahoma" w:hAnsi="Tahoma" w:cs="Tahoma"/>
                <w:sz w:val="19"/>
                <w:szCs w:val="19"/>
                <w:rtl/>
              </w:rPr>
              <w:t xml:space="preserve"> מפרסמות אותו לציבור.</w:t>
            </w:r>
          </w:p>
          <w:p w14:paraId="3319E61D"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b/>
                <w:bCs/>
                <w:sz w:val="19"/>
                <w:szCs w:val="19"/>
              </w:rPr>
            </w:pPr>
            <w:r w:rsidRPr="00236CC3">
              <w:rPr>
                <w:rFonts w:ascii="Tahoma" w:hAnsi="Tahoma" w:cs="Tahoma"/>
                <w:b/>
                <w:bCs/>
                <w:sz w:val="19"/>
                <w:szCs w:val="19"/>
                <w:rtl/>
              </w:rPr>
              <w:t>מדידת זמני ההמתנה לשירותי רפואה</w:t>
            </w:r>
            <w:r w:rsidRPr="00236CC3">
              <w:rPr>
                <w:rFonts w:ascii="Tahoma" w:hAnsi="Tahoma" w:cs="Tahoma" w:hint="cs"/>
                <w:sz w:val="19"/>
                <w:szCs w:val="19"/>
                <w:rtl/>
              </w:rPr>
              <w:t xml:space="preserve"> - </w:t>
            </w:r>
            <w:r w:rsidRPr="00236CC3">
              <w:rPr>
                <w:rFonts w:ascii="Tahoma" w:hAnsi="Tahoma" w:cs="Tahoma"/>
                <w:sz w:val="19"/>
                <w:szCs w:val="19"/>
                <w:rtl/>
              </w:rPr>
              <w:t>כחלק מהתוכנית הלאומית לחיזוק הרפואה הציבורית פרסם משרד הבריאות בסוף שנת 2019, מערכת לאומית למדידה של זמני המתנה לרופאים יועצים בקהילה ודיווח לציבור</w:t>
            </w:r>
            <w:r w:rsidRPr="00236CC3">
              <w:rPr>
                <w:rFonts w:ascii="Tahoma" w:hAnsi="Tahoma" w:cs="Tahoma" w:hint="cs"/>
                <w:sz w:val="19"/>
                <w:szCs w:val="19"/>
                <w:rtl/>
              </w:rPr>
              <w:t xml:space="preserve">. </w:t>
            </w:r>
            <w:r w:rsidRPr="00236CC3">
              <w:rPr>
                <w:rFonts w:ascii="Tahoma" w:hAnsi="Tahoma" w:cs="Tahoma"/>
                <w:sz w:val="19"/>
                <w:szCs w:val="19"/>
                <w:rtl/>
              </w:rPr>
              <w:t xml:space="preserve">שיטת חישוב משך ההמתנה במערכת המדידה </w:t>
            </w:r>
            <w:r w:rsidRPr="00236CC3">
              <w:rPr>
                <w:rFonts w:ascii="Tahoma" w:hAnsi="Tahoma" w:cs="Tahoma" w:hint="cs"/>
                <w:sz w:val="19"/>
                <w:szCs w:val="19"/>
                <w:rtl/>
              </w:rPr>
              <w:t xml:space="preserve">של משרד הבריאות </w:t>
            </w:r>
            <w:r w:rsidRPr="00236CC3">
              <w:rPr>
                <w:rFonts w:ascii="Tahoma" w:hAnsi="Tahoma" w:cs="Tahoma"/>
                <w:sz w:val="19"/>
                <w:szCs w:val="19"/>
                <w:rtl/>
              </w:rPr>
              <w:t>היא פרוספקטיבית</w:t>
            </w:r>
            <w:r w:rsidRPr="00236CC3">
              <w:rPr>
                <w:rFonts w:ascii="Tahoma" w:hAnsi="Tahoma" w:cs="Tahoma" w:hint="cs"/>
                <w:sz w:val="19"/>
                <w:szCs w:val="19"/>
                <w:rtl/>
              </w:rPr>
              <w:t xml:space="preserve">. שיטה זו </w:t>
            </w:r>
            <w:r w:rsidRPr="00236CC3">
              <w:rPr>
                <w:rFonts w:ascii="Tahoma" w:hAnsi="Tahoma" w:cs="Tahoma"/>
                <w:sz w:val="19"/>
                <w:szCs w:val="19"/>
                <w:rtl/>
              </w:rPr>
              <w:t>מאפשרת להעריך מה תהיה בעתיד התפלגות זמני ההמתנה לביקורים שיתקיימו בתקופה מבוקשת, והיא נעשית באמצעות זמינות התורים הפנויים לפי יומני הרופאים שקופות החולים מציעות למבוטחיהן</w:t>
            </w:r>
            <w:r w:rsidRPr="00236CC3">
              <w:rPr>
                <w:rFonts w:ascii="Tahoma" w:hAnsi="Tahoma" w:cs="Tahoma" w:hint="cs"/>
                <w:sz w:val="19"/>
                <w:szCs w:val="19"/>
                <w:rtl/>
              </w:rPr>
              <w:t xml:space="preserve">. נמצא כי </w:t>
            </w:r>
            <w:r w:rsidRPr="00236CC3">
              <w:rPr>
                <w:rFonts w:ascii="Tahoma" w:hAnsi="Tahoma" w:cs="Tahoma"/>
                <w:sz w:val="19"/>
                <w:szCs w:val="19"/>
                <w:rtl/>
              </w:rPr>
              <w:t>שיטה</w:t>
            </w:r>
            <w:r w:rsidRPr="00236CC3">
              <w:rPr>
                <w:rFonts w:ascii="Tahoma" w:hAnsi="Tahoma" w:cs="Tahoma" w:hint="cs"/>
                <w:sz w:val="19"/>
                <w:szCs w:val="19"/>
                <w:rtl/>
              </w:rPr>
              <w:t xml:space="preserve"> זו</w:t>
            </w:r>
            <w:r w:rsidRPr="00236CC3">
              <w:rPr>
                <w:rFonts w:ascii="Tahoma" w:hAnsi="Tahoma" w:cs="Tahoma"/>
                <w:sz w:val="19"/>
                <w:szCs w:val="19"/>
                <w:rtl/>
              </w:rPr>
              <w:t xml:space="preserve"> אינה בוחנת את המתאם בין נתונים דמוגרפיים כגון מגדר, גיל או האוכלוסייה של המבוטחים ובין זמן ההמתנה.  </w:t>
            </w:r>
          </w:p>
          <w:p w14:paraId="039DB118"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b/>
                <w:bCs/>
                <w:sz w:val="19"/>
                <w:szCs w:val="19"/>
              </w:rPr>
            </w:pPr>
            <w:r w:rsidRPr="00236CC3">
              <w:rPr>
                <w:rFonts w:ascii="Tahoma" w:hAnsi="Tahoma" w:cs="Tahoma"/>
                <w:b/>
                <w:bCs/>
                <w:sz w:val="19"/>
                <w:szCs w:val="19"/>
                <w:rtl/>
              </w:rPr>
              <w:t>תחומי הרפואה היועצת שבהם זמן ההמתנה לתור ארוך במיוחד</w:t>
            </w:r>
            <w:r w:rsidRPr="00236CC3">
              <w:rPr>
                <w:rFonts w:ascii="Tahoma" w:hAnsi="Tahoma" w:cs="Tahoma" w:hint="cs"/>
                <w:b/>
                <w:bCs/>
                <w:sz w:val="19"/>
                <w:szCs w:val="19"/>
                <w:rtl/>
              </w:rPr>
              <w:t xml:space="preserve"> </w:t>
            </w:r>
            <w:r w:rsidRPr="00236CC3">
              <w:rPr>
                <w:rFonts w:ascii="Tahoma" w:hAnsi="Tahoma" w:cs="Tahoma" w:hint="cs"/>
                <w:sz w:val="19"/>
                <w:szCs w:val="19"/>
                <w:rtl/>
              </w:rPr>
              <w:t>-</w:t>
            </w:r>
            <w:r w:rsidRPr="00236CC3">
              <w:rPr>
                <w:rFonts w:ascii="Tahoma" w:hAnsi="Tahoma" w:cs="Tahoma" w:hint="cs"/>
                <w:b/>
                <w:bCs/>
                <w:sz w:val="19"/>
                <w:szCs w:val="19"/>
                <w:rtl/>
              </w:rPr>
              <w:t xml:space="preserve"> </w:t>
            </w:r>
            <w:r w:rsidRPr="00236CC3">
              <w:rPr>
                <w:rFonts w:ascii="Tahoma" w:hAnsi="Tahoma" w:cs="Tahoma" w:hint="cs"/>
                <w:sz w:val="19"/>
                <w:szCs w:val="19"/>
                <w:rtl/>
              </w:rPr>
              <w:t xml:space="preserve">על פי נתוני הקופות לשנת 2022, </w:t>
            </w:r>
            <w:r w:rsidRPr="00236CC3">
              <w:rPr>
                <w:rFonts w:ascii="Tahoma" w:hAnsi="Tahoma" w:cs="Tahoma"/>
                <w:sz w:val="19"/>
                <w:szCs w:val="19"/>
                <w:rtl/>
              </w:rPr>
              <w:t>עיקר התורים בקופות (כ-70%) הם בתחומי ההתמחויות השכיחים: נשים, אורתופדיה, עור ומין, עיניים ואף</w:t>
            </w:r>
            <w:r w:rsidRPr="00236CC3">
              <w:rPr>
                <w:rFonts w:ascii="Tahoma" w:hAnsi="Tahoma" w:cs="Tahoma" w:hint="cs"/>
                <w:sz w:val="19"/>
                <w:szCs w:val="19"/>
                <w:rtl/>
              </w:rPr>
              <w:t xml:space="preserve">, </w:t>
            </w:r>
            <w:r w:rsidRPr="00236CC3">
              <w:rPr>
                <w:rFonts w:ascii="Tahoma" w:hAnsi="Tahoma" w:cs="Tahoma"/>
                <w:sz w:val="19"/>
                <w:szCs w:val="19"/>
                <w:rtl/>
              </w:rPr>
              <w:t>אוזן</w:t>
            </w:r>
            <w:r w:rsidRPr="00236CC3">
              <w:rPr>
                <w:rFonts w:ascii="Tahoma" w:hAnsi="Tahoma" w:cs="Tahoma" w:hint="cs"/>
                <w:sz w:val="19"/>
                <w:szCs w:val="19"/>
                <w:rtl/>
              </w:rPr>
              <w:t xml:space="preserve"> ו</w:t>
            </w:r>
            <w:r w:rsidRPr="00236CC3">
              <w:rPr>
                <w:rFonts w:ascii="Tahoma" w:hAnsi="Tahoma" w:cs="Tahoma"/>
                <w:sz w:val="19"/>
                <w:szCs w:val="19"/>
                <w:rtl/>
              </w:rPr>
              <w:t xml:space="preserve">גרון. אולם, </w:t>
            </w:r>
            <w:r w:rsidRPr="00236CC3">
              <w:rPr>
                <w:rFonts w:ascii="Tahoma" w:hAnsi="Tahoma" w:cs="Tahoma" w:hint="cs"/>
                <w:sz w:val="19"/>
                <w:szCs w:val="19"/>
                <w:rtl/>
              </w:rPr>
              <w:t xml:space="preserve">עלה </w:t>
            </w:r>
            <w:r w:rsidRPr="00236CC3">
              <w:rPr>
                <w:rFonts w:ascii="Tahoma" w:hAnsi="Tahoma" w:cs="Tahoma"/>
                <w:sz w:val="19"/>
                <w:szCs w:val="19"/>
                <w:rtl/>
              </w:rPr>
              <w:t xml:space="preserve">שבשלוש קופות חולים </w:t>
            </w:r>
            <w:r w:rsidRPr="00236CC3">
              <w:rPr>
                <w:rFonts w:ascii="Tahoma" w:hAnsi="Tahoma" w:cs="Tahoma" w:hint="cs"/>
                <w:sz w:val="19"/>
                <w:szCs w:val="19"/>
                <w:rtl/>
              </w:rPr>
              <w:t>- כללית, מכבי ולאומית</w:t>
            </w:r>
            <w:r w:rsidRPr="00236CC3">
              <w:rPr>
                <w:rFonts w:ascii="Tahoma" w:hAnsi="Tahoma" w:cs="Tahoma"/>
                <w:sz w:val="19"/>
                <w:szCs w:val="19"/>
                <w:rtl/>
              </w:rPr>
              <w:t xml:space="preserve">, תחומים אלו </w:t>
            </w:r>
            <w:r w:rsidRPr="00236CC3">
              <w:rPr>
                <w:rFonts w:ascii="Tahoma" w:hAnsi="Tahoma" w:cs="Tahoma" w:hint="cs"/>
                <w:sz w:val="19"/>
                <w:szCs w:val="19"/>
                <w:rtl/>
              </w:rPr>
              <w:t>אינם</w:t>
            </w:r>
            <w:r w:rsidRPr="00236CC3">
              <w:rPr>
                <w:rFonts w:ascii="Tahoma" w:hAnsi="Tahoma" w:cs="Tahoma"/>
                <w:sz w:val="19"/>
                <w:szCs w:val="19"/>
                <w:rtl/>
              </w:rPr>
              <w:t xml:space="preserve"> בהכרח התחומים שבהם השיעור הגבוה ביותר של המתנה ארוכה לתורים. כך, </w:t>
            </w:r>
            <w:r w:rsidRPr="00236CC3">
              <w:rPr>
                <w:rFonts w:ascii="Tahoma" w:hAnsi="Tahoma" w:cs="Tahoma" w:hint="cs"/>
                <w:sz w:val="19"/>
                <w:szCs w:val="19"/>
                <w:rtl/>
              </w:rPr>
              <w:t xml:space="preserve">בכללית - </w:t>
            </w:r>
            <w:r w:rsidRPr="00236CC3">
              <w:rPr>
                <w:rFonts w:ascii="Tahoma" w:hAnsi="Tahoma" w:cs="Tahoma"/>
                <w:sz w:val="19"/>
                <w:szCs w:val="19"/>
                <w:rtl/>
              </w:rPr>
              <w:t>בצמרת התחומים שבהם מספר גבוה של תורים שההמתנה אליהם ארכה יותר מ-90 יום</w:t>
            </w:r>
            <w:r w:rsidRPr="00236CC3">
              <w:rPr>
                <w:rFonts w:ascii="Tahoma" w:hAnsi="Tahoma" w:cs="Tahoma" w:hint="cs"/>
                <w:sz w:val="19"/>
                <w:szCs w:val="19"/>
                <w:rtl/>
              </w:rPr>
              <w:t>,</w:t>
            </w:r>
            <w:r w:rsidRPr="00236CC3">
              <w:rPr>
                <w:rFonts w:ascii="Tahoma" w:hAnsi="Tahoma" w:cs="Tahoma"/>
                <w:sz w:val="19"/>
                <w:szCs w:val="19"/>
                <w:rtl/>
              </w:rPr>
              <w:t xml:space="preserve"> נמצאים תחומי כירורגיית השד, האנדוקרינולוגיה והנירולוגיה; במכבי</w:t>
            </w:r>
            <w:r w:rsidRPr="00236CC3">
              <w:rPr>
                <w:rFonts w:ascii="Tahoma" w:hAnsi="Tahoma" w:cs="Tahoma" w:hint="cs"/>
                <w:sz w:val="19"/>
                <w:szCs w:val="19"/>
                <w:rtl/>
              </w:rPr>
              <w:t xml:space="preserve"> -</w:t>
            </w:r>
            <w:r w:rsidRPr="00236CC3">
              <w:rPr>
                <w:rFonts w:ascii="Tahoma" w:hAnsi="Tahoma" w:cs="Tahoma"/>
                <w:sz w:val="19"/>
                <w:szCs w:val="19"/>
                <w:rtl/>
              </w:rPr>
              <w:t xml:space="preserve"> גסטרואנטרולוגיה ואנדוקרינולוגיה מהווים נתח משמעותי מהתחומים </w:t>
            </w:r>
            <w:r w:rsidRPr="00236CC3">
              <w:rPr>
                <w:rFonts w:ascii="Tahoma" w:hAnsi="Tahoma" w:cs="Tahoma" w:hint="cs"/>
                <w:sz w:val="19"/>
                <w:szCs w:val="19"/>
                <w:rtl/>
              </w:rPr>
              <w:t>ש</w:t>
            </w:r>
            <w:r w:rsidRPr="00236CC3">
              <w:rPr>
                <w:rFonts w:ascii="Tahoma" w:hAnsi="Tahoma" w:cs="Tahoma"/>
                <w:sz w:val="19"/>
                <w:szCs w:val="19"/>
                <w:rtl/>
              </w:rPr>
              <w:t>להם המתנה ארוכה מ-90 יום; ובלאומית</w:t>
            </w:r>
            <w:r w:rsidRPr="00236CC3">
              <w:rPr>
                <w:rFonts w:ascii="Tahoma" w:hAnsi="Tahoma" w:cs="Tahoma" w:hint="cs"/>
                <w:sz w:val="19"/>
                <w:szCs w:val="19"/>
                <w:rtl/>
              </w:rPr>
              <w:t xml:space="preserve"> - </w:t>
            </w:r>
            <w:r w:rsidRPr="00236CC3">
              <w:rPr>
                <w:rFonts w:ascii="Tahoma" w:hAnsi="Tahoma" w:cs="Tahoma"/>
                <w:sz w:val="19"/>
                <w:szCs w:val="19"/>
                <w:rtl/>
              </w:rPr>
              <w:t xml:space="preserve">המקצועות שבהם המספר הגבוה ביותר של תורים שההמתנה אליהם ארכה יותר מ-90 יום </w:t>
            </w:r>
            <w:r w:rsidRPr="00236CC3">
              <w:rPr>
                <w:rFonts w:ascii="Tahoma" w:hAnsi="Tahoma" w:cs="Tahoma" w:hint="cs"/>
                <w:sz w:val="19"/>
                <w:szCs w:val="19"/>
                <w:rtl/>
              </w:rPr>
              <w:t xml:space="preserve">הם </w:t>
            </w:r>
            <w:r w:rsidRPr="00236CC3">
              <w:rPr>
                <w:rFonts w:ascii="Tahoma" w:hAnsi="Tahoma" w:cs="Tahoma"/>
                <w:sz w:val="19"/>
                <w:szCs w:val="19"/>
                <w:rtl/>
              </w:rPr>
              <w:t xml:space="preserve">אנדוקרינולוגיה, ראומטולוגיה ופסיכיאטרייה. </w:t>
            </w:r>
            <w:r w:rsidRPr="00236CC3">
              <w:rPr>
                <w:rFonts w:ascii="Tahoma" w:hAnsi="Tahoma" w:cs="Tahoma" w:hint="cs"/>
                <w:sz w:val="19"/>
                <w:szCs w:val="19"/>
                <w:rtl/>
              </w:rPr>
              <w:t xml:space="preserve">מניתוח הנתונים עלה גם כי </w:t>
            </w:r>
            <w:r w:rsidRPr="00236CC3">
              <w:rPr>
                <w:rFonts w:ascii="Tahoma" w:hAnsi="Tahoma" w:cs="Tahoma" w:hint="cs"/>
                <w:b/>
                <w:bCs/>
                <w:sz w:val="19"/>
                <w:szCs w:val="19"/>
                <w:rtl/>
              </w:rPr>
              <w:t>בשנת 2022 חל גידול ביחס לשנת 2019 במספר התורים הכולל (50 התחומים המובילים) שההמתנה להם ארכה יותר מ-90 יום.</w:t>
            </w:r>
            <w:r w:rsidRPr="00236CC3">
              <w:rPr>
                <w:rFonts w:ascii="Tahoma" w:hAnsi="Tahoma" w:cs="Tahoma" w:hint="cs"/>
                <w:sz w:val="19"/>
                <w:szCs w:val="19"/>
                <w:rtl/>
              </w:rPr>
              <w:t xml:space="preserve"> גידול משמעותי חל בכללית - כ-31% (מ-221,573 ל-290,105) ובמכבי - כ-43% (מ-360,010 ל-513,517). בלאומית הגידול הוא בשיעור של כ-8% (מ-109,665 ל-118,308). כמו כן, </w:t>
            </w:r>
            <w:r w:rsidRPr="00236CC3">
              <w:rPr>
                <w:rFonts w:ascii="Tahoma" w:hAnsi="Tahoma" w:cs="Tahoma"/>
                <w:sz w:val="19"/>
                <w:szCs w:val="19"/>
                <w:rtl/>
              </w:rPr>
              <w:t xml:space="preserve">בכל ארבע הקופות </w:t>
            </w:r>
            <w:r w:rsidRPr="00236CC3">
              <w:rPr>
                <w:rFonts w:ascii="Tahoma" w:hAnsi="Tahoma" w:cs="Tahoma"/>
                <w:b/>
                <w:bCs/>
                <w:sz w:val="19"/>
                <w:szCs w:val="19"/>
                <w:rtl/>
              </w:rPr>
              <w:t xml:space="preserve">זמן ההמתנה </w:t>
            </w:r>
            <w:r w:rsidRPr="00236CC3">
              <w:rPr>
                <w:rFonts w:ascii="Tahoma" w:hAnsi="Tahoma" w:cs="Tahoma" w:hint="cs"/>
                <w:b/>
                <w:bCs/>
                <w:sz w:val="19"/>
                <w:szCs w:val="19"/>
                <w:rtl/>
              </w:rPr>
              <w:t xml:space="preserve">הממוצע </w:t>
            </w:r>
            <w:r w:rsidRPr="00236CC3">
              <w:rPr>
                <w:rFonts w:ascii="Tahoma" w:hAnsi="Tahoma" w:cs="Tahoma"/>
                <w:b/>
                <w:bCs/>
                <w:sz w:val="19"/>
                <w:szCs w:val="19"/>
                <w:rtl/>
              </w:rPr>
              <w:t>הארוך ביותר היה לראומוטולוגיה</w:t>
            </w:r>
            <w:r w:rsidRPr="00236CC3">
              <w:rPr>
                <w:rFonts w:ascii="Tahoma" w:hAnsi="Tahoma" w:cs="Tahoma"/>
                <w:sz w:val="19"/>
                <w:szCs w:val="19"/>
                <w:rtl/>
              </w:rPr>
              <w:t xml:space="preserve"> (בין 53 ל-71 ימי המתנה); אחריו אנדוקרינולוגיה (בין 47 ל-53 ימי המתנה); </w:t>
            </w:r>
            <w:r w:rsidRPr="00236CC3">
              <w:rPr>
                <w:rFonts w:ascii="Tahoma" w:hAnsi="Tahoma" w:cs="Tahoma"/>
                <w:b/>
                <w:bCs/>
                <w:sz w:val="19"/>
                <w:szCs w:val="19"/>
                <w:rtl/>
              </w:rPr>
              <w:t xml:space="preserve">זמן ההמתנה </w:t>
            </w:r>
            <w:r w:rsidRPr="00236CC3">
              <w:rPr>
                <w:rFonts w:ascii="Tahoma" w:hAnsi="Tahoma" w:cs="Tahoma" w:hint="cs"/>
                <w:b/>
                <w:bCs/>
                <w:sz w:val="19"/>
                <w:szCs w:val="19"/>
                <w:rtl/>
              </w:rPr>
              <w:t xml:space="preserve">הממוצע </w:t>
            </w:r>
            <w:r w:rsidRPr="00236CC3">
              <w:rPr>
                <w:rFonts w:ascii="Tahoma" w:hAnsi="Tahoma" w:cs="Tahoma"/>
                <w:b/>
                <w:bCs/>
                <w:sz w:val="19"/>
                <w:szCs w:val="19"/>
                <w:rtl/>
              </w:rPr>
              <w:t>הקצר ביותר היה לאורתופדיה</w:t>
            </w:r>
            <w:r w:rsidRPr="00236CC3">
              <w:rPr>
                <w:rFonts w:ascii="Tahoma" w:hAnsi="Tahoma" w:cs="Tahoma"/>
                <w:sz w:val="19"/>
                <w:szCs w:val="19"/>
                <w:rtl/>
              </w:rPr>
              <w:t xml:space="preserve"> (בין 13 ל-20 ימים); אחריו לאף</w:t>
            </w:r>
            <w:r w:rsidRPr="00236CC3">
              <w:rPr>
                <w:rFonts w:ascii="Tahoma" w:hAnsi="Tahoma" w:cs="Tahoma" w:hint="cs"/>
                <w:sz w:val="19"/>
                <w:szCs w:val="19"/>
                <w:rtl/>
              </w:rPr>
              <w:t xml:space="preserve">, </w:t>
            </w:r>
            <w:r w:rsidRPr="00236CC3">
              <w:rPr>
                <w:rFonts w:ascii="Tahoma" w:hAnsi="Tahoma" w:cs="Tahoma"/>
                <w:sz w:val="19"/>
                <w:szCs w:val="19"/>
                <w:rtl/>
              </w:rPr>
              <w:t>אוזן</w:t>
            </w:r>
            <w:r w:rsidRPr="00236CC3">
              <w:rPr>
                <w:rFonts w:ascii="Tahoma" w:hAnsi="Tahoma" w:cs="Tahoma" w:hint="cs"/>
                <w:sz w:val="19"/>
                <w:szCs w:val="19"/>
                <w:rtl/>
              </w:rPr>
              <w:t xml:space="preserve"> ו</w:t>
            </w:r>
            <w:r w:rsidRPr="00236CC3">
              <w:rPr>
                <w:rFonts w:ascii="Tahoma" w:hAnsi="Tahoma" w:cs="Tahoma"/>
                <w:sz w:val="19"/>
                <w:szCs w:val="19"/>
                <w:rtl/>
              </w:rPr>
              <w:t>גרון (בין 15 ל-21 ימים).</w:t>
            </w:r>
          </w:p>
          <w:p w14:paraId="539F8EEE" w14:textId="77777777" w:rsidR="00236CC3" w:rsidRPr="00236CC3" w:rsidRDefault="00000000" w:rsidP="00236CC3">
            <w:pPr>
              <w:numPr>
                <w:ilvl w:val="0"/>
                <w:numId w:val="21"/>
              </w:numPr>
              <w:tabs>
                <w:tab w:val="center" w:pos="4153"/>
                <w:tab w:val="right" w:pos="8306"/>
              </w:tabs>
              <w:spacing w:after="240"/>
              <w:ind w:left="454" w:hanging="454"/>
              <w:contextualSpacing/>
              <w:rPr>
                <w:rFonts w:ascii="Tahoma" w:hAnsi="Tahoma" w:cs="Tahoma"/>
                <w:sz w:val="19"/>
                <w:szCs w:val="19"/>
              </w:rPr>
            </w:pPr>
            <w:r w:rsidRPr="00236CC3">
              <w:rPr>
                <w:rFonts w:ascii="Tahoma" w:hAnsi="Tahoma" w:cs="Tahoma"/>
                <w:b/>
                <w:bCs/>
                <w:sz w:val="19"/>
                <w:szCs w:val="19"/>
                <w:rtl/>
              </w:rPr>
              <w:t>זמני ההמתנה הממוצעים לרפואה היועצת על פי מחוזות</w:t>
            </w:r>
            <w:r w:rsidRPr="00236CC3">
              <w:rPr>
                <w:rFonts w:ascii="Tahoma" w:hAnsi="Tahoma" w:cs="Tahoma" w:hint="cs"/>
                <w:b/>
                <w:bCs/>
                <w:sz w:val="19"/>
                <w:szCs w:val="19"/>
                <w:rtl/>
              </w:rPr>
              <w:t xml:space="preserve"> </w:t>
            </w:r>
            <w:r w:rsidRPr="00236CC3">
              <w:rPr>
                <w:rFonts w:ascii="Tahoma" w:hAnsi="Tahoma" w:cs="Tahoma" w:hint="cs"/>
                <w:sz w:val="19"/>
                <w:szCs w:val="19"/>
                <w:rtl/>
              </w:rPr>
              <w:t>- במרבית התחומים שנבחנו במחוזות של הכללית, מכבי ולאומית נמצאו אורכי תור קצרים יותר ומובהקים סטטיסטית במחוזות ירושלים, צפון ויהודה ושומרון מבמחוז תל אביב; למשל במחוז ירושלים - בכללית בכל התחומים למעט עיניים וקרדיולוגיה; במכבי - למעט עיניים, פסיכיאטרייה וגריאטרייה; במחוז צפון - במכבי בכל התחומים למעט עיניים ופסיכיאטרייה ובלאומית למעט ריאות; במחוז יהודה ושומרון - בכללית בכל התחומים למעט קרדיולוגיה ובלאומית למעט אף, אוזן וגרון. עוד עלה כי בתחומים מסוימים, למשל אנדוקרינולוגיה, בכל שלוש הקופות זמני ההמתנה במחוז תל אביב ארוכים באופן ניכר מאלה שבשאר המחוזות.</w:t>
            </w:r>
          </w:p>
          <w:p w14:paraId="2B3B168E" w14:textId="77777777" w:rsidR="00236CC3" w:rsidRPr="00236CC3" w:rsidRDefault="00000000" w:rsidP="00236CC3">
            <w:pPr>
              <w:numPr>
                <w:ilvl w:val="0"/>
                <w:numId w:val="21"/>
              </w:numPr>
              <w:tabs>
                <w:tab w:val="center" w:pos="4153"/>
                <w:tab w:val="right" w:pos="8306"/>
              </w:tabs>
              <w:spacing w:after="240"/>
              <w:ind w:left="454" w:hanging="454"/>
              <w:contextualSpacing/>
              <w:rPr>
                <w:rFonts w:ascii="Tahoma" w:hAnsi="Tahoma" w:cs="Tahoma"/>
                <w:sz w:val="19"/>
                <w:szCs w:val="19"/>
              </w:rPr>
            </w:pPr>
            <w:bookmarkStart w:id="104" w:name="_Hlk167351698"/>
            <w:r w:rsidRPr="00236CC3">
              <w:rPr>
                <w:rFonts w:ascii="Tahoma" w:hAnsi="Tahoma" w:cs="Tahoma" w:hint="eastAsia"/>
                <w:b/>
                <w:bCs/>
                <w:sz w:val="19"/>
                <w:szCs w:val="19"/>
                <w:rtl/>
              </w:rPr>
              <w:t>המתאם</w:t>
            </w:r>
            <w:r w:rsidRPr="00236CC3">
              <w:rPr>
                <w:rFonts w:ascii="Tahoma" w:hAnsi="Tahoma" w:cs="Tahoma"/>
                <w:b/>
                <w:bCs/>
                <w:sz w:val="19"/>
                <w:szCs w:val="19"/>
                <w:rtl/>
              </w:rPr>
              <w:t xml:space="preserve"> </w:t>
            </w:r>
            <w:r w:rsidRPr="00236CC3">
              <w:rPr>
                <w:rFonts w:ascii="Tahoma" w:hAnsi="Tahoma" w:cs="Tahoma" w:hint="eastAsia"/>
                <w:b/>
                <w:bCs/>
                <w:sz w:val="19"/>
                <w:szCs w:val="19"/>
                <w:rtl/>
              </w:rPr>
              <w:t>בין</w:t>
            </w:r>
            <w:r w:rsidRPr="00236CC3">
              <w:rPr>
                <w:rFonts w:ascii="Tahoma" w:hAnsi="Tahoma" w:cs="Tahoma"/>
                <w:b/>
                <w:bCs/>
                <w:sz w:val="19"/>
                <w:szCs w:val="19"/>
                <w:rtl/>
              </w:rPr>
              <w:t xml:space="preserve"> </w:t>
            </w:r>
            <w:r w:rsidRPr="00236CC3">
              <w:rPr>
                <w:rFonts w:ascii="Tahoma" w:hAnsi="Tahoma" w:cs="Tahoma" w:hint="eastAsia"/>
                <w:b/>
                <w:bCs/>
                <w:sz w:val="19"/>
                <w:szCs w:val="19"/>
                <w:rtl/>
              </w:rPr>
              <w:t>גיל</w:t>
            </w:r>
            <w:r w:rsidRPr="00236CC3">
              <w:rPr>
                <w:rFonts w:ascii="Tahoma" w:hAnsi="Tahoma" w:cs="Tahoma"/>
                <w:b/>
                <w:bCs/>
                <w:sz w:val="19"/>
                <w:szCs w:val="19"/>
                <w:rtl/>
              </w:rPr>
              <w:t xml:space="preserve"> </w:t>
            </w:r>
            <w:r w:rsidRPr="00236CC3">
              <w:rPr>
                <w:rFonts w:ascii="Tahoma" w:hAnsi="Tahoma" w:cs="Tahoma" w:hint="eastAsia"/>
                <w:b/>
                <w:bCs/>
                <w:sz w:val="19"/>
                <w:szCs w:val="19"/>
                <w:rtl/>
              </w:rPr>
              <w:t>המטופל</w:t>
            </w:r>
            <w:r w:rsidRPr="00236CC3">
              <w:rPr>
                <w:rFonts w:ascii="Tahoma" w:hAnsi="Tahoma" w:cs="Tahoma"/>
                <w:b/>
                <w:bCs/>
                <w:sz w:val="19"/>
                <w:szCs w:val="19"/>
                <w:rtl/>
              </w:rPr>
              <w:t xml:space="preserve"> </w:t>
            </w:r>
            <w:r w:rsidRPr="00236CC3">
              <w:rPr>
                <w:rFonts w:ascii="Tahoma" w:hAnsi="Tahoma" w:cs="Tahoma" w:hint="cs"/>
                <w:b/>
                <w:bCs/>
                <w:sz w:val="19"/>
                <w:szCs w:val="19"/>
                <w:rtl/>
              </w:rPr>
              <w:t>ל</w:t>
            </w:r>
            <w:r w:rsidRPr="00236CC3">
              <w:rPr>
                <w:rFonts w:ascii="Tahoma" w:hAnsi="Tahoma" w:cs="Tahoma" w:hint="eastAsia"/>
                <w:b/>
                <w:bCs/>
                <w:sz w:val="19"/>
                <w:szCs w:val="19"/>
                <w:rtl/>
              </w:rPr>
              <w:t>זמן</w:t>
            </w:r>
            <w:r w:rsidRPr="00236CC3">
              <w:rPr>
                <w:rFonts w:ascii="Tahoma" w:hAnsi="Tahoma" w:cs="Tahoma"/>
                <w:b/>
                <w:bCs/>
                <w:sz w:val="19"/>
                <w:szCs w:val="19"/>
                <w:rtl/>
              </w:rPr>
              <w:t xml:space="preserve"> </w:t>
            </w:r>
            <w:r w:rsidRPr="00236CC3">
              <w:rPr>
                <w:rFonts w:ascii="Tahoma" w:hAnsi="Tahoma" w:cs="Tahoma" w:hint="eastAsia"/>
                <w:b/>
                <w:bCs/>
                <w:sz w:val="19"/>
                <w:szCs w:val="19"/>
                <w:rtl/>
              </w:rPr>
              <w:t>ההמתנה</w:t>
            </w:r>
            <w:r w:rsidRPr="00236CC3">
              <w:rPr>
                <w:rFonts w:asciiTheme="majorHAnsi" w:eastAsiaTheme="majorEastAsia" w:hAnsiTheme="majorHAnsi" w:cstheme="majorBidi" w:hint="cs"/>
                <w:color w:val="1F4D78" w:themeColor="accent1" w:themeShade="7F"/>
                <w:rtl/>
              </w:rPr>
              <w:t xml:space="preserve"> </w:t>
            </w:r>
            <w:bookmarkEnd w:id="104"/>
            <w:r w:rsidRPr="00236CC3">
              <w:rPr>
                <w:rFonts w:asciiTheme="majorHAnsi" w:eastAsiaTheme="majorEastAsia" w:hAnsiTheme="majorHAnsi" w:cstheme="majorBidi" w:hint="cs"/>
                <w:color w:val="1F4D78" w:themeColor="accent1" w:themeShade="7F"/>
                <w:rtl/>
              </w:rPr>
              <w:t xml:space="preserve">- </w:t>
            </w:r>
            <w:bookmarkStart w:id="105" w:name="_Hlk167351716"/>
            <w:r w:rsidRPr="00236CC3">
              <w:rPr>
                <w:rFonts w:ascii="Tahoma" w:hAnsi="Tahoma" w:cs="Tahoma" w:hint="cs"/>
                <w:sz w:val="19"/>
                <w:szCs w:val="19"/>
                <w:rtl/>
              </w:rPr>
              <w:t xml:space="preserve">על פי הסקר שערך משרד מבקר המדינה, </w:t>
            </w:r>
            <w:bookmarkEnd w:id="105"/>
            <w:r w:rsidRPr="00236CC3">
              <w:rPr>
                <w:rFonts w:ascii="Tahoma" w:hAnsi="Tahoma" w:cs="Tahoma"/>
                <w:sz w:val="19"/>
                <w:szCs w:val="19"/>
                <w:rtl/>
              </w:rPr>
              <w:t xml:space="preserve">בני ה-70 ומעלה מזמנים יותר תורים באמצעות המוקד הטלפוני (כ-7 נקודות אחוז יותר מכלל המשיבים) ופחות באופן מקוון (כ-10 נקודות אחוז פחות מכלל המשיבים) ביחס למבוטחים בגילים צעירים (גילי </w:t>
            </w:r>
            <w:r w:rsidRPr="00236CC3">
              <w:rPr>
                <w:rFonts w:ascii="Tahoma" w:hAnsi="Tahoma" w:cs="Tahoma" w:hint="cs"/>
                <w:sz w:val="19"/>
                <w:szCs w:val="19"/>
                <w:rtl/>
              </w:rPr>
              <w:t xml:space="preserve">21 </w:t>
            </w:r>
            <w:r w:rsidRPr="00236CC3">
              <w:rPr>
                <w:rFonts w:ascii="Tahoma" w:hAnsi="Tahoma" w:cs="Tahoma"/>
                <w:sz w:val="19"/>
                <w:szCs w:val="19"/>
                <w:rtl/>
              </w:rPr>
              <w:t>-</w:t>
            </w:r>
            <w:r w:rsidRPr="00236CC3">
              <w:rPr>
                <w:rFonts w:ascii="Tahoma" w:hAnsi="Tahoma" w:cs="Tahoma" w:hint="cs"/>
                <w:sz w:val="19"/>
                <w:szCs w:val="19"/>
                <w:rtl/>
              </w:rPr>
              <w:t xml:space="preserve"> 59</w:t>
            </w:r>
            <w:r w:rsidRPr="00236CC3">
              <w:rPr>
                <w:rFonts w:ascii="Tahoma" w:hAnsi="Tahoma" w:cs="Tahoma"/>
                <w:sz w:val="19"/>
                <w:szCs w:val="19"/>
                <w:rtl/>
              </w:rPr>
              <w:t>)</w:t>
            </w:r>
            <w:r w:rsidRPr="00236CC3">
              <w:rPr>
                <w:rFonts w:ascii="Tahoma" w:hAnsi="Tahoma" w:cs="Tahoma" w:hint="cs"/>
                <w:sz w:val="19"/>
                <w:szCs w:val="19"/>
                <w:rtl/>
              </w:rPr>
              <w:t>,</w:t>
            </w:r>
            <w:r w:rsidRPr="00236CC3">
              <w:rPr>
                <w:rFonts w:ascii="Tahoma" w:hAnsi="Tahoma" w:cs="Tahoma"/>
                <w:sz w:val="19"/>
                <w:szCs w:val="19"/>
                <w:rtl/>
              </w:rPr>
              <w:t xml:space="preserve"> </w:t>
            </w:r>
            <w:r w:rsidRPr="00236CC3">
              <w:rPr>
                <w:rFonts w:ascii="Tahoma" w:hAnsi="Tahoma" w:cs="Tahoma" w:hint="cs"/>
                <w:sz w:val="19"/>
                <w:szCs w:val="19"/>
                <w:rtl/>
              </w:rPr>
              <w:t xml:space="preserve">דבר שעשוי לצמצם את מרחב האפשרויות המוצע להם לקביעת התור, למשל מפני שהמבוטח לא הצליח ליצור קשר מול המוקד הטלפוני או מפני שלא הייתה לו יכולת להתלבט אם להתרחק מעט ממקום מגוריו ובלבד שיקבל תור מוקדם יותר. </w:t>
            </w:r>
            <w:r w:rsidRPr="00236CC3">
              <w:rPr>
                <w:rFonts w:ascii="Tahoma" w:hAnsi="Tahoma" w:cs="Tahoma"/>
                <w:sz w:val="19"/>
                <w:szCs w:val="19"/>
                <w:rtl/>
              </w:rPr>
              <w:t xml:space="preserve">מרבית הביקורים של בני ה-70 ומעלה הם ביקורים חוזרים אצל אותו רופא (בין 21.5 ל-28.1 נקודות אחוז יותר מקבוצות הגיל האחרות). בני 70 ומעלה השיבו כי הם ממתינים זמן ארוך יותר בהשוואה למבוטחים בגילים צעירים (כ-14 ימים יותר בממוצע מכלל המשיבים). </w:t>
            </w:r>
            <w:r w:rsidRPr="00236CC3">
              <w:rPr>
                <w:rFonts w:ascii="Tahoma" w:hAnsi="Tahoma" w:cs="Tahoma" w:hint="cs"/>
                <w:b/>
                <w:bCs/>
                <w:sz w:val="19"/>
                <w:szCs w:val="19"/>
                <w:rtl/>
              </w:rPr>
              <w:t>בניתוח נתוני הקופות עלה ק</w:t>
            </w:r>
            <w:r w:rsidRPr="00236CC3">
              <w:rPr>
                <w:rFonts w:ascii="Tahoma" w:hAnsi="Tahoma" w:cs="Tahoma"/>
                <w:b/>
                <w:bCs/>
                <w:sz w:val="19"/>
                <w:szCs w:val="19"/>
                <w:rtl/>
              </w:rPr>
              <w:t>שר חיובי בין גיל המטופל לזמן ההמתנה</w:t>
            </w:r>
            <w:r w:rsidRPr="00236CC3">
              <w:rPr>
                <w:rFonts w:ascii="Tahoma" w:hAnsi="Tahoma" w:cs="Tahoma" w:hint="cs"/>
                <w:b/>
                <w:bCs/>
                <w:sz w:val="19"/>
                <w:szCs w:val="19"/>
                <w:rtl/>
              </w:rPr>
              <w:t xml:space="preserve"> -</w:t>
            </w:r>
            <w:r w:rsidRPr="00236CC3">
              <w:rPr>
                <w:rFonts w:ascii="Tahoma" w:hAnsi="Tahoma" w:cs="Tahoma"/>
                <w:b/>
                <w:bCs/>
                <w:sz w:val="19"/>
                <w:szCs w:val="19"/>
                <w:rtl/>
              </w:rPr>
              <w:t xml:space="preserve"> </w:t>
            </w:r>
            <w:r w:rsidRPr="00236CC3">
              <w:rPr>
                <w:rFonts w:ascii="Tahoma" w:hAnsi="Tahoma" w:cs="Tahoma" w:hint="eastAsia"/>
                <w:b/>
                <w:bCs/>
                <w:sz w:val="19"/>
                <w:szCs w:val="19"/>
                <w:rtl/>
              </w:rPr>
              <w:t>ככל</w:t>
            </w:r>
            <w:r w:rsidRPr="00236CC3">
              <w:rPr>
                <w:rFonts w:ascii="Tahoma" w:hAnsi="Tahoma" w:cs="Tahoma"/>
                <w:b/>
                <w:bCs/>
                <w:sz w:val="19"/>
                <w:szCs w:val="19"/>
                <w:rtl/>
              </w:rPr>
              <w:t xml:space="preserve"> </w:t>
            </w:r>
            <w:r w:rsidRPr="00236CC3">
              <w:rPr>
                <w:rFonts w:ascii="Tahoma" w:hAnsi="Tahoma" w:cs="Tahoma" w:hint="eastAsia"/>
                <w:b/>
                <w:bCs/>
                <w:sz w:val="19"/>
                <w:szCs w:val="19"/>
                <w:rtl/>
              </w:rPr>
              <w:t>שהמטופל</w:t>
            </w:r>
            <w:r w:rsidRPr="00236CC3">
              <w:rPr>
                <w:rFonts w:ascii="Tahoma" w:hAnsi="Tahoma" w:cs="Tahoma"/>
                <w:b/>
                <w:bCs/>
                <w:sz w:val="19"/>
                <w:szCs w:val="19"/>
                <w:rtl/>
              </w:rPr>
              <w:t xml:space="preserve"> </w:t>
            </w:r>
            <w:r w:rsidRPr="00236CC3">
              <w:rPr>
                <w:rFonts w:ascii="Tahoma" w:hAnsi="Tahoma" w:cs="Tahoma" w:hint="eastAsia"/>
                <w:b/>
                <w:bCs/>
                <w:sz w:val="19"/>
                <w:szCs w:val="19"/>
                <w:rtl/>
              </w:rPr>
              <w:t>מבוגר</w:t>
            </w:r>
            <w:r w:rsidRPr="00236CC3">
              <w:rPr>
                <w:rFonts w:ascii="Tahoma" w:hAnsi="Tahoma" w:cs="Tahoma"/>
                <w:b/>
                <w:bCs/>
                <w:sz w:val="19"/>
                <w:szCs w:val="19"/>
                <w:rtl/>
              </w:rPr>
              <w:t xml:space="preserve"> </w:t>
            </w:r>
            <w:r w:rsidRPr="00236CC3">
              <w:rPr>
                <w:rFonts w:ascii="Tahoma" w:hAnsi="Tahoma" w:cs="Tahoma" w:hint="eastAsia"/>
                <w:b/>
                <w:bCs/>
                <w:sz w:val="19"/>
                <w:szCs w:val="19"/>
                <w:rtl/>
              </w:rPr>
              <w:t>יותר</w:t>
            </w:r>
            <w:r w:rsidRPr="00236CC3">
              <w:rPr>
                <w:rFonts w:ascii="Tahoma" w:hAnsi="Tahoma" w:cs="Tahoma"/>
                <w:b/>
                <w:bCs/>
                <w:sz w:val="19"/>
                <w:szCs w:val="19"/>
                <w:rtl/>
              </w:rPr>
              <w:t xml:space="preserve"> </w:t>
            </w:r>
            <w:r w:rsidRPr="00236CC3">
              <w:rPr>
                <w:rFonts w:ascii="Tahoma" w:hAnsi="Tahoma" w:cs="Tahoma" w:hint="eastAsia"/>
                <w:b/>
                <w:bCs/>
                <w:sz w:val="19"/>
                <w:szCs w:val="19"/>
                <w:rtl/>
              </w:rPr>
              <w:t>ההמתנה</w:t>
            </w:r>
            <w:r w:rsidRPr="00236CC3">
              <w:rPr>
                <w:rFonts w:ascii="Tahoma" w:hAnsi="Tahoma" w:cs="Tahoma"/>
                <w:b/>
                <w:bCs/>
                <w:sz w:val="19"/>
                <w:szCs w:val="19"/>
                <w:rtl/>
              </w:rPr>
              <w:t xml:space="preserve"> </w:t>
            </w:r>
            <w:r w:rsidRPr="00236CC3">
              <w:rPr>
                <w:rFonts w:ascii="Tahoma" w:hAnsi="Tahoma" w:cs="Tahoma" w:hint="eastAsia"/>
                <w:b/>
                <w:bCs/>
                <w:sz w:val="19"/>
                <w:szCs w:val="19"/>
                <w:rtl/>
              </w:rPr>
              <w:t>לתור</w:t>
            </w:r>
            <w:r w:rsidRPr="00236CC3">
              <w:rPr>
                <w:rFonts w:ascii="Tahoma" w:hAnsi="Tahoma" w:cs="Tahoma"/>
                <w:b/>
                <w:bCs/>
                <w:sz w:val="19"/>
                <w:szCs w:val="19"/>
                <w:rtl/>
              </w:rPr>
              <w:t xml:space="preserve"> </w:t>
            </w:r>
            <w:r w:rsidRPr="00236CC3">
              <w:rPr>
                <w:rFonts w:ascii="Tahoma" w:hAnsi="Tahoma" w:cs="Tahoma" w:hint="eastAsia"/>
                <w:b/>
                <w:bCs/>
                <w:sz w:val="19"/>
                <w:szCs w:val="19"/>
                <w:rtl/>
              </w:rPr>
              <w:t>ממושכת</w:t>
            </w:r>
            <w:r w:rsidRPr="00236CC3">
              <w:rPr>
                <w:rFonts w:ascii="Tahoma" w:hAnsi="Tahoma" w:cs="Tahoma"/>
                <w:b/>
                <w:bCs/>
                <w:sz w:val="19"/>
                <w:szCs w:val="19"/>
                <w:rtl/>
              </w:rPr>
              <w:t xml:space="preserve"> </w:t>
            </w:r>
            <w:r w:rsidRPr="00236CC3">
              <w:rPr>
                <w:rFonts w:ascii="Tahoma" w:hAnsi="Tahoma" w:cs="Tahoma" w:hint="eastAsia"/>
                <w:b/>
                <w:bCs/>
                <w:sz w:val="19"/>
                <w:szCs w:val="19"/>
                <w:rtl/>
              </w:rPr>
              <w:t>יותר</w:t>
            </w:r>
            <w:r w:rsidRPr="00236CC3">
              <w:rPr>
                <w:rFonts w:ascii="Tahoma" w:hAnsi="Tahoma" w:cs="Tahoma"/>
                <w:sz w:val="19"/>
                <w:szCs w:val="19"/>
                <w:rtl/>
              </w:rPr>
              <w:t>.</w:t>
            </w:r>
            <w:r w:rsidRPr="00236CC3">
              <w:rPr>
                <w:rFonts w:ascii="Tahoma" w:hAnsi="Tahoma" w:cs="Tahoma" w:hint="eastAsia"/>
                <w:sz w:val="19"/>
                <w:szCs w:val="19"/>
                <w:rtl/>
              </w:rPr>
              <w:t xml:space="preserve"> כך</w:t>
            </w:r>
            <w:r w:rsidRPr="00236CC3">
              <w:rPr>
                <w:rFonts w:ascii="Tahoma" w:hAnsi="Tahoma" w:cs="Tahoma" w:hint="cs"/>
                <w:sz w:val="19"/>
                <w:szCs w:val="19"/>
                <w:rtl/>
              </w:rPr>
              <w:t xml:space="preserve"> למשל, </w:t>
            </w:r>
            <w:r w:rsidRPr="00236CC3">
              <w:rPr>
                <w:rFonts w:ascii="Tahoma" w:hAnsi="Tahoma" w:cs="Tahoma" w:hint="eastAsia"/>
                <w:sz w:val="19"/>
                <w:szCs w:val="19"/>
                <w:rtl/>
              </w:rPr>
              <w:t>באנדוקרינולוגיה</w:t>
            </w:r>
            <w:r w:rsidRPr="00236CC3">
              <w:rPr>
                <w:rFonts w:ascii="Tahoma" w:hAnsi="Tahoma" w:cs="Tahoma"/>
                <w:sz w:val="19"/>
                <w:szCs w:val="19"/>
                <w:rtl/>
              </w:rPr>
              <w:t xml:space="preserve">, </w:t>
            </w:r>
            <w:r w:rsidRPr="00236CC3">
              <w:rPr>
                <w:rFonts w:ascii="Tahoma" w:hAnsi="Tahoma" w:cs="Tahoma" w:hint="eastAsia"/>
                <w:sz w:val="19"/>
                <w:szCs w:val="19"/>
                <w:rtl/>
              </w:rPr>
              <w:t>כל</w:t>
            </w:r>
            <w:r w:rsidRPr="00236CC3">
              <w:rPr>
                <w:rFonts w:ascii="Tahoma" w:hAnsi="Tahoma" w:cs="Tahoma"/>
                <w:sz w:val="19"/>
                <w:szCs w:val="19"/>
                <w:rtl/>
              </w:rPr>
              <w:t xml:space="preserve"> </w:t>
            </w:r>
            <w:r w:rsidRPr="00236CC3">
              <w:rPr>
                <w:rFonts w:ascii="Tahoma" w:hAnsi="Tahoma" w:cs="Tahoma" w:hint="eastAsia"/>
                <w:sz w:val="19"/>
                <w:szCs w:val="19"/>
                <w:rtl/>
              </w:rPr>
              <w:t>שנת</w:t>
            </w:r>
            <w:r w:rsidRPr="00236CC3">
              <w:rPr>
                <w:rFonts w:ascii="Tahoma" w:hAnsi="Tahoma" w:cs="Tahoma"/>
                <w:sz w:val="19"/>
                <w:szCs w:val="19"/>
                <w:rtl/>
              </w:rPr>
              <w:t xml:space="preserve"> </w:t>
            </w:r>
            <w:r w:rsidRPr="00236CC3">
              <w:rPr>
                <w:rFonts w:ascii="Tahoma" w:hAnsi="Tahoma" w:cs="Tahoma" w:hint="eastAsia"/>
                <w:sz w:val="19"/>
                <w:szCs w:val="19"/>
                <w:rtl/>
              </w:rPr>
              <w:t>גיל</w:t>
            </w:r>
            <w:r w:rsidRPr="00236CC3">
              <w:rPr>
                <w:rFonts w:ascii="Tahoma" w:hAnsi="Tahoma" w:cs="Tahoma"/>
                <w:sz w:val="19"/>
                <w:szCs w:val="19"/>
                <w:rtl/>
              </w:rPr>
              <w:t xml:space="preserve"> </w:t>
            </w:r>
            <w:r w:rsidRPr="00236CC3">
              <w:rPr>
                <w:rFonts w:ascii="Tahoma" w:hAnsi="Tahoma" w:cs="Tahoma" w:hint="eastAsia"/>
                <w:sz w:val="19"/>
                <w:szCs w:val="19"/>
                <w:rtl/>
              </w:rPr>
              <w:t>מעלה</w:t>
            </w:r>
            <w:r w:rsidRPr="00236CC3">
              <w:rPr>
                <w:rFonts w:ascii="Tahoma" w:hAnsi="Tahoma" w:cs="Tahoma"/>
                <w:sz w:val="19"/>
                <w:szCs w:val="19"/>
                <w:rtl/>
              </w:rPr>
              <w:t xml:space="preserve"> </w:t>
            </w:r>
            <w:r w:rsidRPr="00236CC3">
              <w:rPr>
                <w:rFonts w:ascii="Tahoma" w:hAnsi="Tahoma" w:cs="Tahoma" w:hint="eastAsia"/>
                <w:sz w:val="19"/>
                <w:szCs w:val="19"/>
                <w:rtl/>
              </w:rPr>
              <w:t>את</w:t>
            </w:r>
            <w:r w:rsidRPr="00236CC3">
              <w:rPr>
                <w:rFonts w:ascii="Tahoma" w:hAnsi="Tahoma" w:cs="Tahoma"/>
                <w:sz w:val="19"/>
                <w:szCs w:val="19"/>
                <w:rtl/>
              </w:rPr>
              <w:t xml:space="preserve"> </w:t>
            </w:r>
            <w:r w:rsidRPr="00236CC3">
              <w:rPr>
                <w:rFonts w:ascii="Tahoma" w:hAnsi="Tahoma" w:cs="Tahoma" w:hint="eastAsia"/>
                <w:sz w:val="19"/>
                <w:szCs w:val="19"/>
                <w:rtl/>
              </w:rPr>
              <w:t>משך</w:t>
            </w:r>
            <w:r w:rsidRPr="00236CC3">
              <w:rPr>
                <w:rFonts w:ascii="Tahoma" w:hAnsi="Tahoma" w:cs="Tahoma"/>
                <w:sz w:val="19"/>
                <w:szCs w:val="19"/>
                <w:rtl/>
              </w:rPr>
              <w:t xml:space="preserve"> </w:t>
            </w:r>
            <w:r w:rsidRPr="00236CC3">
              <w:rPr>
                <w:rFonts w:ascii="Tahoma" w:hAnsi="Tahoma" w:cs="Tahoma" w:hint="eastAsia"/>
                <w:sz w:val="19"/>
                <w:szCs w:val="19"/>
                <w:rtl/>
              </w:rPr>
              <w:t>זמן</w:t>
            </w:r>
            <w:r w:rsidRPr="00236CC3">
              <w:rPr>
                <w:rFonts w:ascii="Tahoma" w:hAnsi="Tahoma" w:cs="Tahoma"/>
                <w:sz w:val="19"/>
                <w:szCs w:val="19"/>
                <w:rtl/>
              </w:rPr>
              <w:t xml:space="preserve"> </w:t>
            </w:r>
            <w:r w:rsidRPr="00236CC3">
              <w:rPr>
                <w:rFonts w:ascii="Tahoma" w:hAnsi="Tahoma" w:cs="Tahoma" w:hint="eastAsia"/>
                <w:sz w:val="19"/>
                <w:szCs w:val="19"/>
                <w:rtl/>
              </w:rPr>
              <w:t>ההמתנה</w:t>
            </w:r>
            <w:r w:rsidRPr="00236CC3">
              <w:rPr>
                <w:rFonts w:ascii="Tahoma" w:hAnsi="Tahoma" w:cs="Tahoma"/>
                <w:sz w:val="19"/>
                <w:szCs w:val="19"/>
                <w:rtl/>
              </w:rPr>
              <w:t xml:space="preserve"> הממוצע </w:t>
            </w:r>
            <w:r w:rsidRPr="00236CC3">
              <w:rPr>
                <w:rFonts w:ascii="Tahoma" w:hAnsi="Tahoma" w:cs="Tahoma" w:hint="eastAsia"/>
                <w:sz w:val="19"/>
                <w:szCs w:val="19"/>
                <w:rtl/>
              </w:rPr>
              <w:t>ב</w:t>
            </w:r>
            <w:r w:rsidRPr="00236CC3">
              <w:rPr>
                <w:rFonts w:ascii="Tahoma" w:hAnsi="Tahoma" w:cs="Tahoma"/>
                <w:sz w:val="19"/>
                <w:szCs w:val="19"/>
                <w:rtl/>
              </w:rPr>
              <w:t>-0.3</w:t>
            </w:r>
            <w:r w:rsidRPr="00236CC3">
              <w:rPr>
                <w:rFonts w:ascii="Tahoma" w:hAnsi="Tahoma" w:cs="Tahoma" w:hint="cs"/>
                <w:sz w:val="19"/>
                <w:szCs w:val="19"/>
                <w:rtl/>
              </w:rPr>
              <w:t xml:space="preserve"> יום בכללית</w:t>
            </w:r>
            <w:r w:rsidRPr="00236CC3">
              <w:rPr>
                <w:rFonts w:ascii="Tahoma" w:hAnsi="Tahoma" w:cs="Tahoma"/>
                <w:sz w:val="19"/>
                <w:szCs w:val="19"/>
                <w:rtl/>
              </w:rPr>
              <w:t>,</w:t>
            </w:r>
            <w:r w:rsidRPr="00236CC3">
              <w:rPr>
                <w:rFonts w:ascii="Tahoma" w:hAnsi="Tahoma" w:cs="Tahoma" w:hint="cs"/>
                <w:sz w:val="19"/>
                <w:szCs w:val="19"/>
                <w:rtl/>
              </w:rPr>
              <w:t xml:space="preserve"> ב-</w:t>
            </w:r>
            <w:r w:rsidRPr="00236CC3">
              <w:rPr>
                <w:rFonts w:ascii="Tahoma" w:hAnsi="Tahoma" w:cs="Tahoma"/>
                <w:sz w:val="19"/>
                <w:szCs w:val="19"/>
                <w:rtl/>
              </w:rPr>
              <w:t xml:space="preserve">0.36 </w:t>
            </w:r>
            <w:r w:rsidRPr="00236CC3">
              <w:rPr>
                <w:rFonts w:ascii="Tahoma" w:hAnsi="Tahoma" w:cs="Tahoma" w:hint="cs"/>
                <w:sz w:val="19"/>
                <w:szCs w:val="19"/>
                <w:rtl/>
              </w:rPr>
              <w:t xml:space="preserve">יום במכבי </w:t>
            </w:r>
            <w:r w:rsidRPr="00236CC3">
              <w:rPr>
                <w:rFonts w:ascii="Tahoma" w:hAnsi="Tahoma" w:cs="Tahoma" w:hint="eastAsia"/>
                <w:sz w:val="19"/>
                <w:szCs w:val="19"/>
                <w:rtl/>
              </w:rPr>
              <w:t>ו</w:t>
            </w:r>
            <w:r w:rsidRPr="00236CC3">
              <w:rPr>
                <w:rFonts w:ascii="Tahoma" w:hAnsi="Tahoma" w:cs="Tahoma" w:hint="cs"/>
                <w:sz w:val="19"/>
                <w:szCs w:val="19"/>
                <w:rtl/>
              </w:rPr>
              <w:t>ב</w:t>
            </w:r>
            <w:r w:rsidRPr="00236CC3">
              <w:rPr>
                <w:rFonts w:ascii="Tahoma" w:hAnsi="Tahoma" w:cs="Tahoma"/>
                <w:sz w:val="19"/>
                <w:szCs w:val="19"/>
                <w:rtl/>
              </w:rPr>
              <w:t xml:space="preserve">-0.29 </w:t>
            </w:r>
            <w:r w:rsidRPr="00236CC3">
              <w:rPr>
                <w:rFonts w:ascii="Tahoma" w:hAnsi="Tahoma" w:cs="Tahoma" w:hint="eastAsia"/>
                <w:sz w:val="19"/>
                <w:szCs w:val="19"/>
                <w:rtl/>
              </w:rPr>
              <w:t>יום</w:t>
            </w:r>
            <w:r w:rsidRPr="00236CC3">
              <w:rPr>
                <w:rFonts w:ascii="Tahoma" w:hAnsi="Tahoma" w:cs="Tahoma"/>
                <w:sz w:val="19"/>
                <w:szCs w:val="19"/>
                <w:rtl/>
              </w:rPr>
              <w:t xml:space="preserve"> </w:t>
            </w:r>
            <w:r w:rsidRPr="00236CC3">
              <w:rPr>
                <w:rFonts w:ascii="Tahoma" w:hAnsi="Tahoma" w:cs="Tahoma" w:hint="cs"/>
                <w:sz w:val="19"/>
                <w:szCs w:val="19"/>
                <w:rtl/>
              </w:rPr>
              <w:t>ב</w:t>
            </w:r>
            <w:r w:rsidRPr="00236CC3">
              <w:rPr>
                <w:rFonts w:ascii="Tahoma" w:hAnsi="Tahoma" w:cs="Tahoma" w:hint="eastAsia"/>
                <w:sz w:val="19"/>
                <w:szCs w:val="19"/>
                <w:rtl/>
              </w:rPr>
              <w:t>לאומית</w:t>
            </w:r>
            <w:r w:rsidRPr="00236CC3">
              <w:rPr>
                <w:rFonts w:ascii="Tahoma" w:hAnsi="Tahoma" w:cs="Tahoma" w:hint="cs"/>
                <w:sz w:val="19"/>
                <w:szCs w:val="19"/>
                <w:rtl/>
              </w:rPr>
              <w:t>.</w:t>
            </w:r>
            <w:r w:rsidRPr="00236CC3">
              <w:rPr>
                <w:rFonts w:hint="cs"/>
                <w:b/>
                <w:bCs/>
                <w:rtl/>
              </w:rPr>
              <w:t xml:space="preserve"> </w:t>
            </w:r>
            <w:r w:rsidRPr="00236CC3">
              <w:rPr>
                <w:rFonts w:ascii="Tahoma" w:hAnsi="Tahoma" w:cs="Tahoma" w:hint="cs"/>
                <w:sz w:val="19"/>
                <w:szCs w:val="19"/>
                <w:rtl/>
              </w:rPr>
              <w:t xml:space="preserve">כך נמצאו בבדיקת שלוש הקופות מאפיינים ייחודיים בנוגע לשירות הניתן לבני 70 ומעלה: </w:t>
            </w:r>
            <w:r w:rsidRPr="00236CC3">
              <w:rPr>
                <w:rFonts w:ascii="Tahoma" w:hAnsi="Tahoma" w:cs="Tahoma" w:hint="cs"/>
                <w:b/>
                <w:bCs/>
                <w:sz w:val="19"/>
                <w:szCs w:val="19"/>
                <w:rtl/>
              </w:rPr>
              <w:t>ממוצע זמן ההמתנה לתורים בכלל התחומים לרפואה יועצת ארוך בכ-8 עד כ-12 ימים ביחס לזה של בני 20 - 30</w:t>
            </w:r>
            <w:r w:rsidRPr="00236CC3">
              <w:rPr>
                <w:rFonts w:ascii="Tahoma" w:hAnsi="Tahoma" w:cs="Tahoma" w:hint="cs"/>
                <w:sz w:val="19"/>
                <w:szCs w:val="19"/>
                <w:rtl/>
              </w:rPr>
              <w:t xml:space="preserve"> </w:t>
            </w:r>
            <w:r w:rsidRPr="00236CC3">
              <w:rPr>
                <w:rFonts w:ascii="Tahoma" w:hAnsi="Tahoma" w:cs="Tahoma"/>
                <w:sz w:val="19"/>
                <w:szCs w:val="19"/>
                <w:rtl/>
              </w:rPr>
              <w:t>(</w:t>
            </w:r>
            <w:r w:rsidRPr="00236CC3">
              <w:rPr>
                <w:rFonts w:ascii="Tahoma" w:hAnsi="Tahoma" w:cs="Tahoma" w:hint="cs"/>
                <w:sz w:val="19"/>
                <w:szCs w:val="19"/>
                <w:rtl/>
              </w:rPr>
              <w:t xml:space="preserve">26 </w:t>
            </w:r>
            <w:r w:rsidRPr="00236CC3">
              <w:rPr>
                <w:rFonts w:ascii="Tahoma" w:hAnsi="Tahoma" w:cs="Tahoma"/>
                <w:sz w:val="19"/>
                <w:szCs w:val="19"/>
                <w:rtl/>
              </w:rPr>
              <w:t>-</w:t>
            </w:r>
            <w:r w:rsidRPr="00236CC3">
              <w:rPr>
                <w:rFonts w:ascii="Tahoma" w:hAnsi="Tahoma" w:cs="Tahoma" w:hint="cs"/>
                <w:sz w:val="19"/>
                <w:szCs w:val="19"/>
                <w:rtl/>
              </w:rPr>
              <w:t xml:space="preserve"> 34</w:t>
            </w:r>
            <w:r w:rsidRPr="00236CC3">
              <w:rPr>
                <w:rFonts w:ascii="Tahoma" w:hAnsi="Tahoma" w:cs="Tahoma"/>
                <w:sz w:val="19"/>
                <w:szCs w:val="19"/>
                <w:rtl/>
              </w:rPr>
              <w:t xml:space="preserve"> ימי המתנה לעומת </w:t>
            </w:r>
            <w:r w:rsidRPr="00236CC3">
              <w:rPr>
                <w:rFonts w:ascii="Tahoma" w:hAnsi="Tahoma" w:cs="Tahoma" w:hint="cs"/>
                <w:sz w:val="19"/>
                <w:szCs w:val="19"/>
                <w:rtl/>
              </w:rPr>
              <w:t xml:space="preserve">17 </w:t>
            </w:r>
            <w:r w:rsidRPr="00236CC3">
              <w:rPr>
                <w:rFonts w:ascii="Tahoma" w:hAnsi="Tahoma" w:cs="Tahoma"/>
                <w:sz w:val="19"/>
                <w:szCs w:val="19"/>
                <w:rtl/>
              </w:rPr>
              <w:t>-</w:t>
            </w:r>
            <w:r w:rsidRPr="00236CC3">
              <w:rPr>
                <w:rFonts w:ascii="Tahoma" w:hAnsi="Tahoma" w:cs="Tahoma" w:hint="cs"/>
                <w:sz w:val="19"/>
                <w:szCs w:val="19"/>
                <w:rtl/>
              </w:rPr>
              <w:t xml:space="preserve"> 23</w:t>
            </w:r>
            <w:r w:rsidRPr="00236CC3">
              <w:rPr>
                <w:rFonts w:ascii="Tahoma" w:hAnsi="Tahoma" w:cs="Tahoma"/>
                <w:sz w:val="19"/>
                <w:szCs w:val="19"/>
                <w:rtl/>
              </w:rPr>
              <w:t xml:space="preserve"> ימי המתנה בממוצע של שלוש הקופות).</w:t>
            </w:r>
            <w:r w:rsidRPr="00236CC3">
              <w:rPr>
                <w:rFonts w:ascii="Tahoma" w:hAnsi="Tahoma" w:cs="Tahoma" w:hint="cs"/>
                <w:sz w:val="19"/>
                <w:szCs w:val="19"/>
                <w:rtl/>
              </w:rPr>
              <w:t xml:space="preserve"> עולה מכך </w:t>
            </w:r>
            <w:r w:rsidRPr="00236CC3">
              <w:rPr>
                <w:rFonts w:ascii="Tahoma" w:hAnsi="Tahoma" w:cs="Tahoma" w:hint="cs"/>
                <w:b/>
                <w:bCs/>
                <w:sz w:val="19"/>
                <w:szCs w:val="19"/>
                <w:rtl/>
              </w:rPr>
              <w:t>חשש לפגיעה ברמת השירות של קבוצת האנשים המבוגרים שעלולה להזיק להם</w:t>
            </w:r>
            <w:r w:rsidRPr="00236CC3">
              <w:rPr>
                <w:rFonts w:ascii="Tahoma" w:hAnsi="Tahoma" w:cs="Tahoma" w:hint="cs"/>
                <w:sz w:val="19"/>
                <w:szCs w:val="19"/>
                <w:rtl/>
              </w:rPr>
              <w:t>. נמצא גם בניתוח הנתונים שככל שגיל המבוטח גבוה יותר, ובכלל זה בני ה-70 ומעלה, נטייתו לקבוע תור לרפואה יועצת מחוץ ליישוב שבו הוא מתגורר פחותה ויכולה גם היא להשפיע על זמן ההמתנה לתור.</w:t>
            </w:r>
            <w:r w:rsidRPr="00236CC3">
              <w:rPr>
                <w:rtl/>
              </w:rPr>
              <w:t xml:space="preserve"> </w:t>
            </w:r>
            <w:r w:rsidRPr="00236CC3">
              <w:rPr>
                <w:rFonts w:ascii="Tahoma" w:hAnsi="Tahoma" w:cs="Tahoma"/>
                <w:sz w:val="19"/>
                <w:szCs w:val="19"/>
                <w:rtl/>
              </w:rPr>
              <w:t>כך למשל, 25% מקרב התורים לנשים בקופת חולים לאומית בקריית שמונה נקבעו בתוך הי</w:t>
            </w:r>
            <w:r w:rsidRPr="00236CC3">
              <w:rPr>
                <w:rFonts w:ascii="Tahoma" w:hAnsi="Tahoma" w:cs="Tahoma" w:hint="cs"/>
                <w:sz w:val="19"/>
                <w:szCs w:val="19"/>
                <w:rtl/>
              </w:rPr>
              <w:t>י</w:t>
            </w:r>
            <w:r w:rsidRPr="00236CC3">
              <w:rPr>
                <w:rFonts w:ascii="Tahoma" w:hAnsi="Tahoma" w:cs="Tahoma"/>
                <w:sz w:val="19"/>
                <w:szCs w:val="19"/>
                <w:rtl/>
              </w:rPr>
              <w:t>שוב על ידי בנות 55 ומעלה</w:t>
            </w:r>
            <w:r w:rsidRPr="00236CC3">
              <w:rPr>
                <w:rFonts w:ascii="Tahoma" w:hAnsi="Tahoma" w:cs="Tahoma" w:hint="cs"/>
                <w:sz w:val="19"/>
                <w:szCs w:val="19"/>
                <w:rtl/>
              </w:rPr>
              <w:t>,</w:t>
            </w:r>
            <w:r w:rsidRPr="00236CC3">
              <w:rPr>
                <w:rFonts w:ascii="Tahoma" w:hAnsi="Tahoma" w:cs="Tahoma"/>
                <w:sz w:val="19"/>
                <w:szCs w:val="19"/>
                <w:rtl/>
              </w:rPr>
              <w:t xml:space="preserve"> ולעומת זאת 75% מהתורים מחוץ לי</w:t>
            </w:r>
            <w:r w:rsidRPr="00236CC3">
              <w:rPr>
                <w:rFonts w:ascii="Tahoma" w:hAnsi="Tahoma" w:cs="Tahoma" w:hint="cs"/>
                <w:sz w:val="19"/>
                <w:szCs w:val="19"/>
                <w:rtl/>
              </w:rPr>
              <w:t>י</w:t>
            </w:r>
            <w:r w:rsidRPr="00236CC3">
              <w:rPr>
                <w:rFonts w:ascii="Tahoma" w:hAnsi="Tahoma" w:cs="Tahoma"/>
                <w:sz w:val="19"/>
                <w:szCs w:val="19"/>
                <w:rtl/>
              </w:rPr>
              <w:t>שוב נקבעו על ידי בנות 30 ומטה.</w:t>
            </w:r>
          </w:p>
          <w:p w14:paraId="14DD141D" w14:textId="77777777" w:rsidR="00236CC3" w:rsidRPr="00236CC3" w:rsidRDefault="00000000" w:rsidP="00236CC3">
            <w:pPr>
              <w:numPr>
                <w:ilvl w:val="0"/>
                <w:numId w:val="21"/>
              </w:numPr>
              <w:tabs>
                <w:tab w:val="center" w:pos="4153"/>
                <w:tab w:val="right" w:pos="8306"/>
              </w:tabs>
              <w:spacing w:after="240"/>
              <w:ind w:left="454" w:hanging="454"/>
              <w:contextualSpacing/>
              <w:rPr>
                <w:rFonts w:ascii="Tahoma" w:hAnsi="Tahoma" w:cs="Tahoma"/>
                <w:b/>
                <w:bCs/>
                <w:sz w:val="19"/>
                <w:szCs w:val="19"/>
                <w:rtl/>
              </w:rPr>
            </w:pPr>
            <w:r w:rsidRPr="00236CC3">
              <w:rPr>
                <w:rFonts w:ascii="Tahoma" w:hAnsi="Tahoma" w:cs="Tahoma" w:hint="cs"/>
                <w:b/>
                <w:bCs/>
                <w:sz w:val="19"/>
                <w:szCs w:val="19"/>
                <w:rtl/>
              </w:rPr>
              <w:t xml:space="preserve">ניתוח </w:t>
            </w:r>
            <w:r w:rsidRPr="00236CC3">
              <w:rPr>
                <w:rFonts w:ascii="Tahoma" w:hAnsi="Tahoma" w:cs="Tahoma"/>
                <w:b/>
                <w:bCs/>
                <w:sz w:val="19"/>
                <w:szCs w:val="19"/>
                <w:rtl/>
              </w:rPr>
              <w:t>זמני ה</w:t>
            </w:r>
            <w:r w:rsidRPr="00236CC3">
              <w:rPr>
                <w:rFonts w:ascii="Tahoma" w:hAnsi="Tahoma" w:cs="Tahoma" w:hint="cs"/>
                <w:b/>
                <w:bCs/>
                <w:sz w:val="19"/>
                <w:szCs w:val="19"/>
                <w:rtl/>
              </w:rPr>
              <w:t>ה</w:t>
            </w:r>
            <w:r w:rsidRPr="00236CC3">
              <w:rPr>
                <w:rFonts w:ascii="Tahoma" w:hAnsi="Tahoma" w:cs="Tahoma"/>
                <w:b/>
                <w:bCs/>
                <w:sz w:val="19"/>
                <w:szCs w:val="19"/>
                <w:rtl/>
              </w:rPr>
              <w:t xml:space="preserve">מתנה בתורים לפי </w:t>
            </w:r>
            <w:r w:rsidRPr="00236CC3">
              <w:rPr>
                <w:rFonts w:ascii="Tahoma" w:hAnsi="Tahoma" w:cs="Tahoma" w:hint="cs"/>
                <w:b/>
                <w:bCs/>
                <w:sz w:val="19"/>
                <w:szCs w:val="19"/>
                <w:rtl/>
              </w:rPr>
              <w:t xml:space="preserve">משתנים דמוגרפיים </w:t>
            </w:r>
            <w:r w:rsidRPr="00236CC3">
              <w:rPr>
                <w:rFonts w:ascii="Tahoma" w:hAnsi="Tahoma" w:cs="Tahoma" w:hint="cs"/>
                <w:sz w:val="19"/>
                <w:szCs w:val="19"/>
                <w:rtl/>
              </w:rPr>
              <w:t>-</w:t>
            </w:r>
            <w:r w:rsidRPr="00236CC3">
              <w:rPr>
                <w:rFonts w:ascii="Tahoma" w:hAnsi="Tahoma" w:cs="Tahoma" w:hint="cs"/>
                <w:b/>
                <w:bCs/>
                <w:sz w:val="19"/>
                <w:szCs w:val="19"/>
                <w:rtl/>
              </w:rPr>
              <w:t xml:space="preserve"> </w:t>
            </w:r>
            <w:r w:rsidRPr="00236CC3">
              <w:rPr>
                <w:rFonts w:ascii="Tahoma" w:hAnsi="Tahoma" w:cs="Tahoma"/>
                <w:sz w:val="19"/>
                <w:szCs w:val="19"/>
                <w:rtl/>
              </w:rPr>
              <w:t xml:space="preserve">כמעט בכל התחומים הרפואיים שנבדקו </w:t>
            </w:r>
            <w:r w:rsidRPr="00236CC3">
              <w:rPr>
                <w:rFonts w:ascii="Tahoma" w:hAnsi="Tahoma" w:cs="Tahoma"/>
                <w:b/>
                <w:bCs/>
                <w:sz w:val="19"/>
                <w:szCs w:val="19"/>
                <w:rtl/>
              </w:rPr>
              <w:t>זמן ההמתנה בתורים בי</w:t>
            </w:r>
            <w:r w:rsidRPr="00236CC3">
              <w:rPr>
                <w:rFonts w:ascii="Tahoma" w:hAnsi="Tahoma" w:cs="Tahoma" w:hint="cs"/>
                <w:b/>
                <w:bCs/>
                <w:sz w:val="19"/>
                <w:szCs w:val="19"/>
                <w:rtl/>
              </w:rPr>
              <w:t>י</w:t>
            </w:r>
            <w:r w:rsidRPr="00236CC3">
              <w:rPr>
                <w:rFonts w:ascii="Tahoma" w:hAnsi="Tahoma" w:cs="Tahoma"/>
                <w:b/>
                <w:bCs/>
                <w:sz w:val="19"/>
                <w:szCs w:val="19"/>
                <w:rtl/>
              </w:rPr>
              <w:t xml:space="preserve">שוב </w:t>
            </w:r>
            <w:r w:rsidRPr="00236CC3">
              <w:rPr>
                <w:rFonts w:ascii="Tahoma" w:hAnsi="Tahoma" w:cs="Tahoma" w:hint="cs"/>
                <w:b/>
                <w:bCs/>
                <w:sz w:val="19"/>
                <w:szCs w:val="19"/>
                <w:rtl/>
              </w:rPr>
              <w:t xml:space="preserve">ערבי </w:t>
            </w:r>
            <w:r w:rsidRPr="00236CC3">
              <w:rPr>
                <w:rFonts w:ascii="Tahoma" w:hAnsi="Tahoma" w:cs="Tahoma"/>
                <w:b/>
                <w:bCs/>
                <w:sz w:val="19"/>
                <w:szCs w:val="19"/>
                <w:rtl/>
              </w:rPr>
              <w:t>או באזור ערבי קצר יותר לעומת זה שבי</w:t>
            </w:r>
            <w:r w:rsidRPr="00236CC3">
              <w:rPr>
                <w:rFonts w:ascii="Tahoma" w:hAnsi="Tahoma" w:cs="Tahoma" w:hint="cs"/>
                <w:b/>
                <w:bCs/>
                <w:sz w:val="19"/>
                <w:szCs w:val="19"/>
                <w:rtl/>
              </w:rPr>
              <w:t>י</w:t>
            </w:r>
            <w:r w:rsidRPr="00236CC3">
              <w:rPr>
                <w:rFonts w:ascii="Tahoma" w:hAnsi="Tahoma" w:cs="Tahoma"/>
                <w:b/>
                <w:bCs/>
                <w:sz w:val="19"/>
                <w:szCs w:val="19"/>
                <w:rtl/>
              </w:rPr>
              <w:t>שובים או אזורים יהודיים או מעורבים</w:t>
            </w:r>
            <w:r w:rsidRPr="00236CC3">
              <w:rPr>
                <w:rFonts w:ascii="Tahoma" w:hAnsi="Tahoma" w:cs="Tahoma" w:hint="cs"/>
                <w:sz w:val="19"/>
                <w:szCs w:val="19"/>
                <w:rtl/>
              </w:rPr>
              <w:t xml:space="preserve">; </w:t>
            </w:r>
            <w:r w:rsidRPr="00236CC3">
              <w:rPr>
                <w:rFonts w:ascii="Tahoma" w:hAnsi="Tahoma" w:cs="Tahoma"/>
                <w:sz w:val="19"/>
                <w:szCs w:val="19"/>
                <w:rtl/>
              </w:rPr>
              <w:t xml:space="preserve">מהסקר עלה שבחברה הערבית הנטייה הגוברת היא להגיע לרופא מומחה בעקבות המלצה של רופא משפחה, דבר שיכול לעזור בקיצור זמן ההמתנה </w:t>
            </w:r>
            <w:r w:rsidRPr="00236CC3">
              <w:rPr>
                <w:rFonts w:ascii="Tahoma" w:hAnsi="Tahoma" w:cs="Tahoma" w:hint="cs"/>
                <w:sz w:val="19"/>
                <w:szCs w:val="19"/>
                <w:rtl/>
              </w:rPr>
              <w:t xml:space="preserve">כיוון שלעיתים רופא המשפחה נותן </w:t>
            </w:r>
            <w:r w:rsidRPr="00236CC3">
              <w:rPr>
                <w:rFonts w:ascii="Tahoma" w:hAnsi="Tahoma" w:cs="Tahoma"/>
                <w:sz w:val="19"/>
                <w:szCs w:val="19"/>
                <w:rtl/>
              </w:rPr>
              <w:t xml:space="preserve">מענה רפואי מתאים </w:t>
            </w:r>
            <w:r w:rsidRPr="00236CC3">
              <w:rPr>
                <w:rFonts w:ascii="Tahoma" w:hAnsi="Tahoma" w:cs="Tahoma" w:hint="cs"/>
                <w:sz w:val="19"/>
                <w:szCs w:val="19"/>
                <w:rtl/>
              </w:rPr>
              <w:t>ואין</w:t>
            </w:r>
            <w:r w:rsidRPr="00236CC3">
              <w:rPr>
                <w:rFonts w:ascii="Tahoma" w:hAnsi="Tahoma" w:cs="Tahoma"/>
                <w:sz w:val="19"/>
                <w:szCs w:val="19"/>
                <w:rtl/>
              </w:rPr>
              <w:t xml:space="preserve"> צורך בפנייה נוספת לרופא מומחה. בחברה הערבית יש </w:t>
            </w:r>
            <w:r w:rsidRPr="00236CC3">
              <w:rPr>
                <w:rFonts w:ascii="Tahoma" w:hAnsi="Tahoma" w:cs="Tahoma" w:hint="cs"/>
                <w:sz w:val="19"/>
                <w:szCs w:val="19"/>
                <w:rtl/>
              </w:rPr>
              <w:t xml:space="preserve">גם </w:t>
            </w:r>
            <w:r w:rsidRPr="00236CC3">
              <w:rPr>
                <w:rFonts w:ascii="Tahoma" w:hAnsi="Tahoma" w:cs="Tahoma"/>
                <w:sz w:val="19"/>
                <w:szCs w:val="19"/>
                <w:rtl/>
              </w:rPr>
              <w:t>נכונות גבוהה יותר לקבוע תורים מחוץ לאזור מגוריהם בהשוואה ליתר המשיבים (חרדים ויהודים לא חרדים).</w:t>
            </w:r>
            <w:r w:rsidRPr="00236CC3">
              <w:rPr>
                <w:rFonts w:ascii="Tahoma" w:hAnsi="Tahoma" w:cs="Tahoma" w:hint="cs"/>
                <w:sz w:val="19"/>
                <w:szCs w:val="19"/>
                <w:rtl/>
              </w:rPr>
              <w:t xml:space="preserve"> עוד עלה כי </w:t>
            </w:r>
            <w:r w:rsidRPr="00236CC3">
              <w:rPr>
                <w:rFonts w:ascii="Tahoma" w:hAnsi="Tahoma" w:cs="Tahoma"/>
                <w:sz w:val="19"/>
                <w:szCs w:val="19"/>
                <w:rtl/>
              </w:rPr>
              <w:t>במרבית התחומים ב</w:t>
            </w:r>
            <w:r w:rsidRPr="00236CC3">
              <w:rPr>
                <w:rFonts w:ascii="Tahoma" w:hAnsi="Tahoma" w:cs="Tahoma" w:hint="cs"/>
                <w:sz w:val="19"/>
                <w:szCs w:val="19"/>
                <w:rtl/>
              </w:rPr>
              <w:t>כללית, לאומית ומכבי, כ</w:t>
            </w:r>
            <w:r w:rsidRPr="00236CC3">
              <w:rPr>
                <w:rFonts w:ascii="Tahoma" w:hAnsi="Tahoma" w:cs="Tahoma"/>
                <w:sz w:val="19"/>
                <w:szCs w:val="19"/>
                <w:rtl/>
              </w:rPr>
              <w:t>כל ששיעור החרדים ביישוב גבוה יותר, זמני המתנה לרפואה יועצת קצרים יותר</w:t>
            </w:r>
            <w:r w:rsidRPr="00236CC3">
              <w:rPr>
                <w:rFonts w:ascii="Tahoma" w:hAnsi="Tahoma" w:cs="Tahoma" w:hint="cs"/>
                <w:sz w:val="19"/>
                <w:szCs w:val="19"/>
                <w:rtl/>
              </w:rPr>
              <w:t>.</w:t>
            </w:r>
            <w:r w:rsidRPr="00236CC3">
              <w:rPr>
                <w:rFonts w:ascii="Tahoma" w:hAnsi="Tahoma" w:cs="Tahoma"/>
                <w:sz w:val="19"/>
                <w:szCs w:val="19"/>
                <w:rtl/>
              </w:rPr>
              <w:t xml:space="preserve"> 24.7% מהמשיבים שהגדירו את עצמם חרדים ציינו כי </w:t>
            </w:r>
            <w:r w:rsidRPr="00236CC3">
              <w:rPr>
                <w:rFonts w:ascii="Tahoma" w:hAnsi="Tahoma" w:cs="Tahoma" w:hint="cs"/>
                <w:sz w:val="19"/>
                <w:szCs w:val="19"/>
                <w:rtl/>
              </w:rPr>
              <w:t>כש</w:t>
            </w:r>
            <w:r w:rsidRPr="00236CC3">
              <w:rPr>
                <w:rFonts w:ascii="Tahoma" w:hAnsi="Tahoma" w:cs="Tahoma"/>
                <w:sz w:val="19"/>
                <w:szCs w:val="19"/>
                <w:rtl/>
              </w:rPr>
              <w:t>ניסו להקדים את התור</w:t>
            </w:r>
            <w:r w:rsidRPr="00236CC3">
              <w:rPr>
                <w:rFonts w:ascii="Tahoma" w:hAnsi="Tahoma" w:cs="Tahoma" w:hint="cs"/>
                <w:sz w:val="19"/>
                <w:szCs w:val="19"/>
                <w:rtl/>
              </w:rPr>
              <w:t>,</w:t>
            </w:r>
            <w:r w:rsidRPr="00236CC3">
              <w:rPr>
                <w:rFonts w:ascii="Tahoma" w:hAnsi="Tahoma" w:cs="Tahoma"/>
                <w:sz w:val="19"/>
                <w:szCs w:val="19"/>
                <w:rtl/>
              </w:rPr>
              <w:t xml:space="preserve"> קבעו תור לרופא מומחה נוסף באותו תחום (לעומת 7.3% באוכלוסייה היהודית הלא חרדית ו-5.4% באוכלוסייה הערבית);</w:t>
            </w:r>
            <w:r w:rsidRPr="00236CC3">
              <w:rPr>
                <w:rFonts w:ascii="Tahoma" w:hAnsi="Tahoma" w:cs="Tahoma" w:hint="cs"/>
                <w:sz w:val="19"/>
                <w:szCs w:val="19"/>
                <w:rtl/>
              </w:rPr>
              <w:t xml:space="preserve"> </w:t>
            </w:r>
            <w:r w:rsidRPr="00236CC3">
              <w:rPr>
                <w:rFonts w:ascii="Tahoma" w:hAnsi="Tahoma" w:cs="Tahoma"/>
                <w:sz w:val="19"/>
                <w:szCs w:val="19"/>
                <w:rtl/>
              </w:rPr>
              <w:t>ממצאים אלו יכולים לתת הסבר חלקי לכך ש</w:t>
            </w:r>
            <w:r w:rsidRPr="00236CC3">
              <w:rPr>
                <w:rFonts w:ascii="Tahoma" w:hAnsi="Tahoma" w:cs="Tahoma" w:hint="cs"/>
                <w:sz w:val="19"/>
                <w:szCs w:val="19"/>
                <w:rtl/>
              </w:rPr>
              <w:t>ב</w:t>
            </w:r>
            <w:r w:rsidRPr="00236CC3">
              <w:rPr>
                <w:rFonts w:ascii="Tahoma" w:hAnsi="Tahoma" w:cs="Tahoma"/>
                <w:sz w:val="19"/>
                <w:szCs w:val="19"/>
                <w:rtl/>
              </w:rPr>
              <w:t xml:space="preserve">ניתוח הנתונים נמצא מתאם בין שיעור החרדים </w:t>
            </w:r>
            <w:r w:rsidRPr="00236CC3">
              <w:rPr>
                <w:rFonts w:ascii="Tahoma" w:hAnsi="Tahoma" w:cs="Tahoma" w:hint="cs"/>
                <w:sz w:val="19"/>
                <w:szCs w:val="19"/>
                <w:rtl/>
              </w:rPr>
              <w:t xml:space="preserve">או הערבים ביישוב </w:t>
            </w:r>
            <w:r w:rsidRPr="00236CC3">
              <w:rPr>
                <w:rFonts w:ascii="Tahoma" w:hAnsi="Tahoma" w:cs="Tahoma"/>
                <w:sz w:val="19"/>
                <w:szCs w:val="19"/>
                <w:rtl/>
              </w:rPr>
              <w:t>לבין זמן המתנה קצר יותר לתורים</w:t>
            </w:r>
            <w:r w:rsidRPr="00236CC3">
              <w:rPr>
                <w:rFonts w:ascii="Tahoma" w:hAnsi="Tahoma" w:cs="Tahoma" w:hint="cs"/>
                <w:sz w:val="19"/>
                <w:szCs w:val="19"/>
                <w:rtl/>
              </w:rPr>
              <w:t xml:space="preserve">; עוד נמצא כי מתוך 37 התחומים שנבדקו בכללית, מכבי ולאומית, ב-32 תחומים </w:t>
            </w:r>
            <w:r w:rsidRPr="00236CC3">
              <w:rPr>
                <w:rFonts w:ascii="Tahoma" w:hAnsi="Tahoma" w:cs="Tahoma" w:hint="eastAsia"/>
                <w:b/>
                <w:bCs/>
                <w:sz w:val="19"/>
                <w:szCs w:val="19"/>
                <w:rtl/>
              </w:rPr>
              <w:t>זמן</w:t>
            </w:r>
            <w:r w:rsidRPr="00236CC3">
              <w:rPr>
                <w:rFonts w:ascii="Tahoma" w:hAnsi="Tahoma" w:cs="Tahoma"/>
                <w:b/>
                <w:bCs/>
                <w:sz w:val="19"/>
                <w:szCs w:val="19"/>
                <w:rtl/>
              </w:rPr>
              <w:t xml:space="preserve"> </w:t>
            </w:r>
            <w:r w:rsidRPr="00236CC3">
              <w:rPr>
                <w:rFonts w:ascii="Tahoma" w:hAnsi="Tahoma" w:cs="Tahoma" w:hint="eastAsia"/>
                <w:b/>
                <w:bCs/>
                <w:sz w:val="19"/>
                <w:szCs w:val="19"/>
                <w:rtl/>
              </w:rPr>
              <w:t>ההמתנה</w:t>
            </w:r>
            <w:r w:rsidRPr="00236CC3">
              <w:rPr>
                <w:rFonts w:ascii="Tahoma" w:hAnsi="Tahoma" w:cs="Tahoma"/>
                <w:b/>
                <w:bCs/>
                <w:sz w:val="19"/>
                <w:szCs w:val="19"/>
                <w:rtl/>
              </w:rPr>
              <w:t xml:space="preserve"> </w:t>
            </w:r>
            <w:r w:rsidRPr="00236CC3">
              <w:rPr>
                <w:rFonts w:ascii="Tahoma" w:hAnsi="Tahoma" w:cs="Tahoma" w:hint="eastAsia"/>
                <w:b/>
                <w:bCs/>
                <w:sz w:val="19"/>
                <w:szCs w:val="19"/>
                <w:rtl/>
              </w:rPr>
              <w:t>של</w:t>
            </w:r>
            <w:r w:rsidRPr="00236CC3">
              <w:rPr>
                <w:rFonts w:ascii="Tahoma" w:hAnsi="Tahoma" w:cs="Tahoma"/>
                <w:b/>
                <w:bCs/>
                <w:sz w:val="19"/>
                <w:szCs w:val="19"/>
                <w:rtl/>
              </w:rPr>
              <w:t xml:space="preserve"> </w:t>
            </w:r>
            <w:r w:rsidRPr="00236CC3">
              <w:rPr>
                <w:rFonts w:ascii="Tahoma" w:hAnsi="Tahoma" w:cs="Tahoma" w:hint="eastAsia"/>
                <w:b/>
                <w:bCs/>
                <w:sz w:val="19"/>
                <w:szCs w:val="19"/>
                <w:rtl/>
              </w:rPr>
              <w:t>גברים</w:t>
            </w:r>
            <w:r w:rsidRPr="00236CC3">
              <w:rPr>
                <w:rFonts w:ascii="Tahoma" w:hAnsi="Tahoma" w:cs="Tahoma"/>
                <w:b/>
                <w:bCs/>
                <w:sz w:val="19"/>
                <w:szCs w:val="19"/>
                <w:rtl/>
              </w:rPr>
              <w:t xml:space="preserve"> </w:t>
            </w:r>
            <w:r w:rsidRPr="00236CC3">
              <w:rPr>
                <w:rFonts w:ascii="Tahoma" w:hAnsi="Tahoma" w:cs="Tahoma" w:hint="eastAsia"/>
                <w:b/>
                <w:bCs/>
                <w:sz w:val="19"/>
                <w:szCs w:val="19"/>
                <w:rtl/>
              </w:rPr>
              <w:t>קצר</w:t>
            </w:r>
            <w:r w:rsidRPr="00236CC3">
              <w:rPr>
                <w:rFonts w:ascii="Tahoma" w:hAnsi="Tahoma" w:cs="Tahoma"/>
                <w:b/>
                <w:bCs/>
                <w:sz w:val="19"/>
                <w:szCs w:val="19"/>
                <w:rtl/>
              </w:rPr>
              <w:t xml:space="preserve"> </w:t>
            </w:r>
            <w:r w:rsidRPr="00236CC3">
              <w:rPr>
                <w:rFonts w:ascii="Tahoma" w:hAnsi="Tahoma" w:cs="Tahoma" w:hint="eastAsia"/>
                <w:b/>
                <w:bCs/>
                <w:sz w:val="19"/>
                <w:szCs w:val="19"/>
                <w:rtl/>
              </w:rPr>
              <w:t>מזמן</w:t>
            </w:r>
            <w:r w:rsidRPr="00236CC3">
              <w:rPr>
                <w:rFonts w:ascii="Tahoma" w:hAnsi="Tahoma" w:cs="Tahoma"/>
                <w:b/>
                <w:bCs/>
                <w:sz w:val="19"/>
                <w:szCs w:val="19"/>
                <w:rtl/>
              </w:rPr>
              <w:t xml:space="preserve"> </w:t>
            </w:r>
            <w:r w:rsidRPr="00236CC3">
              <w:rPr>
                <w:rFonts w:ascii="Tahoma" w:hAnsi="Tahoma" w:cs="Tahoma" w:hint="eastAsia"/>
                <w:b/>
                <w:bCs/>
                <w:sz w:val="19"/>
                <w:szCs w:val="19"/>
                <w:rtl/>
              </w:rPr>
              <w:t>ההמתנה</w:t>
            </w:r>
            <w:r w:rsidRPr="00236CC3">
              <w:rPr>
                <w:rFonts w:ascii="Tahoma" w:hAnsi="Tahoma" w:cs="Tahoma"/>
                <w:b/>
                <w:bCs/>
                <w:sz w:val="19"/>
                <w:szCs w:val="19"/>
                <w:rtl/>
              </w:rPr>
              <w:t xml:space="preserve"> </w:t>
            </w:r>
            <w:r w:rsidRPr="00236CC3">
              <w:rPr>
                <w:rFonts w:ascii="Tahoma" w:hAnsi="Tahoma" w:cs="Tahoma" w:hint="eastAsia"/>
                <w:b/>
                <w:bCs/>
                <w:sz w:val="19"/>
                <w:szCs w:val="19"/>
                <w:rtl/>
              </w:rPr>
              <w:t>של</w:t>
            </w:r>
            <w:r w:rsidRPr="00236CC3">
              <w:rPr>
                <w:rFonts w:ascii="Tahoma" w:hAnsi="Tahoma" w:cs="Tahoma"/>
                <w:b/>
                <w:bCs/>
                <w:sz w:val="19"/>
                <w:szCs w:val="19"/>
                <w:rtl/>
              </w:rPr>
              <w:t xml:space="preserve"> </w:t>
            </w:r>
            <w:r w:rsidRPr="00236CC3">
              <w:rPr>
                <w:rFonts w:ascii="Tahoma" w:hAnsi="Tahoma" w:cs="Tahoma" w:hint="eastAsia"/>
                <w:b/>
                <w:bCs/>
                <w:sz w:val="19"/>
                <w:szCs w:val="19"/>
                <w:rtl/>
              </w:rPr>
              <w:t>נשים</w:t>
            </w:r>
            <w:r w:rsidRPr="00236CC3">
              <w:rPr>
                <w:rFonts w:ascii="Tahoma" w:hAnsi="Tahoma" w:cs="Tahoma" w:hint="cs"/>
                <w:b/>
                <w:bCs/>
                <w:sz w:val="19"/>
                <w:szCs w:val="19"/>
                <w:rtl/>
              </w:rPr>
              <w:t>, וההפרש נע בין יום אחד ל-22 ימים.</w:t>
            </w:r>
          </w:p>
          <w:p w14:paraId="00595DCD"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hint="eastAsia"/>
                <w:b/>
                <w:bCs/>
                <w:sz w:val="19"/>
                <w:szCs w:val="19"/>
                <w:rtl/>
              </w:rPr>
              <w:t>מימוש</w:t>
            </w:r>
            <w:r w:rsidRPr="00236CC3">
              <w:rPr>
                <w:rFonts w:ascii="Tahoma" w:hAnsi="Tahoma" w:cs="Tahoma"/>
                <w:b/>
                <w:bCs/>
                <w:sz w:val="19"/>
                <w:szCs w:val="19"/>
                <w:rtl/>
              </w:rPr>
              <w:t xml:space="preserve"> </w:t>
            </w:r>
            <w:r w:rsidRPr="00236CC3">
              <w:rPr>
                <w:rFonts w:ascii="Tahoma" w:hAnsi="Tahoma" w:cs="Tahoma" w:hint="eastAsia"/>
                <w:b/>
                <w:bCs/>
                <w:sz w:val="19"/>
                <w:szCs w:val="19"/>
                <w:rtl/>
              </w:rPr>
              <w:t>תור</w:t>
            </w:r>
            <w:r w:rsidRPr="00236CC3">
              <w:rPr>
                <w:rFonts w:ascii="Tahoma" w:hAnsi="Tahoma" w:cs="Tahoma"/>
                <w:b/>
                <w:bCs/>
                <w:sz w:val="19"/>
                <w:szCs w:val="19"/>
                <w:rtl/>
              </w:rPr>
              <w:t xml:space="preserve"> </w:t>
            </w:r>
            <w:r w:rsidRPr="00236CC3">
              <w:rPr>
                <w:rFonts w:ascii="Tahoma" w:hAnsi="Tahoma" w:cs="Tahoma" w:hint="eastAsia"/>
                <w:b/>
                <w:bCs/>
                <w:sz w:val="19"/>
                <w:szCs w:val="19"/>
                <w:rtl/>
              </w:rPr>
              <w:t>לרפואה</w:t>
            </w:r>
            <w:r w:rsidRPr="00236CC3">
              <w:rPr>
                <w:rFonts w:ascii="Tahoma" w:hAnsi="Tahoma" w:cs="Tahoma"/>
                <w:b/>
                <w:bCs/>
                <w:sz w:val="19"/>
                <w:szCs w:val="19"/>
                <w:rtl/>
              </w:rPr>
              <w:t xml:space="preserve"> </w:t>
            </w:r>
            <w:r w:rsidRPr="00236CC3">
              <w:rPr>
                <w:rFonts w:ascii="Tahoma" w:hAnsi="Tahoma" w:cs="Tahoma" w:hint="eastAsia"/>
                <w:b/>
                <w:bCs/>
                <w:sz w:val="19"/>
                <w:szCs w:val="19"/>
                <w:rtl/>
              </w:rPr>
              <w:t>יועצת</w:t>
            </w:r>
            <w:r w:rsidRPr="00236CC3">
              <w:rPr>
                <w:rFonts w:ascii="Tahoma" w:hAnsi="Tahoma" w:cs="Tahoma"/>
                <w:b/>
                <w:bCs/>
                <w:sz w:val="19"/>
                <w:szCs w:val="19"/>
                <w:rtl/>
              </w:rPr>
              <w:t xml:space="preserve"> </w:t>
            </w:r>
            <w:r w:rsidRPr="00236CC3">
              <w:rPr>
                <w:rFonts w:ascii="Tahoma" w:hAnsi="Tahoma" w:cs="Tahoma" w:hint="eastAsia"/>
                <w:b/>
                <w:bCs/>
                <w:sz w:val="19"/>
                <w:szCs w:val="19"/>
                <w:rtl/>
              </w:rPr>
              <w:t>בקהילה</w:t>
            </w:r>
            <w:r w:rsidRPr="00236CC3">
              <w:rPr>
                <w:rFonts w:ascii="Tahoma" w:hAnsi="Tahoma" w:cs="Tahoma" w:hint="cs"/>
                <w:sz w:val="19"/>
                <w:szCs w:val="19"/>
                <w:rtl/>
              </w:rPr>
              <w:t xml:space="preserve"> - </w:t>
            </w:r>
            <w:r w:rsidRPr="00870FFB">
              <w:rPr>
                <w:rFonts w:ascii="Tahoma" w:hAnsi="Tahoma" w:cs="Tahoma" w:hint="cs"/>
                <w:b/>
                <w:bCs/>
                <w:sz w:val="19"/>
                <w:szCs w:val="19"/>
                <w:rtl/>
              </w:rPr>
              <w:t>יותר ממחצית מהתורים (52.5%) שנקבעו בארבע קופות החולים לרפואה יועצת לא מומשו (לא הסתיימו בביקור המבוטח אצל הרופא).</w:t>
            </w:r>
            <w:r w:rsidRPr="00236CC3">
              <w:rPr>
                <w:rFonts w:ascii="Tahoma" w:hAnsi="Tahoma" w:cs="Tahoma" w:hint="cs"/>
                <w:sz w:val="19"/>
                <w:szCs w:val="19"/>
                <w:rtl/>
              </w:rPr>
              <w:t xml:space="preserve"> בקופת חולים לאומית שיעור מימוש התורים שהוזמנו זמן קצר לפני מועד הביקור לרופא מומחה היה גבוה ביחס לקופות החולים האחרות. </w:t>
            </w:r>
            <w:r w:rsidRPr="00236CC3">
              <w:rPr>
                <w:rtl/>
              </w:rPr>
              <w:t xml:space="preserve"> </w:t>
            </w:r>
            <w:r w:rsidRPr="00236CC3">
              <w:rPr>
                <w:rFonts w:ascii="Tahoma" w:hAnsi="Tahoma" w:cs="Tahoma"/>
                <w:sz w:val="19"/>
                <w:szCs w:val="19"/>
                <w:rtl/>
              </w:rPr>
              <w:t xml:space="preserve">כך לדוגמה, רק כ-15% מהתורים שנקבעו ביום הביקור בקופת חולים לאומית לא מומשו, </w:t>
            </w:r>
            <w:r w:rsidRPr="00236CC3">
              <w:rPr>
                <w:rFonts w:ascii="Tahoma" w:hAnsi="Tahoma" w:cs="Tahoma" w:hint="cs"/>
                <w:sz w:val="19"/>
                <w:szCs w:val="19"/>
                <w:rtl/>
              </w:rPr>
              <w:t>ואילו</w:t>
            </w:r>
            <w:r w:rsidRPr="00236CC3">
              <w:rPr>
                <w:rFonts w:ascii="Tahoma" w:hAnsi="Tahoma" w:cs="Tahoma"/>
                <w:sz w:val="19"/>
                <w:szCs w:val="19"/>
                <w:rtl/>
              </w:rPr>
              <w:t xml:space="preserve"> בקופות החולים מאוחדת, כללית ומכבי היה שיעור זה כ-22%, 41% ו-56% בהתאמה. </w:t>
            </w:r>
            <w:r w:rsidRPr="00870FFB">
              <w:rPr>
                <w:rFonts w:ascii="Tahoma" w:hAnsi="Tahoma" w:cs="Tahoma" w:hint="cs"/>
                <w:b/>
                <w:bCs/>
                <w:sz w:val="19"/>
                <w:szCs w:val="19"/>
                <w:rtl/>
              </w:rPr>
              <w:t>אילו בתורים שהוזמנו עד 10 ימים לפני מועד הביקור היו שיעורי המימוש במכבי ובכללית דומים לשיעור המימוש בלאומית, היו מתווספים עוד כ-2.2 מיליון תורים ממומשים לרופאים מומחים בקהילה.</w:t>
            </w:r>
          </w:p>
          <w:p w14:paraId="7F703CF6"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b/>
                <w:bCs/>
                <w:sz w:val="19"/>
                <w:szCs w:val="19"/>
                <w:rtl/>
              </w:rPr>
              <w:t xml:space="preserve">אי-הופעה לתור </w:t>
            </w:r>
            <w:r w:rsidRPr="00236CC3">
              <w:rPr>
                <w:rFonts w:ascii="Tahoma" w:hAnsi="Tahoma" w:cs="Tahoma" w:hint="cs"/>
                <w:b/>
                <w:bCs/>
                <w:sz w:val="19"/>
                <w:szCs w:val="19"/>
                <w:rtl/>
              </w:rPr>
              <w:t>(</w:t>
            </w:r>
            <w:r w:rsidRPr="00236CC3">
              <w:rPr>
                <w:rFonts w:ascii="Tahoma" w:hAnsi="Tahoma" w:cs="Tahoma"/>
                <w:b/>
                <w:bCs/>
                <w:sz w:val="19"/>
                <w:szCs w:val="19"/>
              </w:rPr>
              <w:t xml:space="preserve"> (NO SHOW</w:t>
            </w:r>
            <w:r w:rsidRPr="00236CC3">
              <w:rPr>
                <w:rFonts w:ascii="Tahoma" w:hAnsi="Tahoma" w:cs="Tahoma" w:hint="cs"/>
                <w:sz w:val="19"/>
                <w:szCs w:val="19"/>
                <w:rtl/>
              </w:rPr>
              <w:t xml:space="preserve">- </w:t>
            </w:r>
            <w:r w:rsidRPr="00236CC3">
              <w:rPr>
                <w:rFonts w:ascii="Tahoma" w:hAnsi="Tahoma" w:cs="Tahoma"/>
                <w:sz w:val="19"/>
                <w:szCs w:val="19"/>
                <w:rtl/>
              </w:rPr>
              <w:t>תופעת אי-ההופעה לתורים</w:t>
            </w:r>
            <w:r w:rsidRPr="00236CC3">
              <w:rPr>
                <w:rFonts w:ascii="Tahoma" w:hAnsi="Tahoma" w:cs="Tahoma" w:hint="cs"/>
                <w:sz w:val="19"/>
                <w:szCs w:val="19"/>
                <w:rtl/>
              </w:rPr>
              <w:t xml:space="preserve"> (</w:t>
            </w:r>
            <w:r w:rsidRPr="00236CC3">
              <w:rPr>
                <w:rFonts w:ascii="Tahoma" w:hAnsi="Tahoma" w:cs="Tahoma"/>
                <w:sz w:val="19"/>
                <w:szCs w:val="19"/>
                <w:rtl/>
              </w:rPr>
              <w:t>מטופל אינו מגיע</w:t>
            </w:r>
            <w:r w:rsidRPr="00236CC3">
              <w:rPr>
                <w:rFonts w:ascii="Tahoma" w:hAnsi="Tahoma" w:cs="Tahoma" w:hint="cs"/>
                <w:sz w:val="19"/>
                <w:szCs w:val="19"/>
                <w:rtl/>
              </w:rPr>
              <w:t xml:space="preserve"> ואינו מבטל</w:t>
            </w:r>
            <w:r w:rsidRPr="00236CC3">
              <w:rPr>
                <w:rFonts w:ascii="Tahoma" w:hAnsi="Tahoma" w:cs="Tahoma"/>
                <w:sz w:val="19"/>
                <w:szCs w:val="19"/>
                <w:rtl/>
              </w:rPr>
              <w:t xml:space="preserve"> תור מתוכנן שנקבע לו</w:t>
            </w:r>
            <w:r w:rsidRPr="00236CC3">
              <w:rPr>
                <w:rFonts w:ascii="Tahoma" w:hAnsi="Tahoma" w:cs="Tahoma" w:hint="cs"/>
                <w:sz w:val="19"/>
                <w:szCs w:val="19"/>
                <w:rtl/>
              </w:rPr>
              <w:t>)</w:t>
            </w:r>
            <w:r w:rsidRPr="00236CC3">
              <w:rPr>
                <w:rFonts w:ascii="Tahoma" w:hAnsi="Tahoma" w:cs="Tahoma"/>
                <w:sz w:val="19"/>
                <w:szCs w:val="19"/>
                <w:rtl/>
              </w:rPr>
              <w:t xml:space="preserve"> פוגעת באופן ניכר בהיצע התורים, </w:t>
            </w:r>
            <w:r w:rsidRPr="00236CC3">
              <w:rPr>
                <w:rFonts w:ascii="Tahoma" w:hAnsi="Tahoma" w:cs="Tahoma" w:hint="cs"/>
                <w:sz w:val="19"/>
                <w:szCs w:val="19"/>
                <w:rtl/>
              </w:rPr>
              <w:t>מבזבזת את זמנם</w:t>
            </w:r>
            <w:r w:rsidRPr="00236CC3">
              <w:rPr>
                <w:rFonts w:ascii="Tahoma" w:hAnsi="Tahoma" w:cs="Tahoma"/>
                <w:sz w:val="19"/>
                <w:szCs w:val="19"/>
                <w:rtl/>
              </w:rPr>
              <w:t xml:space="preserve"> של רופאים ומביאה להתארכות זמני ההמתנה לתור </w:t>
            </w:r>
            <w:r w:rsidRPr="00236CC3">
              <w:rPr>
                <w:rFonts w:ascii="Tahoma" w:hAnsi="Tahoma" w:cs="Tahoma" w:hint="cs"/>
                <w:sz w:val="19"/>
                <w:szCs w:val="19"/>
                <w:rtl/>
              </w:rPr>
              <w:t xml:space="preserve">נחוץ </w:t>
            </w:r>
            <w:r w:rsidRPr="00236CC3">
              <w:rPr>
                <w:rFonts w:ascii="Tahoma" w:hAnsi="Tahoma" w:cs="Tahoma"/>
                <w:sz w:val="19"/>
                <w:szCs w:val="19"/>
                <w:rtl/>
              </w:rPr>
              <w:t xml:space="preserve">של מבוטחים שנדרשים לטיפול רפואי. </w:t>
            </w:r>
            <w:r w:rsidRPr="00870FFB">
              <w:rPr>
                <w:rFonts w:ascii="Tahoma" w:hAnsi="Tahoma" w:cs="Tahoma" w:hint="cs"/>
                <w:b/>
                <w:bCs/>
                <w:sz w:val="19"/>
                <w:szCs w:val="19"/>
                <w:rtl/>
              </w:rPr>
              <w:t>יש תחומים שבהם שיעור אי-ההופעה גבוה באופן ניכר מתחומים אחרים.</w:t>
            </w:r>
            <w:r w:rsidRPr="00236CC3">
              <w:rPr>
                <w:rFonts w:ascii="Tahoma" w:hAnsi="Tahoma" w:cs="Tahoma" w:hint="cs"/>
                <w:sz w:val="19"/>
                <w:szCs w:val="19"/>
                <w:rtl/>
              </w:rPr>
              <w:t xml:space="preserve"> בלאומית, שיעור אי-ההופעה הממוצע בכלל התחומים הוא כ-20%, והוא מורכב מתחומים עם שיעור אי-הופעה גבוה כמו ראומטולוגיה ילדים (43%), פרוקטולוגיה (32%) ואימנולוגיה - אלרגולוגיה (31%), ותחומים עם שיעור אי-ההופעה נמוך כמו גנטיקה רפואית (6%),</w:t>
            </w:r>
            <w:r w:rsidRPr="00236CC3">
              <w:rPr>
                <w:rFonts w:ascii="Tahoma" w:hAnsi="Tahoma" w:cs="Tahoma" w:hint="cs"/>
                <w:sz w:val="19"/>
                <w:szCs w:val="19"/>
              </w:rPr>
              <w:t xml:space="preserve"> </w:t>
            </w:r>
            <w:r w:rsidRPr="00236CC3">
              <w:rPr>
                <w:rFonts w:ascii="Tahoma" w:hAnsi="Tahoma" w:cs="Tahoma" w:hint="cs"/>
                <w:sz w:val="19"/>
                <w:szCs w:val="19"/>
                <w:rtl/>
              </w:rPr>
              <w:t xml:space="preserve">מחלות כבד (11%) ואף, אוזן וגרון בילדים (13%). במכבי, שיעור אי-ההופעה בכלל התחומים הוא כ-21%, והוא מורכב מתחומים עם שיעור אי-הופעה גבוה כמו רפואת פה (41%), אורולוגיית ילדים (35%) ופרוקטולוגיה (34%), ותחומים עם שיעור אי-הופעה נמוך כמו גריאטרייה וראומטולוגיה ילדים (14%), מחלות כבד (12%) וסוכרת (9%). על אף חשיבות נקיטת הצעדים לצמצום אי-הופעה לתורים שנקבעו ולא בוטלו, </w:t>
            </w:r>
            <w:r w:rsidRPr="00236CC3">
              <w:rPr>
                <w:rFonts w:ascii="Tahoma" w:hAnsi="Tahoma" w:cs="Tahoma"/>
                <w:sz w:val="19"/>
                <w:szCs w:val="19"/>
                <w:rtl/>
              </w:rPr>
              <w:t xml:space="preserve">נכון למועד סיום הביקורת, </w:t>
            </w:r>
            <w:r w:rsidRPr="00236CC3">
              <w:rPr>
                <w:rFonts w:ascii="Tahoma" w:hAnsi="Tahoma" w:cs="Tahoma"/>
                <w:b/>
                <w:bCs/>
                <w:sz w:val="19"/>
                <w:szCs w:val="19"/>
                <w:rtl/>
              </w:rPr>
              <w:t xml:space="preserve">הממשלה לא הביאה בפני הכנסת הצעת חוק </w:t>
            </w:r>
            <w:r w:rsidRPr="00236CC3">
              <w:rPr>
                <w:rFonts w:ascii="Tahoma" w:hAnsi="Tahoma" w:cs="Tahoma" w:hint="cs"/>
                <w:b/>
                <w:bCs/>
                <w:sz w:val="19"/>
                <w:szCs w:val="19"/>
                <w:rtl/>
              </w:rPr>
              <w:t>הקובעת מנגנון לצמצום התופעה, כגון גביית דמי השתתפות עצמית בגין אי-ההופעה לתורים.</w:t>
            </w:r>
            <w:r w:rsidRPr="00236CC3">
              <w:rPr>
                <w:rFonts w:ascii="Tahoma" w:hAnsi="Tahoma" w:cs="Tahoma" w:hint="cs"/>
                <w:sz w:val="19"/>
                <w:szCs w:val="19"/>
                <w:rtl/>
              </w:rPr>
              <w:t xml:space="preserve"> </w:t>
            </w:r>
          </w:p>
          <w:p w14:paraId="0FDFB21E"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b/>
                <w:bCs/>
                <w:sz w:val="19"/>
                <w:szCs w:val="19"/>
                <w:rtl/>
              </w:rPr>
              <w:t>השפעת רפורמת יציב על מספר הרופאים בקהילה בפריפריה</w:t>
            </w:r>
            <w:r w:rsidRPr="00236CC3">
              <w:rPr>
                <w:rFonts w:ascii="Tahoma" w:hAnsi="Tahoma" w:cs="Tahoma"/>
                <w:sz w:val="19"/>
                <w:szCs w:val="19"/>
                <w:rtl/>
              </w:rPr>
              <w:t xml:space="preserve"> </w:t>
            </w:r>
            <w:r w:rsidRPr="00236CC3">
              <w:rPr>
                <w:rFonts w:ascii="Tahoma" w:hAnsi="Tahoma" w:cs="Tahoma" w:hint="cs"/>
                <w:sz w:val="19"/>
                <w:szCs w:val="19"/>
                <w:rtl/>
              </w:rPr>
              <w:t xml:space="preserve">- 34% </w:t>
            </w:r>
            <w:r w:rsidRPr="00236CC3">
              <w:rPr>
                <w:rFonts w:ascii="Tahoma" w:hAnsi="Tahoma" w:cs="Tahoma"/>
                <w:sz w:val="19"/>
                <w:szCs w:val="19"/>
                <w:rtl/>
              </w:rPr>
              <w:t>ממקבלי רישיונות הרפואה בשנת 2022 למדו באוניברסיטאות</w:t>
            </w:r>
            <w:r w:rsidRPr="00236CC3">
              <w:rPr>
                <w:rFonts w:ascii="Tahoma" w:hAnsi="Tahoma" w:cs="Tahoma" w:hint="cs"/>
                <w:sz w:val="19"/>
                <w:szCs w:val="19"/>
                <w:rtl/>
              </w:rPr>
              <w:t xml:space="preserve"> בחו"ל</w:t>
            </w:r>
            <w:r w:rsidRPr="00236CC3">
              <w:rPr>
                <w:rFonts w:ascii="Tahoma" w:hAnsi="Tahoma" w:cs="Tahoma"/>
                <w:sz w:val="19"/>
                <w:szCs w:val="19"/>
                <w:rtl/>
              </w:rPr>
              <w:t xml:space="preserve"> שמשרד הבריאות הפסיק להכיר בהן. בפריפריה </w:t>
            </w:r>
            <w:r w:rsidRPr="00236CC3">
              <w:rPr>
                <w:rFonts w:ascii="Tahoma" w:hAnsi="Tahoma" w:cs="Tahoma" w:hint="cs"/>
                <w:sz w:val="19"/>
                <w:szCs w:val="19"/>
                <w:rtl/>
              </w:rPr>
              <w:t xml:space="preserve">רוב הרופאים החדשים הם </w:t>
            </w:r>
            <w:r w:rsidRPr="00236CC3">
              <w:rPr>
                <w:rFonts w:ascii="Tahoma" w:hAnsi="Tahoma" w:cs="Tahoma"/>
                <w:sz w:val="19"/>
                <w:szCs w:val="19"/>
                <w:rtl/>
              </w:rPr>
              <w:t>בוגרים אלו: במחוז דרום - 51% ובמחוז הצפון 63%</w:t>
            </w:r>
            <w:r w:rsidRPr="00236CC3">
              <w:rPr>
                <w:rFonts w:ascii="Tahoma" w:hAnsi="Tahoma" w:cs="Tahoma" w:hint="cs"/>
                <w:sz w:val="19"/>
                <w:szCs w:val="19"/>
                <w:rtl/>
              </w:rPr>
              <w:t xml:space="preserve">. </w:t>
            </w:r>
            <w:r w:rsidRPr="00236CC3">
              <w:rPr>
                <w:rFonts w:ascii="Tahoma" w:hAnsi="Tahoma" w:cs="Tahoma"/>
                <w:sz w:val="19"/>
                <w:szCs w:val="19"/>
                <w:rtl/>
              </w:rPr>
              <w:t>כתוצאה מרפורמת יציב</w:t>
            </w:r>
            <w:r w:rsidRPr="00236CC3">
              <w:rPr>
                <w:rFonts w:ascii="Tahoma" w:hAnsi="Tahoma" w:cs="Tahoma" w:hint="cs"/>
                <w:sz w:val="19"/>
                <w:szCs w:val="19"/>
                <w:rtl/>
              </w:rPr>
              <w:t>,</w:t>
            </w:r>
            <w:r w:rsidRPr="00236CC3">
              <w:rPr>
                <w:rFonts w:ascii="Tahoma" w:hAnsi="Tahoma" w:cs="Tahoma"/>
                <w:sz w:val="19"/>
                <w:szCs w:val="19"/>
                <w:rtl/>
              </w:rPr>
              <w:t xml:space="preserve"> וכל עוד לא יהיה מקור חלופי ומלא אחר לתוספת של רופאים, </w:t>
            </w:r>
            <w:r w:rsidRPr="00236CC3">
              <w:rPr>
                <w:rFonts w:ascii="Tahoma" w:hAnsi="Tahoma" w:cs="Tahoma"/>
                <w:b/>
                <w:bCs/>
                <w:sz w:val="19"/>
                <w:szCs w:val="19"/>
                <w:rtl/>
              </w:rPr>
              <w:t>צפוי שהחל משנת 2026 יחול צמצום משמעותי בתוספת הרופאים החדשים</w:t>
            </w:r>
            <w:r w:rsidRPr="00236CC3">
              <w:rPr>
                <w:rFonts w:ascii="Tahoma" w:hAnsi="Tahoma" w:cs="Tahoma"/>
                <w:sz w:val="19"/>
                <w:szCs w:val="19"/>
                <w:rtl/>
              </w:rPr>
              <w:t xml:space="preserve"> ("הזרם"), שכן אז ישראלים בוגרי חו"ל לא מאושר לא יוכלו לקבל רישיון רפואה בארץ. מדובר בנתח משמעותי של בוגרי חו"ל לא מאושר - שליש,  והדבר עלול לפגוע במיוחד באזורי הפריפריה ששם יש ריכוז גבוה של בוגרי רפואה ממוסדות שאינם מורשים יותר.</w:t>
            </w:r>
            <w:r w:rsidRPr="00236CC3">
              <w:rPr>
                <w:rFonts w:ascii="Tahoma" w:hAnsi="Tahoma" w:cs="Tahoma" w:hint="cs"/>
                <w:sz w:val="19"/>
                <w:szCs w:val="19"/>
                <w:rtl/>
              </w:rPr>
              <w:t xml:space="preserve"> </w:t>
            </w:r>
            <w:r w:rsidRPr="00236CC3">
              <w:rPr>
                <w:rFonts w:ascii="Tahoma" w:hAnsi="Tahoma" w:cs="Tahoma"/>
                <w:b/>
                <w:bCs/>
                <w:sz w:val="19"/>
                <w:szCs w:val="19"/>
                <w:rtl/>
              </w:rPr>
              <w:t>הרופאים המומחים בקהילה שהם בוגרי ישראל מרוכזים בעיקר בירושלים, גוש דן וחיפה</w:t>
            </w:r>
            <w:r w:rsidRPr="00236CC3">
              <w:rPr>
                <w:rFonts w:ascii="Tahoma" w:hAnsi="Tahoma" w:cs="Tahoma"/>
                <w:sz w:val="19"/>
                <w:szCs w:val="19"/>
                <w:rtl/>
              </w:rPr>
              <w:t>, בהשוואה לכך - ריכוז בוגרי חו"ל לא מאושר בגוש דן ובחיפה נמוך יותר.</w:t>
            </w:r>
            <w:r w:rsidRPr="00236CC3">
              <w:rPr>
                <w:rFonts w:ascii="Tahoma" w:hAnsi="Tahoma" w:cs="Tahoma" w:hint="cs"/>
                <w:sz w:val="19"/>
                <w:szCs w:val="19"/>
                <w:rtl/>
              </w:rPr>
              <w:t xml:space="preserve"> לעומת זאת,</w:t>
            </w:r>
            <w:r w:rsidRPr="00236CC3">
              <w:rPr>
                <w:rFonts w:ascii="Tahoma" w:hAnsi="Tahoma" w:cs="Tahoma"/>
                <w:sz w:val="19"/>
                <w:szCs w:val="19"/>
                <w:rtl/>
              </w:rPr>
              <w:t xml:space="preserve"> </w:t>
            </w:r>
            <w:r w:rsidRPr="00236CC3">
              <w:rPr>
                <w:rFonts w:ascii="Tahoma" w:hAnsi="Tahoma" w:cs="Tahoma" w:hint="cs"/>
                <w:sz w:val="19"/>
                <w:szCs w:val="19"/>
                <w:rtl/>
              </w:rPr>
              <w:t xml:space="preserve"> ביישובים הפריפריאלי</w:t>
            </w:r>
            <w:r w:rsidRPr="00236CC3">
              <w:rPr>
                <w:rFonts w:ascii="Tahoma" w:hAnsi="Tahoma" w:cs="Tahoma" w:hint="eastAsia"/>
                <w:sz w:val="19"/>
                <w:szCs w:val="19"/>
                <w:rtl/>
              </w:rPr>
              <w:t>ים</w:t>
            </w:r>
            <w:r w:rsidRPr="00236CC3">
              <w:rPr>
                <w:rFonts w:ascii="Tahoma" w:hAnsi="Tahoma" w:cs="Tahoma" w:hint="cs"/>
                <w:sz w:val="19"/>
                <w:szCs w:val="19"/>
                <w:rtl/>
              </w:rPr>
              <w:t xml:space="preserve"> (צפון ודרום) יש ריכוז בוגרי חו"ל לא מאושר גבוה יותר מבוגרי ישראל.</w:t>
            </w:r>
          </w:p>
          <w:p w14:paraId="13C0D76F" w14:textId="77777777" w:rsidR="00236CC3" w:rsidRPr="00236CC3" w:rsidRDefault="00000000" w:rsidP="00236CC3">
            <w:pPr>
              <w:numPr>
                <w:ilvl w:val="0"/>
                <w:numId w:val="21"/>
              </w:numPr>
              <w:tabs>
                <w:tab w:val="center" w:pos="4153"/>
                <w:tab w:val="right" w:pos="8306"/>
              </w:tabs>
              <w:spacing w:after="240"/>
              <w:ind w:left="454" w:hanging="454"/>
              <w:rPr>
                <w:rFonts w:ascii="Tahoma" w:hAnsi="Tahoma" w:cs="Tahoma"/>
                <w:sz w:val="19"/>
                <w:szCs w:val="19"/>
              </w:rPr>
            </w:pPr>
            <w:r w:rsidRPr="00236CC3">
              <w:rPr>
                <w:rFonts w:ascii="Tahoma" w:hAnsi="Tahoma" w:cs="Tahoma"/>
                <w:b/>
                <w:bCs/>
                <w:sz w:val="19"/>
                <w:szCs w:val="19"/>
                <w:rtl/>
              </w:rPr>
              <w:t>זמינות הרפואה היועצת בפריפריה</w:t>
            </w:r>
            <w:r w:rsidRPr="00236CC3">
              <w:rPr>
                <w:rFonts w:ascii="Tahoma" w:hAnsi="Tahoma" w:cs="Tahoma"/>
                <w:sz w:val="19"/>
                <w:szCs w:val="19"/>
                <w:rtl/>
              </w:rPr>
              <w:t xml:space="preserve"> </w:t>
            </w:r>
            <w:r w:rsidRPr="00236CC3">
              <w:rPr>
                <w:rFonts w:ascii="Tahoma" w:hAnsi="Tahoma" w:cs="Tahoma" w:hint="cs"/>
                <w:sz w:val="19"/>
                <w:szCs w:val="19"/>
                <w:rtl/>
              </w:rPr>
              <w:t xml:space="preserve">- לפי נתוני משרד הבריאות מיוני 2023 על שעות הטיפול המוצעות ביומני הרופאים של </w:t>
            </w:r>
            <w:r w:rsidRPr="00236CC3">
              <w:rPr>
                <w:rFonts w:ascii="Tahoma" w:hAnsi="Tahoma" w:cs="Tahoma"/>
                <w:sz w:val="19"/>
                <w:szCs w:val="19"/>
                <w:rtl/>
              </w:rPr>
              <w:t>ארבע קופות החולים</w:t>
            </w:r>
            <w:r w:rsidRPr="00236CC3">
              <w:rPr>
                <w:rFonts w:ascii="Tahoma" w:hAnsi="Tahoma" w:cs="Tahoma" w:hint="cs"/>
                <w:sz w:val="19"/>
                <w:szCs w:val="19"/>
                <w:rtl/>
              </w:rPr>
              <w:t xml:space="preserve">, נמצא כי </w:t>
            </w:r>
            <w:r w:rsidRPr="00236CC3">
              <w:rPr>
                <w:rFonts w:ascii="Tahoma" w:hAnsi="Tahoma" w:cs="Tahoma"/>
                <w:sz w:val="19"/>
                <w:szCs w:val="19"/>
                <w:rtl/>
              </w:rPr>
              <w:t>בשבעת היישובים הפריפריאליים</w:t>
            </w:r>
            <w:r w:rsidRPr="00236CC3">
              <w:rPr>
                <w:rFonts w:ascii="Tahoma" w:hAnsi="Tahoma" w:cs="Tahoma" w:hint="cs"/>
                <w:sz w:val="19"/>
                <w:szCs w:val="19"/>
                <w:rtl/>
              </w:rPr>
              <w:t xml:space="preserve"> שנבדקו (קצרין, קריית שמונה, צפת, אילת, שדרות, נתיבות ואופקים)</w:t>
            </w:r>
            <w:r w:rsidRPr="00236CC3">
              <w:rPr>
                <w:rFonts w:ascii="Tahoma" w:hAnsi="Tahoma" w:cs="Tahoma"/>
                <w:sz w:val="19"/>
                <w:szCs w:val="19"/>
                <w:rtl/>
              </w:rPr>
              <w:t xml:space="preserve"> הקופות אינן מספקות את השירות בכל התחומים</w:t>
            </w:r>
            <w:r w:rsidRPr="00236CC3">
              <w:rPr>
                <w:rFonts w:ascii="Tahoma" w:hAnsi="Tahoma" w:cs="Tahoma" w:hint="cs"/>
                <w:sz w:val="19"/>
                <w:szCs w:val="19"/>
                <w:rtl/>
              </w:rPr>
              <w:t xml:space="preserve"> פנים מול פנים (פרונטלי)</w:t>
            </w:r>
            <w:r w:rsidRPr="00236CC3">
              <w:rPr>
                <w:rFonts w:ascii="Tahoma" w:hAnsi="Tahoma" w:cs="Tahoma"/>
                <w:sz w:val="19"/>
                <w:szCs w:val="19"/>
                <w:rtl/>
              </w:rPr>
              <w:t>. כך למשל, 12 מתוך 35 התחומים המוצעים בקריית שמונה, אינם מוצעים למבוטחי מכבי (כ-3,500 מבוטחים)</w:t>
            </w:r>
            <w:r w:rsidRPr="00236CC3">
              <w:rPr>
                <w:rFonts w:ascii="Tahoma" w:hAnsi="Tahoma" w:cs="Tahoma" w:hint="cs"/>
                <w:sz w:val="19"/>
                <w:szCs w:val="19"/>
                <w:rtl/>
              </w:rPr>
              <w:t>;</w:t>
            </w:r>
            <w:r w:rsidRPr="00236CC3">
              <w:rPr>
                <w:rFonts w:ascii="Tahoma" w:hAnsi="Tahoma" w:cs="Tahoma"/>
                <w:sz w:val="19"/>
                <w:szCs w:val="19"/>
                <w:rtl/>
              </w:rPr>
              <w:t xml:space="preserve"> ב-11 מתוך 32 התחומים המוצעים בצפת אינם מוצעים למבוטחי הכללית (כ-17,100 מבוטחים)</w:t>
            </w:r>
            <w:r w:rsidRPr="00236CC3">
              <w:rPr>
                <w:rFonts w:ascii="Tahoma" w:hAnsi="Tahoma" w:cs="Tahoma" w:hint="cs"/>
                <w:sz w:val="19"/>
                <w:szCs w:val="19"/>
                <w:rtl/>
              </w:rPr>
              <w:t>; ו</w:t>
            </w:r>
            <w:r w:rsidRPr="00236CC3">
              <w:rPr>
                <w:rFonts w:ascii="Tahoma" w:hAnsi="Tahoma" w:cs="Tahoma"/>
                <w:sz w:val="19"/>
                <w:szCs w:val="19"/>
                <w:rtl/>
              </w:rPr>
              <w:t xml:space="preserve">באילת, שבה </w:t>
            </w:r>
            <w:r w:rsidRPr="00236CC3">
              <w:rPr>
                <w:rFonts w:ascii="Tahoma" w:hAnsi="Tahoma" w:cs="Tahoma" w:hint="cs"/>
                <w:sz w:val="19"/>
                <w:szCs w:val="19"/>
                <w:rtl/>
              </w:rPr>
              <w:t>יותר</w:t>
            </w:r>
            <w:r w:rsidRPr="00236CC3">
              <w:rPr>
                <w:rFonts w:ascii="Tahoma" w:hAnsi="Tahoma" w:cs="Tahoma"/>
                <w:sz w:val="19"/>
                <w:szCs w:val="19"/>
                <w:rtl/>
              </w:rPr>
              <w:t xml:space="preserve"> מ-57,000 תושבים</w:t>
            </w:r>
            <w:r w:rsidRPr="00236CC3">
              <w:rPr>
                <w:rFonts w:ascii="Tahoma" w:hAnsi="Tahoma" w:cs="Tahoma" w:hint="cs"/>
                <w:sz w:val="19"/>
                <w:szCs w:val="19"/>
                <w:rtl/>
              </w:rPr>
              <w:t xml:space="preserve">, קופות החולים </w:t>
            </w:r>
            <w:r w:rsidRPr="00236CC3">
              <w:rPr>
                <w:rFonts w:ascii="Tahoma" w:hAnsi="Tahoma" w:cs="Tahoma"/>
                <w:sz w:val="19"/>
                <w:szCs w:val="19"/>
                <w:rtl/>
              </w:rPr>
              <w:t>מציעות 25 תחומי רפואה שונים</w:t>
            </w:r>
            <w:r w:rsidRPr="00236CC3">
              <w:rPr>
                <w:rFonts w:ascii="Tahoma" w:hAnsi="Tahoma" w:cs="Tahoma" w:hint="cs"/>
                <w:sz w:val="19"/>
                <w:szCs w:val="19"/>
                <w:rtl/>
              </w:rPr>
              <w:t xml:space="preserve">, </w:t>
            </w:r>
            <w:r w:rsidRPr="00236CC3">
              <w:rPr>
                <w:rFonts w:ascii="Tahoma" w:hAnsi="Tahoma" w:cs="Tahoma"/>
                <w:sz w:val="19"/>
                <w:szCs w:val="19"/>
                <w:rtl/>
              </w:rPr>
              <w:t>מ</w:t>
            </w:r>
            <w:r w:rsidRPr="00236CC3">
              <w:rPr>
                <w:rFonts w:ascii="Tahoma" w:hAnsi="Tahoma" w:cs="Tahoma" w:hint="cs"/>
                <w:sz w:val="19"/>
                <w:szCs w:val="19"/>
                <w:rtl/>
              </w:rPr>
              <w:t>ה</w:t>
            </w:r>
            <w:r w:rsidRPr="00236CC3">
              <w:rPr>
                <w:rFonts w:ascii="Tahoma" w:hAnsi="Tahoma" w:cs="Tahoma"/>
                <w:sz w:val="19"/>
                <w:szCs w:val="19"/>
                <w:rtl/>
              </w:rPr>
              <w:t xml:space="preserve">ם רק ארבעה תחומים (יילוד וגניקולוגיה, ילדים, משפחה ועיניים) מוצעים על ידי כל הקופות. יתר תחומי הרפואה ניתנים רק בחלק מקופות החולים. </w:t>
            </w:r>
            <w:r w:rsidRPr="00236CC3">
              <w:rPr>
                <w:rFonts w:ascii="Tahoma" w:hAnsi="Tahoma" w:cs="Tahoma" w:hint="cs"/>
                <w:sz w:val="19"/>
                <w:szCs w:val="19"/>
                <w:rtl/>
              </w:rPr>
              <w:t>נמצא גם שבתחומים רבים שנבדקו בשבעת היישובים הפריפריאליי</w:t>
            </w:r>
            <w:r w:rsidRPr="00236CC3">
              <w:rPr>
                <w:rFonts w:ascii="Tahoma" w:hAnsi="Tahoma" w:cs="Tahoma" w:hint="eastAsia"/>
                <w:sz w:val="19"/>
                <w:szCs w:val="19"/>
                <w:rtl/>
              </w:rPr>
              <w:t>ם</w:t>
            </w:r>
            <w:r w:rsidRPr="00236CC3">
              <w:rPr>
                <w:rFonts w:ascii="Tahoma" w:hAnsi="Tahoma" w:cs="Tahoma" w:hint="cs"/>
                <w:sz w:val="19"/>
                <w:szCs w:val="19"/>
                <w:rtl/>
              </w:rPr>
              <w:t xml:space="preserve"> </w:t>
            </w:r>
            <w:r w:rsidRPr="00236CC3">
              <w:rPr>
                <w:rFonts w:ascii="Tahoma" w:hAnsi="Tahoma" w:cs="Tahoma"/>
                <w:sz w:val="19"/>
                <w:szCs w:val="19"/>
                <w:rtl/>
              </w:rPr>
              <w:t>קופות החולים מציעות רק רופא מומחה אחד</w:t>
            </w:r>
            <w:r w:rsidRPr="00236CC3">
              <w:rPr>
                <w:rFonts w:ascii="Tahoma" w:hAnsi="Tahoma" w:cs="Tahoma" w:hint="cs"/>
                <w:sz w:val="19"/>
                <w:szCs w:val="19"/>
                <w:rtl/>
              </w:rPr>
              <w:t>,</w:t>
            </w:r>
            <w:r w:rsidRPr="00236CC3">
              <w:rPr>
                <w:rFonts w:ascii="Tahoma" w:hAnsi="Tahoma" w:cs="Tahoma"/>
                <w:sz w:val="19"/>
                <w:szCs w:val="19"/>
                <w:rtl/>
              </w:rPr>
              <w:t xml:space="preserve"> ועל כן אין למבוטח ביישוב יכולת לבחור את הרופא המועדף עליו</w:t>
            </w:r>
            <w:r w:rsidRPr="00236CC3">
              <w:rPr>
                <w:rFonts w:ascii="Tahoma" w:hAnsi="Tahoma" w:cs="Tahoma" w:hint="cs"/>
                <w:sz w:val="19"/>
                <w:szCs w:val="19"/>
                <w:rtl/>
              </w:rPr>
              <w:t>.</w:t>
            </w:r>
            <w:r w:rsidRPr="00236CC3">
              <w:rPr>
                <w:rFonts w:ascii="Tahoma" w:hAnsi="Tahoma" w:cs="Tahoma"/>
                <w:sz w:val="19"/>
                <w:szCs w:val="19"/>
                <w:rtl/>
              </w:rPr>
              <w:t xml:space="preserve"> היות שמבוטח מקופה אחת אינו יכול לקבל שירות מרופא של קופה אחרת ביישוב, הרי שלא רק שנמנעת תחרות בין הרופאים אלא </w:t>
            </w:r>
            <w:r w:rsidRPr="00236CC3">
              <w:rPr>
                <w:rFonts w:ascii="Tahoma" w:hAnsi="Tahoma" w:cs="Tahoma"/>
                <w:b/>
                <w:bCs/>
                <w:sz w:val="19"/>
                <w:szCs w:val="19"/>
                <w:rtl/>
              </w:rPr>
              <w:t xml:space="preserve">שנפגעת רמת השירות </w:t>
            </w:r>
            <w:r w:rsidRPr="00236CC3">
              <w:rPr>
                <w:rFonts w:ascii="Tahoma" w:hAnsi="Tahoma" w:cs="Tahoma" w:hint="cs"/>
                <w:b/>
                <w:bCs/>
                <w:sz w:val="19"/>
                <w:szCs w:val="19"/>
                <w:rtl/>
              </w:rPr>
              <w:t>ש</w:t>
            </w:r>
            <w:r w:rsidRPr="00236CC3">
              <w:rPr>
                <w:rFonts w:ascii="Tahoma" w:hAnsi="Tahoma" w:cs="Tahoma"/>
                <w:b/>
                <w:bCs/>
                <w:sz w:val="19"/>
                <w:szCs w:val="19"/>
                <w:rtl/>
              </w:rPr>
              <w:t>לה זכאי המבוטח</w:t>
            </w:r>
            <w:r w:rsidRPr="00236CC3">
              <w:rPr>
                <w:rFonts w:ascii="Tahoma" w:hAnsi="Tahoma" w:cs="Tahoma" w:hint="cs"/>
                <w:sz w:val="19"/>
                <w:szCs w:val="19"/>
                <w:rtl/>
              </w:rPr>
              <w:t xml:space="preserve">. למשל בצפת בכללית ובלאומית יש תשעה תחומים המוצעים באמצעות רופא יחידי, ובמכבי ובמאוחדת יש 12 תחומים כאלו מתוך 32 התחומים המוצעים על ידי כלל הקופות בעיר. </w:t>
            </w:r>
          </w:p>
          <w:p w14:paraId="68156915" w14:textId="77777777" w:rsidR="00236CC3" w:rsidRPr="00236CC3" w:rsidRDefault="00000000" w:rsidP="00236CC3">
            <w:pPr>
              <w:numPr>
                <w:ilvl w:val="0"/>
                <w:numId w:val="21"/>
              </w:numPr>
              <w:tabs>
                <w:tab w:val="center" w:pos="4153"/>
                <w:tab w:val="right" w:pos="8306"/>
              </w:tabs>
              <w:spacing w:after="240"/>
              <w:ind w:left="454" w:hanging="454"/>
              <w:rPr>
                <w:rFonts w:eastAsiaTheme="majorEastAsia"/>
                <w:spacing w:val="40"/>
              </w:rPr>
            </w:pPr>
            <w:r w:rsidRPr="00236CC3">
              <w:rPr>
                <w:rFonts w:ascii="Tahoma" w:hAnsi="Tahoma" w:cs="Tahoma" w:hint="cs"/>
                <w:b/>
                <w:bCs/>
                <w:sz w:val="19"/>
                <w:szCs w:val="19"/>
                <w:rtl/>
              </w:rPr>
              <w:t xml:space="preserve">היבטים כלכליים  בנוגע לרפואה יועצת בקהילה </w:t>
            </w:r>
          </w:p>
          <w:p w14:paraId="186D2778" w14:textId="77777777" w:rsidR="00236CC3" w:rsidRPr="00236CC3" w:rsidRDefault="00000000" w:rsidP="00236CC3">
            <w:pPr>
              <w:numPr>
                <w:ilvl w:val="0"/>
                <w:numId w:val="29"/>
              </w:numPr>
              <w:tabs>
                <w:tab w:val="center" w:pos="4153"/>
                <w:tab w:val="right" w:pos="8306"/>
              </w:tabs>
              <w:spacing w:after="240"/>
              <w:rPr>
                <w:rFonts w:eastAsiaTheme="majorEastAsia"/>
                <w:spacing w:val="40"/>
              </w:rPr>
            </w:pPr>
            <w:r w:rsidRPr="00236CC3">
              <w:rPr>
                <w:rFonts w:ascii="Tahoma" w:hAnsi="Tahoma" w:cs="Tahoma"/>
                <w:b/>
                <w:bCs/>
                <w:sz w:val="19"/>
                <w:szCs w:val="19"/>
                <w:rtl/>
              </w:rPr>
              <w:t xml:space="preserve">הקשר בין שכר הרופאים לשעות הטיפול </w:t>
            </w:r>
            <w:r w:rsidRPr="00236CC3">
              <w:rPr>
                <w:rFonts w:ascii="Tahoma" w:hAnsi="Tahoma" w:cs="Tahoma"/>
                <w:sz w:val="19"/>
                <w:szCs w:val="19"/>
                <w:rtl/>
              </w:rPr>
              <w:t xml:space="preserve">- נמצא מתאם שלילי בין שכר הרופאים המשתכרים בעשירונים העליונים לכמות שעות הטיפול המוצעות לקופות החולים. ייתכן </w:t>
            </w:r>
            <w:r w:rsidRPr="00236CC3">
              <w:rPr>
                <w:rFonts w:ascii="Tahoma" w:hAnsi="Tahoma" w:cs="Tahoma" w:hint="cs"/>
                <w:sz w:val="19"/>
                <w:szCs w:val="19"/>
                <w:rtl/>
              </w:rPr>
              <w:t>ש</w:t>
            </w:r>
            <w:r w:rsidRPr="00236CC3">
              <w:rPr>
                <w:rFonts w:ascii="Tahoma" w:hAnsi="Tahoma" w:cs="Tahoma"/>
                <w:sz w:val="19"/>
                <w:szCs w:val="19"/>
                <w:rtl/>
              </w:rPr>
              <w:t>הדבר נובע מהנטייה של הפרט לצרוך יותר שעות פנאי ככל שההכנסה שלו גבוהה יותר, ועל כן לספק פחות שעות עבודה (אפקט ההכנסה); דהיינו, ברמות שכר אלו, ככל שהשכר עולה</w:t>
            </w:r>
            <w:r w:rsidRPr="00236CC3">
              <w:rPr>
                <w:rFonts w:ascii="Tahoma" w:hAnsi="Tahoma" w:cs="Tahoma" w:hint="cs"/>
                <w:sz w:val="19"/>
                <w:szCs w:val="19"/>
                <w:rtl/>
              </w:rPr>
              <w:t>,</w:t>
            </w:r>
            <w:r w:rsidRPr="00236CC3">
              <w:rPr>
                <w:rFonts w:ascii="Tahoma" w:hAnsi="Tahoma" w:cs="Tahoma"/>
                <w:sz w:val="19"/>
                <w:szCs w:val="19"/>
                <w:rtl/>
              </w:rPr>
              <w:t xml:space="preserve"> כך מוצעות פחות שעות טיפול לקהילה. למשל, רופאים בקהילה אשר הכנסתם השנתית היא בין 600,000 ל-700,000 ש"ח מציעים לקופות החולים כ-26.7 שעות טיפול בשבוע בממוצע, לעומת זאת, </w:t>
            </w:r>
            <w:r w:rsidRPr="00236CC3">
              <w:rPr>
                <w:rFonts w:ascii="Tahoma" w:hAnsi="Tahoma" w:cs="Tahoma"/>
                <w:b/>
                <w:bCs/>
                <w:sz w:val="19"/>
                <w:szCs w:val="19"/>
                <w:rtl/>
              </w:rPr>
              <w:t>רופאים המשתכרים מ-1.5 מיליון ש"ח עד 2 מיליון ש"ח בשנה מציעים כ-4.38 שעות פחות בשבוע בממוצע</w:t>
            </w:r>
            <w:r w:rsidRPr="00236CC3">
              <w:rPr>
                <w:rFonts w:ascii="Tahoma" w:hAnsi="Tahoma" w:cs="Tahoma"/>
                <w:sz w:val="19"/>
                <w:szCs w:val="19"/>
                <w:rtl/>
              </w:rPr>
              <w:t xml:space="preserve"> (כ-22.32 שעות).</w:t>
            </w:r>
            <w:r w:rsidRPr="00236CC3">
              <w:rPr>
                <w:rFonts w:ascii="Tahoma" w:hAnsi="Tahoma" w:cs="Tahoma" w:hint="cs"/>
                <w:sz w:val="19"/>
                <w:szCs w:val="19"/>
                <w:rtl/>
              </w:rPr>
              <w:t xml:space="preserve">  </w:t>
            </w:r>
          </w:p>
          <w:p w14:paraId="2E8FDC18" w14:textId="77777777" w:rsidR="00236CC3" w:rsidRDefault="00000000" w:rsidP="00236CC3">
            <w:pPr>
              <w:numPr>
                <w:ilvl w:val="0"/>
                <w:numId w:val="29"/>
              </w:numPr>
              <w:tabs>
                <w:tab w:val="center" w:pos="4153"/>
                <w:tab w:val="left" w:pos="7590"/>
                <w:tab w:val="right" w:pos="8306"/>
              </w:tabs>
              <w:spacing w:after="240"/>
              <w:rPr>
                <w:rFonts w:ascii="Tahoma" w:hAnsi="Tahoma" w:cs="Tahoma"/>
                <w:sz w:val="19"/>
                <w:szCs w:val="19"/>
              </w:rPr>
            </w:pPr>
            <w:r w:rsidRPr="00236CC3">
              <w:rPr>
                <w:rFonts w:ascii="Tahoma" w:hAnsi="Tahoma" w:cs="Tahoma"/>
                <w:b/>
                <w:bCs/>
                <w:sz w:val="19"/>
                <w:szCs w:val="19"/>
                <w:rtl/>
              </w:rPr>
              <w:t>השפעת מודל התחרות בין קופות החולים על התחרות בין הרופאים בפריפרי</w:t>
            </w:r>
            <w:r w:rsidRPr="00236CC3">
              <w:rPr>
                <w:rFonts w:ascii="Tahoma" w:hAnsi="Tahoma" w:cs="Tahoma" w:hint="cs"/>
                <w:b/>
                <w:bCs/>
                <w:sz w:val="19"/>
                <w:szCs w:val="19"/>
                <w:rtl/>
              </w:rPr>
              <w:t xml:space="preserve">ה </w:t>
            </w:r>
            <w:r w:rsidRPr="00236CC3">
              <w:rPr>
                <w:rFonts w:ascii="Tahoma" w:hAnsi="Tahoma" w:cs="Tahoma" w:hint="cs"/>
                <w:sz w:val="19"/>
                <w:szCs w:val="19"/>
                <w:rtl/>
              </w:rPr>
              <w:t>- מבנה התחרות בין קופות החולים מתאים לאזורים שבהם היצע הרופאים המומחים בקהילה בכל קופה גדול, למשל באזורי המרכז, אך פחות מתאים לאזורי הפריפריה שם מלכתחילה היצע רופאים אלו מוגבל. צפיפות האוכלוסיי</w:t>
            </w:r>
            <w:r w:rsidRPr="00236CC3">
              <w:rPr>
                <w:rFonts w:ascii="Tahoma" w:hAnsi="Tahoma" w:cs="Tahoma" w:hint="eastAsia"/>
                <w:sz w:val="19"/>
                <w:szCs w:val="19"/>
                <w:rtl/>
              </w:rPr>
              <w:t>ה</w:t>
            </w:r>
            <w:r w:rsidRPr="00236CC3">
              <w:rPr>
                <w:rFonts w:ascii="Tahoma" w:hAnsi="Tahoma" w:cs="Tahoma" w:hint="cs"/>
                <w:sz w:val="19"/>
                <w:szCs w:val="19"/>
                <w:rtl/>
              </w:rPr>
              <w:t xml:space="preserve"> הנמוכה באזורי הפריפריה, שאינה מאפשרת לקופות החולים לספק את כל שירותי רפואת המומחים בקהילה ומאלצת על כן את מבוטחי הקופות להתנייד אל יישובים אחרים כדי לקבל שירות רפואי שלו הם זקוקים, מחייבת את המשרד ואת הקופות לבחון מודל שיספק מענה לפער שנוצר ברמת השירות שתושבי הפריפריה מקבלים. יצוין כי בעניין זה המליצה הר"י בשנת 2017 לפעול במודל </w:t>
            </w:r>
            <w:r w:rsidRPr="00236CC3">
              <w:rPr>
                <w:rFonts w:ascii="Tahoma" w:hAnsi="Tahoma" w:cs="Tahoma"/>
                <w:sz w:val="19"/>
                <w:szCs w:val="19"/>
                <w:rtl/>
              </w:rPr>
              <w:t>"מרפאה אחודה" ביישובים שבהם יש מחסור במרפאות בקהילה</w:t>
            </w:r>
            <w:r w:rsidRPr="00236CC3">
              <w:rPr>
                <w:rFonts w:ascii="Tahoma" w:hAnsi="Tahoma" w:cs="Tahoma" w:hint="cs"/>
                <w:sz w:val="19"/>
                <w:szCs w:val="19"/>
                <w:rtl/>
              </w:rPr>
              <w:t>;</w:t>
            </w:r>
            <w:r w:rsidRPr="00236CC3">
              <w:rPr>
                <w:rFonts w:ascii="Tahoma" w:hAnsi="Tahoma" w:cs="Tahoma"/>
                <w:sz w:val="19"/>
                <w:szCs w:val="19"/>
                <w:rtl/>
              </w:rPr>
              <w:t xml:space="preserve"> יצוין </w:t>
            </w:r>
            <w:r w:rsidRPr="00236CC3">
              <w:rPr>
                <w:rFonts w:ascii="Tahoma" w:hAnsi="Tahoma" w:cs="Tahoma" w:hint="cs"/>
                <w:sz w:val="19"/>
                <w:szCs w:val="19"/>
                <w:rtl/>
              </w:rPr>
              <w:t xml:space="preserve">בנוגע לכך כי </w:t>
            </w:r>
            <w:r w:rsidRPr="00236CC3">
              <w:rPr>
                <w:rFonts w:ascii="Tahoma" w:hAnsi="Tahoma" w:cs="Tahoma"/>
                <w:sz w:val="19"/>
                <w:szCs w:val="19"/>
                <w:rtl/>
              </w:rPr>
              <w:t>בשבועות הראשונים של מלחמת חרבות ברזל מבוטחי קופות החולים שפונו מבתיהם יכלו לקבל שירות בכל אחת מהקופות ללא תלות בקופה המבטחת</w:t>
            </w:r>
            <w:r w:rsidRPr="00236CC3">
              <w:rPr>
                <w:rFonts w:ascii="Tahoma" w:hAnsi="Tahoma" w:cs="Tahoma" w:hint="cs"/>
                <w:sz w:val="19"/>
                <w:szCs w:val="19"/>
                <w:rtl/>
              </w:rPr>
              <w:t xml:space="preserve">. המחסור ברופאים בפריפריה צפוי לגדול נוכח התחזית של משרד הבריאות ונוכח יישום רפורמת יציב שצפויה להקטין את מספר הרופאים החדשים שיצטרפו לאזורי הפריפריה בשל אי-הכרה בלימודי רפואה באוניברסיטאות מסוימות בחו"ל. </w:t>
            </w:r>
          </w:p>
          <w:p w14:paraId="5FFB52B8" w14:textId="77777777" w:rsidR="00D45993" w:rsidRPr="00236CC3" w:rsidRDefault="00D45993" w:rsidP="00D45993">
            <w:pPr>
              <w:tabs>
                <w:tab w:val="center" w:pos="4153"/>
                <w:tab w:val="left" w:pos="7590"/>
                <w:tab w:val="right" w:pos="8306"/>
              </w:tabs>
              <w:spacing w:after="240"/>
              <w:ind w:left="1174"/>
              <w:rPr>
                <w:rFonts w:ascii="Tahoma" w:hAnsi="Tahoma" w:cs="Tahoma"/>
                <w:sz w:val="19"/>
                <w:szCs w:val="19"/>
              </w:rPr>
            </w:pPr>
          </w:p>
          <w:p w14:paraId="47A13A0E" w14:textId="77777777" w:rsidR="00236CC3" w:rsidRPr="00236CC3" w:rsidRDefault="00000000" w:rsidP="00236CC3">
            <w:pPr>
              <w:tabs>
                <w:tab w:val="center" w:pos="4153"/>
                <w:tab w:val="right" w:pos="8306"/>
              </w:tabs>
              <w:spacing w:after="240"/>
              <w:ind w:left="454"/>
              <w:rPr>
                <w:rFonts w:ascii="Tahoma" w:hAnsi="Tahoma" w:cs="Tahoma"/>
                <w:sz w:val="19"/>
                <w:szCs w:val="19"/>
              </w:rPr>
            </w:pPr>
            <w:r w:rsidRPr="00236CC3">
              <w:rPr>
                <w:rFonts w:ascii="Tahoma" w:hAnsi="Tahoma" w:cs="Tahoma" w:hint="cs"/>
                <w:noProof/>
                <w:sz w:val="19"/>
                <w:szCs w:val="19"/>
                <w:rtl/>
              </w:rPr>
              <w:drawing>
                <wp:inline distT="0" distB="0" distL="0" distR="0" wp14:anchorId="068DA880" wp14:editId="0385E004">
                  <wp:extent cx="2710450" cy="207831"/>
                  <wp:effectExtent l="0" t="0" r="0" b="1905"/>
                  <wp:docPr id="33" name="תמונה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0F3D036E" w14:textId="77777777" w:rsidR="00236CC3" w:rsidRPr="00236CC3" w:rsidRDefault="00000000" w:rsidP="00236CC3">
            <w:pPr>
              <w:tabs>
                <w:tab w:val="center" w:pos="4153"/>
                <w:tab w:val="right" w:pos="8306"/>
              </w:tabs>
              <w:spacing w:after="240"/>
              <w:ind w:left="454"/>
              <w:rPr>
                <w:rFonts w:ascii="Tahoma" w:hAnsi="Tahoma" w:cs="Tahoma"/>
                <w:sz w:val="19"/>
                <w:szCs w:val="19"/>
                <w:rtl/>
              </w:rPr>
            </w:pPr>
            <w:r w:rsidRPr="00236CC3">
              <w:rPr>
                <w:rFonts w:ascii="Tahoma" w:hAnsi="Tahoma" w:cs="Tahoma" w:hint="cs"/>
                <w:b/>
                <w:bCs/>
                <w:sz w:val="19"/>
                <w:szCs w:val="19"/>
                <w:rtl/>
              </w:rPr>
              <w:t>פעולות משרד הבריאות להגדלת מספר הרופאים בפריפריה</w:t>
            </w:r>
            <w:r w:rsidRPr="00236CC3">
              <w:rPr>
                <w:rFonts w:ascii="Tahoma" w:hAnsi="Tahoma" w:cs="Tahoma" w:hint="cs"/>
                <w:sz w:val="19"/>
                <w:szCs w:val="19"/>
                <w:rtl/>
              </w:rPr>
              <w:t xml:space="preserve"> - משרד הבריאות נקט פעולות לצמצום הקיטון במספר הרופאים המומחים בפריפריה (למשל תוכנית אילנות </w:t>
            </w:r>
            <w:r w:rsidRPr="00236CC3">
              <w:rPr>
                <w:rFonts w:ascii="Tahoma" w:hAnsi="Tahoma" w:cs="Tahoma"/>
                <w:sz w:val="19"/>
                <w:szCs w:val="19"/>
                <w:rtl/>
              </w:rPr>
              <w:t>שכללה 60 סטודנטים לרפואה בעלי זיקה משמעותית לנגב ולגליל</w:t>
            </w:r>
            <w:r w:rsidRPr="00236CC3">
              <w:rPr>
                <w:rFonts w:ascii="Tahoma" w:hAnsi="Tahoma" w:cs="Tahoma" w:hint="cs"/>
                <w:sz w:val="19"/>
                <w:szCs w:val="19"/>
                <w:rtl/>
              </w:rPr>
              <w:t>,</w:t>
            </w:r>
            <w:r w:rsidRPr="00236CC3">
              <w:rPr>
                <w:rFonts w:ascii="Tahoma" w:hAnsi="Tahoma" w:cs="Tahoma"/>
                <w:sz w:val="19"/>
                <w:szCs w:val="19"/>
                <w:rtl/>
              </w:rPr>
              <w:t xml:space="preserve"> ואשר עם סיום לימודיהם והתמחותם מיועדים להגיע לאזורים אלו</w:t>
            </w:r>
            <w:r w:rsidRPr="00236CC3">
              <w:rPr>
                <w:rFonts w:ascii="Tahoma" w:hAnsi="Tahoma" w:cs="Tahoma" w:hint="cs"/>
                <w:sz w:val="19"/>
                <w:szCs w:val="19"/>
                <w:rtl/>
              </w:rPr>
              <w:t xml:space="preserve">; תוכנית רופאים כוכבים בפריפריה המרכזת </w:t>
            </w:r>
            <w:r w:rsidRPr="00236CC3">
              <w:rPr>
                <w:rFonts w:ascii="Tahoma" w:hAnsi="Tahoma" w:cs="Tahoma"/>
                <w:sz w:val="19"/>
                <w:szCs w:val="19"/>
                <w:rtl/>
              </w:rPr>
              <w:t xml:space="preserve">מתמחים מצטיינים ברפואה מכל רחבי הארץ, מציבה אותם בפריפריה ומכשירה אותם </w:t>
            </w:r>
            <w:r w:rsidRPr="00236CC3">
              <w:rPr>
                <w:rFonts w:ascii="Tahoma" w:hAnsi="Tahoma" w:cs="Tahoma" w:hint="cs"/>
                <w:sz w:val="19"/>
                <w:szCs w:val="19"/>
                <w:rtl/>
              </w:rPr>
              <w:t>כדי</w:t>
            </w:r>
            <w:r w:rsidRPr="00236CC3">
              <w:rPr>
                <w:rFonts w:ascii="Tahoma" w:hAnsi="Tahoma" w:cs="Tahoma"/>
                <w:sz w:val="19"/>
                <w:szCs w:val="19"/>
                <w:rtl/>
              </w:rPr>
              <w:t xml:space="preserve"> שיובילו בעתיד את הרפואה בישראל ובפריפריה בפרט</w:t>
            </w:r>
            <w:r w:rsidRPr="00236CC3">
              <w:rPr>
                <w:rFonts w:ascii="Tahoma" w:hAnsi="Tahoma" w:cs="Tahoma" w:hint="cs"/>
                <w:sz w:val="19"/>
                <w:szCs w:val="19"/>
                <w:rtl/>
              </w:rPr>
              <w:t xml:space="preserve">; ותוכנית אופקים המציעה הלוואה מותנית למימון לימודי רפואה בחו"ל. סטודנטים שיבחרו להתמחות במקצועות נדרשים ובפריפריה, תימחק ההלוואה באופן חלקי או מלא). </w:t>
            </w:r>
            <w:r w:rsidRPr="00236CC3">
              <w:rPr>
                <w:rFonts w:ascii="Tahoma" w:hAnsi="Tahoma" w:cs="Tahoma" w:hint="cs"/>
                <w:b/>
                <w:bCs/>
                <w:sz w:val="19"/>
                <w:szCs w:val="19"/>
                <w:rtl/>
              </w:rPr>
              <w:t>עם זאת, נכון למועד סיום הביקורת הן טרם נתנו את אותותיהן, והשפעתן צפויה להתקבל רק בעתיד</w:t>
            </w:r>
            <w:r w:rsidRPr="00236CC3">
              <w:rPr>
                <w:rFonts w:ascii="Tahoma" w:hAnsi="Tahoma" w:cs="Tahoma" w:hint="cs"/>
                <w:sz w:val="19"/>
                <w:szCs w:val="19"/>
                <w:rtl/>
              </w:rPr>
              <w:t>, זאת במקביל להשלכה הצפויה מרפורמת יציב שתיתן את אותותיה החל בשנת 2026.</w:t>
            </w:r>
          </w:p>
          <w:p w14:paraId="32B94C5B" w14:textId="77777777" w:rsidR="00236CC3" w:rsidRPr="00236CC3" w:rsidRDefault="00236CC3" w:rsidP="00236CC3">
            <w:pPr>
              <w:tabs>
                <w:tab w:val="center" w:pos="4153"/>
                <w:tab w:val="right" w:pos="8306"/>
              </w:tabs>
              <w:spacing w:after="240"/>
              <w:ind w:left="454"/>
              <w:rPr>
                <w:rFonts w:ascii="Tahoma" w:hAnsi="Tahoma" w:cs="Tahoma"/>
                <w:sz w:val="19"/>
                <w:szCs w:val="19"/>
                <w:rtl/>
              </w:rPr>
            </w:pPr>
          </w:p>
          <w:p w14:paraId="09B31E25" w14:textId="77777777" w:rsidR="00236CC3" w:rsidRPr="00236CC3" w:rsidRDefault="00000000" w:rsidP="00236CC3">
            <w:pPr>
              <w:tabs>
                <w:tab w:val="center" w:pos="4153"/>
                <w:tab w:val="right" w:pos="8306"/>
              </w:tabs>
              <w:spacing w:after="240"/>
              <w:ind w:left="454"/>
              <w:rPr>
                <w:rFonts w:ascii="Tahoma" w:hAnsi="Tahoma" w:cs="Tahoma"/>
                <w:b/>
                <w:bCs/>
                <w:sz w:val="19"/>
                <w:szCs w:val="19"/>
                <w:rtl/>
              </w:rPr>
            </w:pPr>
            <w:r w:rsidRPr="00236CC3">
              <w:rPr>
                <w:rFonts w:ascii="Tahoma" w:hAnsi="Tahoma" w:cs="Tahoma" w:hint="cs"/>
                <w:b/>
                <w:bCs/>
                <w:sz w:val="19"/>
                <w:szCs w:val="19"/>
                <w:rtl/>
              </w:rPr>
              <w:t xml:space="preserve">מבקר המדינה מתניהו אנגלמן קבע כי על שר הבריאות </w:t>
            </w:r>
            <w:r w:rsidRPr="00236CC3">
              <w:rPr>
                <w:rFonts w:ascii="Tahoma" w:hAnsi="Tahoma" w:cs="Tahoma"/>
                <w:b/>
                <w:bCs/>
                <w:sz w:val="19"/>
                <w:szCs w:val="19"/>
                <w:rtl/>
              </w:rPr>
              <w:t>ומשרד הבריאות בשיתוף קופות החולים לגבש  פתרונות שיש בהם כדי להבטיח את זמינות השירות למבוטחים ובפרט בפריפריה - שירות שוויוני לכלל המבוטחים, בדגש על בני הגיל השלישי, ואת הניצול המיטבי של המשאבים.</w:t>
            </w:r>
          </w:p>
          <w:p w14:paraId="3798382D" w14:textId="77777777" w:rsidR="00236CC3" w:rsidRDefault="00236CC3" w:rsidP="00236CC3">
            <w:pPr>
              <w:tabs>
                <w:tab w:val="center" w:pos="4153"/>
                <w:tab w:val="right" w:pos="8306"/>
              </w:tabs>
              <w:spacing w:after="240"/>
              <w:ind w:left="454"/>
              <w:rPr>
                <w:rFonts w:ascii="Tahoma" w:hAnsi="Tahoma" w:cs="Tahoma"/>
                <w:sz w:val="19"/>
                <w:szCs w:val="19"/>
                <w:rtl/>
              </w:rPr>
            </w:pPr>
          </w:p>
          <w:p w14:paraId="65AFDBCE" w14:textId="77777777" w:rsidR="00D45993" w:rsidRDefault="00D45993" w:rsidP="00236CC3">
            <w:pPr>
              <w:tabs>
                <w:tab w:val="center" w:pos="4153"/>
                <w:tab w:val="right" w:pos="8306"/>
              </w:tabs>
              <w:spacing w:after="240"/>
              <w:ind w:left="454"/>
              <w:rPr>
                <w:rFonts w:ascii="Tahoma" w:hAnsi="Tahoma" w:cs="Tahoma"/>
                <w:sz w:val="19"/>
                <w:szCs w:val="19"/>
                <w:rtl/>
              </w:rPr>
            </w:pPr>
          </w:p>
          <w:p w14:paraId="2690564A" w14:textId="77777777" w:rsidR="00D45993" w:rsidRDefault="00D45993" w:rsidP="00236CC3">
            <w:pPr>
              <w:tabs>
                <w:tab w:val="center" w:pos="4153"/>
                <w:tab w:val="right" w:pos="8306"/>
              </w:tabs>
              <w:spacing w:after="240"/>
              <w:ind w:left="454"/>
              <w:rPr>
                <w:rFonts w:ascii="Tahoma" w:hAnsi="Tahoma" w:cs="Tahoma"/>
                <w:sz w:val="19"/>
                <w:szCs w:val="19"/>
                <w:rtl/>
              </w:rPr>
            </w:pPr>
          </w:p>
          <w:p w14:paraId="0A4B104E" w14:textId="77777777" w:rsidR="00D45993" w:rsidRDefault="00D45993" w:rsidP="00236CC3">
            <w:pPr>
              <w:tabs>
                <w:tab w:val="center" w:pos="4153"/>
                <w:tab w:val="right" w:pos="8306"/>
              </w:tabs>
              <w:spacing w:after="240"/>
              <w:ind w:left="454"/>
              <w:rPr>
                <w:rFonts w:ascii="Tahoma" w:hAnsi="Tahoma" w:cs="Tahoma"/>
                <w:sz w:val="19"/>
                <w:szCs w:val="19"/>
                <w:rtl/>
              </w:rPr>
            </w:pPr>
          </w:p>
          <w:p w14:paraId="7CBD3562" w14:textId="77777777" w:rsidR="00D45993" w:rsidRDefault="00D45993" w:rsidP="00236CC3">
            <w:pPr>
              <w:tabs>
                <w:tab w:val="center" w:pos="4153"/>
                <w:tab w:val="right" w:pos="8306"/>
              </w:tabs>
              <w:spacing w:after="240"/>
              <w:ind w:left="454"/>
              <w:rPr>
                <w:rFonts w:ascii="Tahoma" w:hAnsi="Tahoma" w:cs="Tahoma"/>
                <w:sz w:val="19"/>
                <w:szCs w:val="19"/>
                <w:rtl/>
              </w:rPr>
            </w:pPr>
          </w:p>
          <w:p w14:paraId="01B5E186" w14:textId="77777777" w:rsidR="00D45993" w:rsidRDefault="00D45993" w:rsidP="00236CC3">
            <w:pPr>
              <w:tabs>
                <w:tab w:val="center" w:pos="4153"/>
                <w:tab w:val="right" w:pos="8306"/>
              </w:tabs>
              <w:spacing w:after="240"/>
              <w:ind w:left="454"/>
              <w:rPr>
                <w:rFonts w:ascii="Tahoma" w:hAnsi="Tahoma" w:cs="Tahoma"/>
                <w:sz w:val="19"/>
                <w:szCs w:val="19"/>
                <w:rtl/>
              </w:rPr>
            </w:pPr>
          </w:p>
          <w:p w14:paraId="39997AF7" w14:textId="77777777" w:rsidR="00D45993" w:rsidRDefault="00D45993" w:rsidP="00236CC3">
            <w:pPr>
              <w:tabs>
                <w:tab w:val="center" w:pos="4153"/>
                <w:tab w:val="right" w:pos="8306"/>
              </w:tabs>
              <w:spacing w:after="240"/>
              <w:ind w:left="454"/>
              <w:rPr>
                <w:rFonts w:ascii="Tahoma" w:hAnsi="Tahoma" w:cs="Tahoma"/>
                <w:sz w:val="19"/>
                <w:szCs w:val="19"/>
                <w:rtl/>
              </w:rPr>
            </w:pPr>
          </w:p>
          <w:p w14:paraId="500F32CB" w14:textId="77777777" w:rsidR="00D45993" w:rsidRDefault="00D45993" w:rsidP="00236CC3">
            <w:pPr>
              <w:tabs>
                <w:tab w:val="center" w:pos="4153"/>
                <w:tab w:val="right" w:pos="8306"/>
              </w:tabs>
              <w:spacing w:after="240"/>
              <w:ind w:left="454"/>
              <w:rPr>
                <w:rFonts w:ascii="Tahoma" w:hAnsi="Tahoma" w:cs="Tahoma"/>
                <w:sz w:val="19"/>
                <w:szCs w:val="19"/>
                <w:rtl/>
              </w:rPr>
            </w:pPr>
          </w:p>
          <w:p w14:paraId="721C7726" w14:textId="77777777" w:rsidR="00D45993" w:rsidRDefault="00D45993" w:rsidP="00236CC3">
            <w:pPr>
              <w:tabs>
                <w:tab w:val="center" w:pos="4153"/>
                <w:tab w:val="right" w:pos="8306"/>
              </w:tabs>
              <w:spacing w:after="240"/>
              <w:ind w:left="454"/>
              <w:rPr>
                <w:rFonts w:ascii="Tahoma" w:hAnsi="Tahoma" w:cs="Tahoma"/>
                <w:sz w:val="19"/>
                <w:szCs w:val="19"/>
                <w:rtl/>
              </w:rPr>
            </w:pPr>
          </w:p>
          <w:p w14:paraId="4913F21A" w14:textId="77777777" w:rsidR="00D45993" w:rsidRDefault="00D45993" w:rsidP="00236CC3">
            <w:pPr>
              <w:tabs>
                <w:tab w:val="center" w:pos="4153"/>
                <w:tab w:val="right" w:pos="8306"/>
              </w:tabs>
              <w:spacing w:after="240"/>
              <w:ind w:left="454"/>
              <w:rPr>
                <w:rFonts w:ascii="Tahoma" w:hAnsi="Tahoma" w:cs="Tahoma"/>
                <w:sz w:val="19"/>
                <w:szCs w:val="19"/>
                <w:rtl/>
              </w:rPr>
            </w:pPr>
          </w:p>
          <w:p w14:paraId="1D3BAEAE" w14:textId="77777777" w:rsidR="00D45993" w:rsidRPr="00236CC3" w:rsidRDefault="00D45993" w:rsidP="00236CC3">
            <w:pPr>
              <w:tabs>
                <w:tab w:val="center" w:pos="4153"/>
                <w:tab w:val="right" w:pos="8306"/>
              </w:tabs>
              <w:spacing w:after="240"/>
              <w:ind w:left="454"/>
              <w:rPr>
                <w:rFonts w:ascii="Tahoma" w:hAnsi="Tahoma" w:cs="Tahoma"/>
                <w:sz w:val="19"/>
                <w:szCs w:val="19"/>
                <w:rtl/>
              </w:rPr>
            </w:pPr>
          </w:p>
          <w:p w14:paraId="15A91DE2" w14:textId="77777777" w:rsidR="00236CC3" w:rsidRDefault="00236CC3" w:rsidP="00236CC3">
            <w:pPr>
              <w:tabs>
                <w:tab w:val="center" w:pos="4153"/>
                <w:tab w:val="right" w:pos="8306"/>
              </w:tabs>
              <w:spacing w:after="240"/>
              <w:ind w:left="454"/>
              <w:rPr>
                <w:rFonts w:ascii="Tahoma" w:hAnsi="Tahoma" w:cs="Tahoma"/>
                <w:sz w:val="19"/>
                <w:szCs w:val="19"/>
                <w:rtl/>
              </w:rPr>
            </w:pPr>
          </w:p>
          <w:tbl>
            <w:tblPr>
              <w:tblStyle w:val="af7"/>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F19B3" w14:paraId="653A20A0" w14:textId="77777777" w:rsidTr="00870FFB">
              <w:tc>
                <w:tcPr>
                  <w:tcW w:w="9783" w:type="dxa"/>
                </w:tcPr>
                <w:p w14:paraId="13EC2452" w14:textId="77777777" w:rsidR="00DA4ACE" w:rsidRPr="00AD2D9C" w:rsidRDefault="00000000" w:rsidP="00AD2D9C">
                  <w:pPr>
                    <w:pStyle w:val="1"/>
                    <w:jc w:val="left"/>
                    <w:rPr>
                      <w:rFonts w:ascii="Tahoma" w:hAnsi="Tahoma" w:cs="Tahoma"/>
                      <w:sz w:val="40"/>
                      <w:szCs w:val="40"/>
                      <w:rtl/>
                    </w:rPr>
                  </w:pPr>
                  <w:bookmarkStart w:id="106" w:name="_Toc179710269"/>
                  <w:r w:rsidRPr="00AD2D9C">
                    <w:rPr>
                      <w:rFonts w:ascii="Tahoma" w:hAnsi="Tahoma" w:cs="Tahoma"/>
                      <w:sz w:val="40"/>
                      <w:szCs w:val="40"/>
                      <w:rtl/>
                    </w:rPr>
                    <w:t>טיפול משרד המשפטים בהליכי חדלות פירעון ושיקום כלכלי</w:t>
                  </w:r>
                  <w:bookmarkEnd w:id="106"/>
                  <w:r w:rsidRPr="00AD2D9C">
                    <w:rPr>
                      <w:rFonts w:ascii="Tahoma" w:hAnsi="Tahoma" w:cs="Tahoma"/>
                      <w:sz w:val="40"/>
                      <w:szCs w:val="40"/>
                    </w:rPr>
                    <w:t xml:space="preserve">   </w:t>
                  </w:r>
                </w:p>
              </w:tc>
            </w:tr>
          </w:tbl>
          <w:p w14:paraId="020274DE" w14:textId="77777777" w:rsidR="00DA4ACE" w:rsidRP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noProof/>
                <w:sz w:val="19"/>
                <w:szCs w:val="19"/>
                <w:rtl/>
              </w:rPr>
              <w:drawing>
                <wp:inline distT="0" distB="0" distL="0" distR="0" wp14:anchorId="41EF9EB1" wp14:editId="20A7D0B5">
                  <wp:extent cx="1674111" cy="381000"/>
                  <wp:effectExtent l="0" t="0" r="2540"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תקציר-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af7"/>
              <w:tblpPr w:leftFromText="180" w:rightFromText="180" w:vertAnchor="text" w:tblpXSpec="center" w:tblpY="1"/>
              <w:tblOverlap w:val="never"/>
              <w:bidiVisual/>
              <w:tblW w:w="9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279"/>
              <w:gridCol w:w="2088"/>
              <w:gridCol w:w="670"/>
              <w:gridCol w:w="2277"/>
              <w:gridCol w:w="274"/>
              <w:gridCol w:w="2287"/>
            </w:tblGrid>
            <w:tr w:rsidR="004F19B3" w14:paraId="4994DBB0" w14:textId="77777777" w:rsidTr="00870FFB">
              <w:trPr>
                <w:trHeight w:val="283"/>
              </w:trPr>
              <w:tc>
                <w:tcPr>
                  <w:tcW w:w="1981" w:type="dxa"/>
                  <w:tcBorders>
                    <w:bottom w:val="single" w:sz="12" w:space="0" w:color="auto"/>
                  </w:tcBorders>
                  <w:shd w:val="clear" w:color="auto" w:fill="auto"/>
                </w:tcPr>
                <w:p w14:paraId="334A1ADA" w14:textId="77777777" w:rsidR="00DA4ACE" w:rsidRPr="00D1243A" w:rsidRDefault="00000000" w:rsidP="00D45993">
                  <w:pPr>
                    <w:tabs>
                      <w:tab w:val="center" w:pos="4153"/>
                      <w:tab w:val="right" w:pos="8306"/>
                    </w:tabs>
                    <w:spacing w:after="240" w:line="276" w:lineRule="auto"/>
                    <w:ind w:left="454"/>
                    <w:rPr>
                      <w:rFonts w:ascii="Tahoma" w:hAnsi="Tahoma" w:cs="Tahoma"/>
                      <w:b/>
                      <w:bCs/>
                      <w:sz w:val="36"/>
                      <w:szCs w:val="36"/>
                      <w:rtl/>
                    </w:rPr>
                  </w:pPr>
                  <w:r w:rsidRPr="00D1243A">
                    <w:rPr>
                      <w:rFonts w:ascii="Tahoma" w:hAnsi="Tahoma" w:cs="Tahoma"/>
                      <w:b/>
                      <w:bCs/>
                      <w:sz w:val="36"/>
                      <w:szCs w:val="36"/>
                      <w:rtl/>
                    </w:rPr>
                    <w:t>786</w:t>
                  </w:r>
                  <w:r w:rsidR="00D45993" w:rsidRPr="00D1243A">
                    <w:rPr>
                      <w:rFonts w:ascii="Tahoma" w:hAnsi="Tahoma" w:cs="Tahoma"/>
                      <w:b/>
                      <w:bCs/>
                      <w:sz w:val="36"/>
                      <w:szCs w:val="36"/>
                      <w:rtl/>
                    </w:rPr>
                    <w:t xml:space="preserve"> </w:t>
                  </w:r>
                  <w:r w:rsidRPr="00D1243A">
                    <w:rPr>
                      <w:rFonts w:ascii="Tahoma" w:hAnsi="Tahoma" w:cs="Tahoma"/>
                      <w:b/>
                      <w:bCs/>
                      <w:sz w:val="26"/>
                      <w:szCs w:val="26"/>
                      <w:rtl/>
                    </w:rPr>
                    <w:t>מיליארד ש"ח</w:t>
                  </w:r>
                </w:p>
              </w:tc>
              <w:tc>
                <w:tcPr>
                  <w:tcW w:w="290" w:type="dxa"/>
                </w:tcPr>
                <w:p w14:paraId="3CF4EB80"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151" w:type="dxa"/>
                  <w:tcBorders>
                    <w:bottom w:val="single" w:sz="12" w:space="0" w:color="auto"/>
                  </w:tcBorders>
                </w:tcPr>
                <w:p w14:paraId="1AFB50DD" w14:textId="77777777" w:rsidR="00DA4ACE" w:rsidRPr="00D1243A" w:rsidRDefault="00000000" w:rsidP="00D45993">
                  <w:pPr>
                    <w:tabs>
                      <w:tab w:val="center" w:pos="4153"/>
                      <w:tab w:val="right" w:pos="8306"/>
                    </w:tabs>
                    <w:spacing w:after="240" w:line="276" w:lineRule="auto"/>
                    <w:ind w:left="454"/>
                    <w:rPr>
                      <w:rFonts w:ascii="Tahoma" w:hAnsi="Tahoma" w:cs="Tahoma"/>
                      <w:b/>
                      <w:bCs/>
                      <w:sz w:val="36"/>
                      <w:szCs w:val="36"/>
                      <w:rtl/>
                    </w:rPr>
                  </w:pPr>
                  <w:r w:rsidRPr="00D1243A">
                    <w:rPr>
                      <w:rFonts w:ascii="Tahoma" w:hAnsi="Tahoma" w:cs="Tahoma"/>
                      <w:b/>
                      <w:bCs/>
                      <w:sz w:val="36"/>
                      <w:szCs w:val="36"/>
                      <w:rtl/>
                    </w:rPr>
                    <w:t xml:space="preserve">כ-60 </w:t>
                  </w:r>
                  <w:r w:rsidRPr="00D1243A">
                    <w:rPr>
                      <w:rFonts w:ascii="Tahoma" w:hAnsi="Tahoma" w:cs="Tahoma"/>
                      <w:b/>
                      <w:bCs/>
                      <w:sz w:val="26"/>
                      <w:szCs w:val="26"/>
                      <w:rtl/>
                    </w:rPr>
                    <w:t>מיליארד ש"ח</w:t>
                  </w:r>
                </w:p>
              </w:tc>
              <w:tc>
                <w:tcPr>
                  <w:tcW w:w="283" w:type="dxa"/>
                </w:tcPr>
                <w:p w14:paraId="3659ED13" w14:textId="77777777" w:rsidR="00DA4ACE" w:rsidRPr="00D1243A" w:rsidRDefault="00DA4ACE" w:rsidP="00D45993">
                  <w:pPr>
                    <w:tabs>
                      <w:tab w:val="center" w:pos="4153"/>
                      <w:tab w:val="right" w:pos="8306"/>
                    </w:tabs>
                    <w:spacing w:after="240" w:line="276" w:lineRule="auto"/>
                    <w:ind w:left="454"/>
                    <w:rPr>
                      <w:b/>
                      <w:bCs/>
                      <w:sz w:val="26"/>
                      <w:szCs w:val="26"/>
                      <w:rtl/>
                    </w:rPr>
                  </w:pPr>
                </w:p>
                <w:p w14:paraId="32E8D3FC"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412" w:type="dxa"/>
                  <w:tcBorders>
                    <w:bottom w:val="single" w:sz="12" w:space="0" w:color="auto"/>
                  </w:tcBorders>
                </w:tcPr>
                <w:p w14:paraId="29193B79" w14:textId="77777777" w:rsidR="00DA4ACE" w:rsidRPr="00D1243A" w:rsidRDefault="00000000" w:rsidP="00D45993">
                  <w:pPr>
                    <w:tabs>
                      <w:tab w:val="center" w:pos="4153"/>
                      <w:tab w:val="right" w:pos="8306"/>
                    </w:tabs>
                    <w:spacing w:after="240" w:line="276" w:lineRule="auto"/>
                    <w:ind w:left="454"/>
                    <w:rPr>
                      <w:rFonts w:ascii="Tahoma" w:hAnsi="Tahoma" w:cs="Tahoma"/>
                      <w:b/>
                      <w:bCs/>
                      <w:sz w:val="36"/>
                      <w:szCs w:val="36"/>
                    </w:rPr>
                  </w:pPr>
                  <w:r w:rsidRPr="00D1243A">
                    <w:rPr>
                      <w:rFonts w:ascii="Tahoma" w:hAnsi="Tahoma" w:cs="Tahoma"/>
                      <w:b/>
                      <w:bCs/>
                      <w:sz w:val="36"/>
                      <w:szCs w:val="36"/>
                      <w:rtl/>
                    </w:rPr>
                    <w:t xml:space="preserve">כ-7% </w:t>
                  </w:r>
                  <w:r w:rsidRPr="00D1243A">
                    <w:rPr>
                      <w:rFonts w:ascii="Tahoma" w:hAnsi="Tahoma" w:cs="Tahoma"/>
                      <w:b/>
                      <w:bCs/>
                      <w:sz w:val="26"/>
                      <w:szCs w:val="26"/>
                      <w:rtl/>
                    </w:rPr>
                    <w:t>פירעון בלבד</w:t>
                  </w:r>
                </w:p>
              </w:tc>
              <w:tc>
                <w:tcPr>
                  <w:tcW w:w="284" w:type="dxa"/>
                </w:tcPr>
                <w:p w14:paraId="480B4B07" w14:textId="77777777" w:rsidR="00DA4ACE" w:rsidRPr="001A1814" w:rsidRDefault="00DA4ACE" w:rsidP="00D45993">
                  <w:pPr>
                    <w:tabs>
                      <w:tab w:val="center" w:pos="4153"/>
                      <w:tab w:val="right" w:pos="8306"/>
                    </w:tabs>
                    <w:spacing w:after="240" w:line="276" w:lineRule="auto"/>
                    <w:ind w:left="454"/>
                    <w:rPr>
                      <w:sz w:val="26"/>
                      <w:szCs w:val="26"/>
                    </w:rPr>
                  </w:pPr>
                </w:p>
              </w:tc>
              <w:tc>
                <w:tcPr>
                  <w:tcW w:w="2419" w:type="dxa"/>
                  <w:tcBorders>
                    <w:bottom w:val="single" w:sz="12" w:space="0" w:color="auto"/>
                  </w:tcBorders>
                </w:tcPr>
                <w:p w14:paraId="744A1C9D" w14:textId="77777777" w:rsidR="00DA4ACE" w:rsidRPr="00D1243A" w:rsidRDefault="00000000" w:rsidP="00D1243A">
                  <w:pPr>
                    <w:tabs>
                      <w:tab w:val="center" w:pos="4153"/>
                      <w:tab w:val="right" w:pos="8306"/>
                    </w:tabs>
                    <w:spacing w:after="240" w:line="276" w:lineRule="auto"/>
                    <w:ind w:left="454"/>
                    <w:jc w:val="left"/>
                    <w:rPr>
                      <w:rFonts w:ascii="Tahoma" w:hAnsi="Tahoma" w:cs="Tahoma"/>
                      <w:b/>
                      <w:bCs/>
                      <w:sz w:val="36"/>
                      <w:szCs w:val="36"/>
                    </w:rPr>
                  </w:pPr>
                  <w:r w:rsidRPr="00D1243A">
                    <w:rPr>
                      <w:rFonts w:ascii="Tahoma" w:hAnsi="Tahoma" w:cs="Tahoma"/>
                      <w:b/>
                      <w:bCs/>
                      <w:sz w:val="36"/>
                      <w:szCs w:val="36"/>
                      <w:rtl/>
                    </w:rPr>
                    <w:t xml:space="preserve">7 </w:t>
                  </w:r>
                  <w:r w:rsidRPr="00D1243A">
                    <w:rPr>
                      <w:rFonts w:ascii="Tahoma" w:hAnsi="Tahoma" w:cs="Tahoma"/>
                      <w:b/>
                      <w:bCs/>
                      <w:sz w:val="26"/>
                      <w:szCs w:val="26"/>
                      <w:rtl/>
                    </w:rPr>
                    <w:t>עובדים בלבד</w:t>
                  </w:r>
                  <w:r w:rsidRPr="00D1243A">
                    <w:rPr>
                      <w:rFonts w:ascii="Tahoma" w:hAnsi="Tahoma" w:cs="Tahoma"/>
                      <w:b/>
                      <w:bCs/>
                      <w:sz w:val="36"/>
                      <w:szCs w:val="36"/>
                      <w:rtl/>
                    </w:rPr>
                    <w:t xml:space="preserve"> </w:t>
                  </w:r>
                </w:p>
                <w:p w14:paraId="5A38A167" w14:textId="77777777" w:rsidR="00DA4ACE" w:rsidRPr="001A1814" w:rsidRDefault="00DA4ACE" w:rsidP="00D45993">
                  <w:pPr>
                    <w:tabs>
                      <w:tab w:val="center" w:pos="4153"/>
                      <w:tab w:val="right" w:pos="8306"/>
                    </w:tabs>
                    <w:spacing w:after="240" w:line="276" w:lineRule="auto"/>
                    <w:ind w:left="454"/>
                    <w:rPr>
                      <w:sz w:val="26"/>
                      <w:szCs w:val="26"/>
                      <w:rtl/>
                    </w:rPr>
                  </w:pPr>
                </w:p>
              </w:tc>
            </w:tr>
            <w:tr w:rsidR="004F19B3" w14:paraId="59EB3D6C" w14:textId="77777777" w:rsidTr="00870FFB">
              <w:trPr>
                <w:trHeight w:val="85"/>
              </w:trPr>
              <w:tc>
                <w:tcPr>
                  <w:tcW w:w="9815" w:type="dxa"/>
                  <w:gridSpan w:val="7"/>
                  <w:shd w:val="clear" w:color="auto" w:fill="auto"/>
                </w:tcPr>
                <w:p w14:paraId="6EBCBEA9" w14:textId="77777777" w:rsidR="00DA4ACE" w:rsidRPr="00DA4ACE" w:rsidRDefault="00DA4ACE" w:rsidP="00D45993">
                  <w:pPr>
                    <w:tabs>
                      <w:tab w:val="center" w:pos="4153"/>
                      <w:tab w:val="right" w:pos="8306"/>
                    </w:tabs>
                    <w:spacing w:after="240" w:line="276" w:lineRule="auto"/>
                    <w:rPr>
                      <w:sz w:val="19"/>
                      <w:szCs w:val="19"/>
                      <w:rtl/>
                    </w:rPr>
                  </w:pPr>
                </w:p>
              </w:tc>
            </w:tr>
            <w:tr w:rsidR="004F19B3" w14:paraId="468057C2" w14:textId="77777777" w:rsidTr="00870FFB">
              <w:trPr>
                <w:trHeight w:val="1155"/>
              </w:trPr>
              <w:tc>
                <w:tcPr>
                  <w:tcW w:w="1981" w:type="dxa"/>
                </w:tcPr>
                <w:p w14:paraId="30A044F5"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היקף חובות משקי הבית. כ-70% מהם לדיור וכ-30% - חוב צרכני. נכון לשנת 2019, ל-9% מכלל האוכלוסייה הבוגרת במדינת ישראל נפתחו תיקים בהוצאה לפועל</w:t>
                  </w:r>
                </w:p>
              </w:tc>
              <w:tc>
                <w:tcPr>
                  <w:tcW w:w="290" w:type="dxa"/>
                </w:tcPr>
                <w:p w14:paraId="0F8233FD" w14:textId="77777777" w:rsidR="00DA4ACE" w:rsidRPr="00DA4ACE" w:rsidRDefault="00DA4ACE" w:rsidP="00D45993">
                  <w:pPr>
                    <w:tabs>
                      <w:tab w:val="center" w:pos="4153"/>
                      <w:tab w:val="right" w:pos="8306"/>
                    </w:tabs>
                    <w:spacing w:after="240" w:line="276" w:lineRule="auto"/>
                    <w:ind w:left="454"/>
                    <w:rPr>
                      <w:sz w:val="19"/>
                      <w:szCs w:val="19"/>
                      <w:rtl/>
                    </w:rPr>
                  </w:pPr>
                </w:p>
              </w:tc>
              <w:tc>
                <w:tcPr>
                  <w:tcW w:w="2151" w:type="dxa"/>
                </w:tcPr>
                <w:p w14:paraId="1111213E"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סכום תביעות החוב בשנת 2021; מדי שנה מוגשות יותר מ-20,000 בקשות לצווי כינוס או לפתיחת הליכים</w:t>
                  </w:r>
                </w:p>
                <w:p w14:paraId="59350111" w14:textId="77777777" w:rsidR="00DA4ACE" w:rsidRPr="001424CF" w:rsidRDefault="00DA4ACE" w:rsidP="00D45993">
                  <w:pPr>
                    <w:tabs>
                      <w:tab w:val="center" w:pos="4153"/>
                      <w:tab w:val="right" w:pos="8306"/>
                    </w:tabs>
                    <w:spacing w:after="240" w:line="276" w:lineRule="auto"/>
                    <w:ind w:left="454"/>
                    <w:rPr>
                      <w:rFonts w:ascii="Tahoma" w:hAnsi="Tahoma" w:cs="Tahoma"/>
                      <w:sz w:val="19"/>
                      <w:szCs w:val="19"/>
                      <w:rtl/>
                    </w:rPr>
                  </w:pPr>
                </w:p>
              </w:tc>
              <w:tc>
                <w:tcPr>
                  <w:tcW w:w="283" w:type="dxa"/>
                </w:tcPr>
                <w:p w14:paraId="6176D632" w14:textId="77777777" w:rsidR="00DA4ACE" w:rsidRPr="00DA4ACE" w:rsidRDefault="00DA4ACE" w:rsidP="00D45993">
                  <w:pPr>
                    <w:tabs>
                      <w:tab w:val="center" w:pos="4153"/>
                      <w:tab w:val="right" w:pos="8306"/>
                    </w:tabs>
                    <w:spacing w:after="240" w:line="276" w:lineRule="auto"/>
                    <w:ind w:left="454"/>
                    <w:rPr>
                      <w:sz w:val="19"/>
                      <w:szCs w:val="19"/>
                      <w:rtl/>
                    </w:rPr>
                  </w:pPr>
                </w:p>
              </w:tc>
              <w:tc>
                <w:tcPr>
                  <w:tcW w:w="2412" w:type="dxa"/>
                </w:tcPr>
                <w:p w14:paraId="27042105"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שיעור הפירעון הממוצע בתיקי חדלות פירעון של יחידים המטופלים על ידי הממונה בשנת 2021  (בשנת 2022 - 13%). כלל החובות האבודים - כ-49.5 מיליארד ש"ח לשנה</w:t>
                  </w:r>
                </w:p>
                <w:p w14:paraId="64738306" w14:textId="77777777" w:rsidR="00DA4ACE" w:rsidRPr="00DA4ACE" w:rsidRDefault="00DA4ACE" w:rsidP="00D45993">
                  <w:pPr>
                    <w:tabs>
                      <w:tab w:val="center" w:pos="4153"/>
                      <w:tab w:val="right" w:pos="8306"/>
                    </w:tabs>
                    <w:spacing w:after="240" w:line="276" w:lineRule="auto"/>
                    <w:ind w:left="454"/>
                    <w:rPr>
                      <w:sz w:val="19"/>
                      <w:szCs w:val="19"/>
                      <w:rtl/>
                    </w:rPr>
                  </w:pPr>
                </w:p>
              </w:tc>
              <w:tc>
                <w:tcPr>
                  <w:tcW w:w="284" w:type="dxa"/>
                </w:tcPr>
                <w:p w14:paraId="3E765E96" w14:textId="77777777" w:rsidR="00DA4ACE" w:rsidRPr="00DA4ACE" w:rsidRDefault="00DA4ACE" w:rsidP="00D45993">
                  <w:pPr>
                    <w:tabs>
                      <w:tab w:val="center" w:pos="4153"/>
                      <w:tab w:val="right" w:pos="8306"/>
                    </w:tabs>
                    <w:spacing w:after="240" w:line="276" w:lineRule="auto"/>
                    <w:ind w:left="454"/>
                    <w:rPr>
                      <w:sz w:val="19"/>
                      <w:szCs w:val="19"/>
                      <w:rtl/>
                    </w:rPr>
                  </w:pPr>
                </w:p>
              </w:tc>
              <w:tc>
                <w:tcPr>
                  <w:tcW w:w="2419" w:type="dxa"/>
                </w:tcPr>
                <w:p w14:paraId="5E177F6D"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 xml:space="preserve">מפקחים על כ-450 נאמנים המנהלים  כ-60,000 תיקים לגביית חובות בהיקף של כ-60 מיליארד ש"ח  </w:t>
                  </w:r>
                </w:p>
              </w:tc>
            </w:tr>
            <w:tr w:rsidR="004F19B3" w14:paraId="13909630" w14:textId="77777777" w:rsidTr="00870FFB">
              <w:trPr>
                <w:trHeight w:val="363"/>
              </w:trPr>
              <w:tc>
                <w:tcPr>
                  <w:tcW w:w="9815" w:type="dxa"/>
                  <w:gridSpan w:val="7"/>
                </w:tcPr>
                <w:p w14:paraId="44B37B2D" w14:textId="77777777" w:rsidR="00DA4ACE" w:rsidRDefault="00DA4ACE" w:rsidP="00D45993">
                  <w:pPr>
                    <w:tabs>
                      <w:tab w:val="center" w:pos="4153"/>
                      <w:tab w:val="right" w:pos="8306"/>
                    </w:tabs>
                    <w:spacing w:after="240" w:line="276" w:lineRule="auto"/>
                    <w:rPr>
                      <w:rFonts w:ascii="Tahoma" w:hAnsi="Tahoma" w:cs="Tahoma"/>
                      <w:sz w:val="38"/>
                      <w:szCs w:val="38"/>
                      <w:rtl/>
                    </w:rPr>
                  </w:pPr>
                </w:p>
                <w:p w14:paraId="3489550D" w14:textId="77777777" w:rsidR="00D1243A" w:rsidRPr="001424CF" w:rsidRDefault="00D1243A" w:rsidP="00D45993">
                  <w:pPr>
                    <w:tabs>
                      <w:tab w:val="center" w:pos="4153"/>
                      <w:tab w:val="right" w:pos="8306"/>
                    </w:tabs>
                    <w:spacing w:after="240" w:line="276" w:lineRule="auto"/>
                    <w:rPr>
                      <w:rFonts w:ascii="Tahoma" w:hAnsi="Tahoma" w:cs="Tahoma"/>
                      <w:sz w:val="38"/>
                      <w:szCs w:val="38"/>
                      <w:rtl/>
                    </w:rPr>
                  </w:pPr>
                </w:p>
              </w:tc>
            </w:tr>
            <w:tr w:rsidR="004F19B3" w14:paraId="201F5FBD" w14:textId="77777777" w:rsidTr="00870FFB">
              <w:trPr>
                <w:trHeight w:val="227"/>
              </w:trPr>
              <w:tc>
                <w:tcPr>
                  <w:tcW w:w="1981" w:type="dxa"/>
                  <w:tcBorders>
                    <w:bottom w:val="single" w:sz="12" w:space="0" w:color="auto"/>
                  </w:tcBorders>
                </w:tcPr>
                <w:p w14:paraId="2CDE6756" w14:textId="77777777" w:rsidR="00DA4ACE" w:rsidRPr="00D1243A" w:rsidRDefault="00000000" w:rsidP="001424CF">
                  <w:pPr>
                    <w:tabs>
                      <w:tab w:val="center" w:pos="4153"/>
                      <w:tab w:val="right" w:pos="8306"/>
                    </w:tabs>
                    <w:spacing w:after="240" w:line="276" w:lineRule="auto"/>
                    <w:ind w:left="454"/>
                    <w:jc w:val="left"/>
                    <w:rPr>
                      <w:rFonts w:ascii="Tahoma" w:hAnsi="Tahoma" w:cs="Tahoma"/>
                      <w:b/>
                      <w:bCs/>
                      <w:sz w:val="36"/>
                      <w:szCs w:val="36"/>
                    </w:rPr>
                  </w:pPr>
                  <w:r w:rsidRPr="00D1243A">
                    <w:rPr>
                      <w:rFonts w:ascii="Tahoma" w:hAnsi="Tahoma" w:cs="Tahoma"/>
                      <w:b/>
                      <w:bCs/>
                      <w:sz w:val="26"/>
                      <w:szCs w:val="26"/>
                      <w:rtl/>
                    </w:rPr>
                    <w:t>גידול של כ-</w:t>
                  </w:r>
                  <w:r w:rsidRPr="00D1243A">
                    <w:rPr>
                      <w:rFonts w:ascii="Tahoma" w:hAnsi="Tahoma" w:cs="Tahoma"/>
                      <w:b/>
                      <w:bCs/>
                      <w:sz w:val="36"/>
                      <w:szCs w:val="36"/>
                      <w:rtl/>
                    </w:rPr>
                    <w:t>60%</w:t>
                  </w:r>
                </w:p>
              </w:tc>
              <w:tc>
                <w:tcPr>
                  <w:tcW w:w="290" w:type="dxa"/>
                </w:tcPr>
                <w:p w14:paraId="6B2F150C"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151" w:type="dxa"/>
                  <w:tcBorders>
                    <w:bottom w:val="single" w:sz="12" w:space="0" w:color="auto"/>
                  </w:tcBorders>
                </w:tcPr>
                <w:p w14:paraId="08476027" w14:textId="77777777" w:rsidR="00DA4ACE" w:rsidRPr="00D1243A" w:rsidRDefault="00000000" w:rsidP="00D45993">
                  <w:pPr>
                    <w:tabs>
                      <w:tab w:val="center" w:pos="4153"/>
                      <w:tab w:val="right" w:pos="8306"/>
                    </w:tabs>
                    <w:spacing w:after="240" w:line="276" w:lineRule="auto"/>
                    <w:ind w:left="454"/>
                    <w:rPr>
                      <w:rFonts w:ascii="Tahoma" w:hAnsi="Tahoma" w:cs="Tahoma"/>
                      <w:b/>
                      <w:bCs/>
                      <w:sz w:val="26"/>
                      <w:szCs w:val="26"/>
                      <w:rtl/>
                    </w:rPr>
                  </w:pPr>
                  <w:r w:rsidRPr="00D1243A">
                    <w:rPr>
                      <w:rFonts w:ascii="Tahoma" w:hAnsi="Tahoma" w:cs="Tahoma"/>
                      <w:b/>
                      <w:bCs/>
                      <w:sz w:val="26"/>
                      <w:szCs w:val="26"/>
                      <w:rtl/>
                    </w:rPr>
                    <w:t>רק כ-</w:t>
                  </w:r>
                  <w:r w:rsidRPr="00D1243A">
                    <w:rPr>
                      <w:rFonts w:ascii="Tahoma" w:hAnsi="Tahoma" w:cs="Tahoma"/>
                      <w:b/>
                      <w:bCs/>
                      <w:sz w:val="36"/>
                      <w:szCs w:val="36"/>
                      <w:rtl/>
                    </w:rPr>
                    <w:t>20</w:t>
                  </w:r>
                  <w:r w:rsidRPr="00D1243A">
                    <w:rPr>
                      <w:rFonts w:ascii="Tahoma" w:hAnsi="Tahoma" w:cs="Tahoma"/>
                      <w:b/>
                      <w:bCs/>
                      <w:sz w:val="26"/>
                      <w:szCs w:val="26"/>
                      <w:rtl/>
                    </w:rPr>
                    <w:t xml:space="preserve"> תיקי חקירה</w:t>
                  </w:r>
                </w:p>
                <w:p w14:paraId="35407622"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83" w:type="dxa"/>
                </w:tcPr>
                <w:p w14:paraId="0500D883"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412" w:type="dxa"/>
                  <w:tcBorders>
                    <w:bottom w:val="single" w:sz="12" w:space="0" w:color="auto"/>
                  </w:tcBorders>
                </w:tcPr>
                <w:p w14:paraId="0C7ECB1F" w14:textId="77777777" w:rsidR="00DA4ACE" w:rsidRPr="00D1243A" w:rsidRDefault="00000000" w:rsidP="001424CF">
                  <w:pPr>
                    <w:tabs>
                      <w:tab w:val="center" w:pos="4153"/>
                      <w:tab w:val="right" w:pos="8306"/>
                    </w:tabs>
                    <w:spacing w:after="240" w:line="276" w:lineRule="auto"/>
                    <w:ind w:left="454"/>
                    <w:jc w:val="left"/>
                    <w:rPr>
                      <w:rFonts w:ascii="Tahoma" w:hAnsi="Tahoma" w:cs="Tahoma"/>
                      <w:b/>
                      <w:bCs/>
                      <w:sz w:val="26"/>
                      <w:szCs w:val="26"/>
                    </w:rPr>
                  </w:pPr>
                  <w:r w:rsidRPr="00D1243A">
                    <w:rPr>
                      <w:rFonts w:ascii="Tahoma" w:hAnsi="Tahoma" w:cs="Tahoma"/>
                      <w:b/>
                      <w:bCs/>
                      <w:sz w:val="26"/>
                      <w:szCs w:val="26"/>
                      <w:rtl/>
                    </w:rPr>
                    <w:t>רק כ-</w:t>
                  </w:r>
                  <w:r w:rsidRPr="00D1243A">
                    <w:rPr>
                      <w:rFonts w:ascii="Tahoma" w:hAnsi="Tahoma" w:cs="Tahoma"/>
                      <w:b/>
                      <w:bCs/>
                      <w:sz w:val="36"/>
                      <w:szCs w:val="36"/>
                      <w:rtl/>
                    </w:rPr>
                    <w:t>850</w:t>
                  </w:r>
                  <w:r w:rsidRPr="00D1243A">
                    <w:rPr>
                      <w:rFonts w:ascii="Tahoma" w:hAnsi="Tahoma" w:cs="Tahoma"/>
                      <w:b/>
                      <w:bCs/>
                      <w:sz w:val="26"/>
                      <w:szCs w:val="26"/>
                      <w:rtl/>
                    </w:rPr>
                    <w:t xml:space="preserve"> חייבים </w:t>
                  </w:r>
                </w:p>
              </w:tc>
              <w:tc>
                <w:tcPr>
                  <w:tcW w:w="284" w:type="dxa"/>
                </w:tcPr>
                <w:p w14:paraId="77431A35" w14:textId="77777777" w:rsidR="00DA4ACE" w:rsidRPr="00D1243A" w:rsidRDefault="00DA4ACE" w:rsidP="00D45993">
                  <w:pPr>
                    <w:tabs>
                      <w:tab w:val="center" w:pos="4153"/>
                      <w:tab w:val="right" w:pos="8306"/>
                    </w:tabs>
                    <w:spacing w:after="240" w:line="276" w:lineRule="auto"/>
                    <w:ind w:left="454"/>
                    <w:rPr>
                      <w:b/>
                      <w:bCs/>
                      <w:sz w:val="26"/>
                      <w:szCs w:val="26"/>
                    </w:rPr>
                  </w:pPr>
                </w:p>
              </w:tc>
              <w:tc>
                <w:tcPr>
                  <w:tcW w:w="2419" w:type="dxa"/>
                  <w:tcBorders>
                    <w:bottom w:val="single" w:sz="12" w:space="0" w:color="auto"/>
                  </w:tcBorders>
                </w:tcPr>
                <w:p w14:paraId="64515B10" w14:textId="77777777" w:rsidR="00DA4ACE" w:rsidRPr="00D1243A" w:rsidRDefault="00000000" w:rsidP="00D45993">
                  <w:pPr>
                    <w:tabs>
                      <w:tab w:val="center" w:pos="4153"/>
                      <w:tab w:val="right" w:pos="8306"/>
                    </w:tabs>
                    <w:spacing w:after="240" w:line="276" w:lineRule="auto"/>
                    <w:ind w:left="454"/>
                    <w:rPr>
                      <w:rFonts w:ascii="Tahoma" w:hAnsi="Tahoma" w:cs="Tahoma"/>
                      <w:b/>
                      <w:bCs/>
                      <w:sz w:val="36"/>
                      <w:szCs w:val="36"/>
                    </w:rPr>
                  </w:pPr>
                  <w:r w:rsidRPr="00D1243A">
                    <w:rPr>
                      <w:rFonts w:ascii="Tahoma" w:hAnsi="Tahoma" w:cs="Tahoma"/>
                      <w:b/>
                      <w:bCs/>
                      <w:sz w:val="36"/>
                      <w:szCs w:val="36"/>
                      <w:rtl/>
                    </w:rPr>
                    <w:t>8</w:t>
                  </w:r>
                </w:p>
              </w:tc>
            </w:tr>
            <w:tr w:rsidR="004F19B3" w14:paraId="53C9E811" w14:textId="77777777" w:rsidTr="00870FFB">
              <w:trPr>
                <w:trHeight w:val="70"/>
              </w:trPr>
              <w:tc>
                <w:tcPr>
                  <w:tcW w:w="9815" w:type="dxa"/>
                  <w:gridSpan w:val="7"/>
                </w:tcPr>
                <w:p w14:paraId="6EA890DA" w14:textId="77777777" w:rsidR="00DA4ACE" w:rsidRPr="00DA4ACE" w:rsidRDefault="00DA4ACE" w:rsidP="00D45993">
                  <w:pPr>
                    <w:tabs>
                      <w:tab w:val="center" w:pos="4153"/>
                      <w:tab w:val="right" w:pos="8306"/>
                    </w:tabs>
                    <w:spacing w:after="240" w:line="276" w:lineRule="auto"/>
                    <w:ind w:left="454"/>
                    <w:rPr>
                      <w:sz w:val="19"/>
                      <w:szCs w:val="19"/>
                      <w:rtl/>
                    </w:rPr>
                  </w:pPr>
                </w:p>
              </w:tc>
            </w:tr>
            <w:tr w:rsidR="004F19B3" w14:paraId="09BD78C7" w14:textId="77777777" w:rsidTr="00870FFB">
              <w:trPr>
                <w:trHeight w:val="1153"/>
              </w:trPr>
              <w:tc>
                <w:tcPr>
                  <w:tcW w:w="1981" w:type="dxa"/>
                </w:tcPr>
                <w:p w14:paraId="03D8AB2C"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בתלונות על נאמנים בשנת 2021 (3,496 תלונות) לעומת שנת 2020 (2,148 תלונות)</w:t>
                  </w:r>
                </w:p>
              </w:tc>
              <w:tc>
                <w:tcPr>
                  <w:tcW w:w="290" w:type="dxa"/>
                </w:tcPr>
                <w:p w14:paraId="2A2B660A" w14:textId="77777777" w:rsidR="00DA4ACE" w:rsidRPr="001424CF" w:rsidRDefault="00DA4ACE" w:rsidP="00D45993">
                  <w:pPr>
                    <w:tabs>
                      <w:tab w:val="center" w:pos="4153"/>
                      <w:tab w:val="right" w:pos="8306"/>
                    </w:tabs>
                    <w:spacing w:after="240" w:line="276" w:lineRule="auto"/>
                    <w:ind w:left="454"/>
                    <w:rPr>
                      <w:rFonts w:ascii="Tahoma" w:hAnsi="Tahoma" w:cs="Tahoma"/>
                      <w:sz w:val="19"/>
                      <w:szCs w:val="19"/>
                      <w:rtl/>
                    </w:rPr>
                  </w:pPr>
                </w:p>
              </w:tc>
              <w:tc>
                <w:tcPr>
                  <w:tcW w:w="2151" w:type="dxa"/>
                </w:tcPr>
                <w:p w14:paraId="5DF66A2B"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 xml:space="preserve">מטופלים על ידי יחידת החקירות מדי שנה, אף שלהערכת הממונה מתבצעות יותר מ-2,000 עבירות בתחום חדלות הפירעון בשנה </w:t>
                  </w:r>
                </w:p>
              </w:tc>
              <w:tc>
                <w:tcPr>
                  <w:tcW w:w="283" w:type="dxa"/>
                </w:tcPr>
                <w:p w14:paraId="5153D9F9" w14:textId="77777777" w:rsidR="00DA4ACE" w:rsidRPr="001424CF" w:rsidRDefault="00DA4ACE" w:rsidP="00D45993">
                  <w:pPr>
                    <w:tabs>
                      <w:tab w:val="center" w:pos="4153"/>
                      <w:tab w:val="right" w:pos="8306"/>
                    </w:tabs>
                    <w:spacing w:after="240" w:line="276" w:lineRule="auto"/>
                    <w:ind w:left="454"/>
                    <w:rPr>
                      <w:rFonts w:ascii="Tahoma" w:hAnsi="Tahoma" w:cs="Tahoma"/>
                      <w:sz w:val="19"/>
                      <w:szCs w:val="19"/>
                      <w:rtl/>
                    </w:rPr>
                  </w:pPr>
                </w:p>
              </w:tc>
              <w:tc>
                <w:tcPr>
                  <w:tcW w:w="2412" w:type="dxa"/>
                </w:tcPr>
                <w:p w14:paraId="18DE03F2"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מתוך אומדן של כ-37,500 חייבים שהצורך בהכשרה כלכלית רלוונטי בעניינם השלימו תוכנית הכשרה להתנהלות כלכלית נכונה עד יוני 2023 – על פי ההערכה הם מהווים פחות מ-3% מכלל אלפי החייבים אשר ההכשרה רלוונטית בעניינם</w:t>
                  </w:r>
                </w:p>
              </w:tc>
              <w:tc>
                <w:tcPr>
                  <w:tcW w:w="284" w:type="dxa"/>
                </w:tcPr>
                <w:p w14:paraId="184A1044" w14:textId="77777777" w:rsidR="00DA4ACE" w:rsidRPr="001424CF" w:rsidRDefault="00DA4ACE" w:rsidP="00D45993">
                  <w:pPr>
                    <w:tabs>
                      <w:tab w:val="center" w:pos="4153"/>
                      <w:tab w:val="right" w:pos="8306"/>
                    </w:tabs>
                    <w:spacing w:after="240" w:line="276" w:lineRule="auto"/>
                    <w:ind w:left="454"/>
                    <w:rPr>
                      <w:rFonts w:ascii="Tahoma" w:hAnsi="Tahoma" w:cs="Tahoma"/>
                      <w:sz w:val="19"/>
                      <w:szCs w:val="19"/>
                      <w:rtl/>
                    </w:rPr>
                  </w:pPr>
                </w:p>
              </w:tc>
              <w:tc>
                <w:tcPr>
                  <w:tcW w:w="2419" w:type="dxa"/>
                </w:tcPr>
                <w:p w14:paraId="6C5EC0C4" w14:textId="77777777" w:rsidR="00DA4ACE" w:rsidRPr="001424CF" w:rsidRDefault="00000000" w:rsidP="00D45993">
                  <w:pPr>
                    <w:tabs>
                      <w:tab w:val="center" w:pos="4153"/>
                      <w:tab w:val="right" w:pos="8306"/>
                    </w:tabs>
                    <w:spacing w:after="240" w:line="276" w:lineRule="auto"/>
                    <w:ind w:left="454"/>
                    <w:rPr>
                      <w:rFonts w:ascii="Tahoma" w:hAnsi="Tahoma" w:cs="Tahoma"/>
                      <w:sz w:val="19"/>
                      <w:szCs w:val="19"/>
                      <w:rtl/>
                    </w:rPr>
                  </w:pPr>
                  <w:r w:rsidRPr="001424CF">
                    <w:rPr>
                      <w:rFonts w:ascii="Tahoma" w:hAnsi="Tahoma" w:cs="Tahoma"/>
                      <w:sz w:val="19"/>
                      <w:szCs w:val="19"/>
                      <w:rtl/>
                    </w:rPr>
                    <w:t>מספר מאגרי המידע  המצויים במערכות מחשוב נפרדות שאינן מסונכרנות זו עם זו, המשמשות את הממונה</w:t>
                  </w:r>
                </w:p>
                <w:p w14:paraId="0A1604A9" w14:textId="77777777" w:rsidR="00DA4ACE" w:rsidRPr="001424CF" w:rsidRDefault="00DA4ACE" w:rsidP="00D45993">
                  <w:pPr>
                    <w:tabs>
                      <w:tab w:val="center" w:pos="4153"/>
                      <w:tab w:val="right" w:pos="8306"/>
                    </w:tabs>
                    <w:spacing w:after="240" w:line="276" w:lineRule="auto"/>
                    <w:ind w:left="454"/>
                    <w:rPr>
                      <w:rFonts w:ascii="Tahoma" w:hAnsi="Tahoma" w:cs="Tahoma"/>
                      <w:sz w:val="19"/>
                      <w:szCs w:val="19"/>
                      <w:rtl/>
                    </w:rPr>
                  </w:pPr>
                </w:p>
              </w:tc>
            </w:tr>
          </w:tbl>
          <w:p w14:paraId="44CF124E" w14:textId="77777777" w:rsidR="00DA4ACE" w:rsidRPr="00DA4ACE" w:rsidRDefault="00DA4ACE" w:rsidP="00DA4ACE">
            <w:pPr>
              <w:tabs>
                <w:tab w:val="center" w:pos="4153"/>
                <w:tab w:val="right" w:pos="8306"/>
              </w:tabs>
              <w:spacing w:after="240"/>
              <w:ind w:left="454"/>
              <w:rPr>
                <w:rFonts w:ascii="Tahoma" w:hAnsi="Tahoma" w:cs="Tahoma"/>
                <w:sz w:val="19"/>
                <w:szCs w:val="19"/>
                <w:rtl/>
              </w:rPr>
            </w:pPr>
          </w:p>
          <w:p w14:paraId="56FE1406" w14:textId="77777777" w:rsidR="00DA4ACE" w:rsidRP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noProof/>
                <w:sz w:val="19"/>
                <w:szCs w:val="19"/>
              </w:rPr>
              <w:drawing>
                <wp:inline distT="0" distB="0" distL="0" distR="0" wp14:anchorId="60FE7283" wp14:editId="1C7C05BA">
                  <wp:extent cx="6104255" cy="438829"/>
                  <wp:effectExtent l="0" t="0" r="0"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תקציר תמונה 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27802" cy="454900"/>
                          </a:xfrm>
                          <a:prstGeom prst="rect">
                            <a:avLst/>
                          </a:prstGeom>
                        </pic:spPr>
                      </pic:pic>
                    </a:graphicData>
                  </a:graphic>
                </wp:inline>
              </w:drawing>
            </w:r>
          </w:p>
          <w:p w14:paraId="6C531447" w14:textId="77777777" w:rsidR="00DA4ACE" w:rsidRPr="00DA4ACE" w:rsidRDefault="00DA4ACE" w:rsidP="00DA4ACE">
            <w:pPr>
              <w:tabs>
                <w:tab w:val="center" w:pos="4153"/>
                <w:tab w:val="right" w:pos="8306"/>
              </w:tabs>
              <w:spacing w:after="240"/>
              <w:ind w:left="454"/>
              <w:rPr>
                <w:rFonts w:ascii="Tahoma" w:hAnsi="Tahoma" w:cs="Tahoma"/>
                <w:sz w:val="19"/>
                <w:szCs w:val="19"/>
                <w:rtl/>
              </w:rPr>
            </w:pPr>
          </w:p>
          <w:p w14:paraId="4A3DC96D" w14:textId="77777777" w:rsidR="00DA4ACE" w:rsidRP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noProof/>
                <w:sz w:val="19"/>
                <w:szCs w:val="19"/>
                <w:rtl/>
              </w:rPr>
              <w:drawing>
                <wp:inline distT="0" distB="0" distL="0" distR="0" wp14:anchorId="5CF466E4" wp14:editId="271C2D1E">
                  <wp:extent cx="2616789" cy="200650"/>
                  <wp:effectExtent l="0" t="0" r="0" b="9525"/>
                  <wp:docPr id="39"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ISLIK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6789" cy="200650"/>
                          </a:xfrm>
                          <a:prstGeom prst="rect">
                            <a:avLst/>
                          </a:prstGeom>
                        </pic:spPr>
                      </pic:pic>
                    </a:graphicData>
                  </a:graphic>
                </wp:inline>
              </w:drawing>
            </w:r>
          </w:p>
          <w:p w14:paraId="3F652826"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קביעת תשלום חודשי לחייבים</w:t>
            </w:r>
            <w:r w:rsidRPr="00DA4ACE">
              <w:rPr>
                <w:rFonts w:ascii="Tahoma" w:hAnsi="Tahoma" w:cs="Tahoma" w:hint="cs"/>
                <w:sz w:val="19"/>
                <w:szCs w:val="19"/>
                <w:rtl/>
              </w:rPr>
              <w:t xml:space="preserve"> -</w:t>
            </w:r>
            <w:r w:rsidRPr="00DA4ACE">
              <w:rPr>
                <w:rFonts w:ascii="Tahoma" w:hAnsi="Tahoma" w:cs="Tahoma"/>
                <w:sz w:val="19"/>
                <w:szCs w:val="19"/>
                <w:rtl/>
              </w:rPr>
              <w:t xml:space="preserve"> נכון למועד הביקורת, ספטמבר 2023, שר המשפטים לא התקין תקנות</w:t>
            </w:r>
            <w:r w:rsidRPr="00DA4ACE">
              <w:rPr>
                <w:rFonts w:ascii="Tahoma" w:hAnsi="Tahoma" w:cs="Tahoma" w:hint="cs"/>
                <w:sz w:val="19"/>
                <w:szCs w:val="19"/>
                <w:rtl/>
              </w:rPr>
              <w:t xml:space="preserve"> דמי מחיה, וזאת בניגוד להוראות חוק חדל"פ</w:t>
            </w:r>
            <w:r w:rsidRPr="00DA4ACE">
              <w:rPr>
                <w:rFonts w:ascii="Tahoma" w:hAnsi="Tahoma" w:cs="Tahoma"/>
                <w:sz w:val="19"/>
                <w:szCs w:val="19"/>
                <w:rtl/>
              </w:rPr>
              <w:t xml:space="preserve">. קביעת </w:t>
            </w:r>
            <w:r w:rsidRPr="00DA4ACE">
              <w:rPr>
                <w:rFonts w:ascii="Tahoma" w:hAnsi="Tahoma" w:cs="Tahoma" w:hint="cs"/>
                <w:sz w:val="19"/>
                <w:szCs w:val="19"/>
                <w:rtl/>
              </w:rPr>
              <w:t>תקנות</w:t>
            </w:r>
            <w:r w:rsidRPr="00DA4ACE">
              <w:rPr>
                <w:rFonts w:ascii="Tahoma" w:hAnsi="Tahoma" w:cs="Tahoma"/>
                <w:sz w:val="19"/>
                <w:szCs w:val="19"/>
                <w:rtl/>
              </w:rPr>
              <w:t xml:space="preserve"> לחישוב זה נדרש</w:t>
            </w:r>
            <w:r w:rsidRPr="00DA4ACE">
              <w:rPr>
                <w:rFonts w:ascii="Tahoma" w:hAnsi="Tahoma" w:cs="Tahoma" w:hint="cs"/>
                <w:sz w:val="19"/>
                <w:szCs w:val="19"/>
                <w:rtl/>
              </w:rPr>
              <w:t>ת</w:t>
            </w:r>
            <w:r w:rsidRPr="00DA4ACE">
              <w:rPr>
                <w:rFonts w:ascii="Tahoma" w:hAnsi="Tahoma" w:cs="Tahoma"/>
                <w:sz w:val="19"/>
                <w:szCs w:val="19"/>
                <w:rtl/>
              </w:rPr>
              <w:t xml:space="preserve"> כדי שהם ישמשו בסיס לקביעת סכום התשלום החודשי שיהיה על החייב לשלם במסגרת הליך חדלות הפירעון.</w:t>
            </w:r>
            <w:r w:rsidRPr="00DA4ACE">
              <w:rPr>
                <w:rFonts w:ascii="Tahoma" w:hAnsi="Tahoma" w:cs="Tahoma" w:hint="cs"/>
                <w:sz w:val="19"/>
                <w:szCs w:val="19"/>
                <w:rtl/>
              </w:rPr>
              <w:t xml:space="preserve"> </w:t>
            </w:r>
          </w:p>
          <w:p w14:paraId="26C21392"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העברת מידע על אופן חישוב סכום התשלום החודשי</w:t>
            </w:r>
            <w:r w:rsidRPr="00DA4ACE">
              <w:rPr>
                <w:rFonts w:ascii="Tahoma" w:hAnsi="Tahoma" w:cs="Tahoma" w:hint="cs"/>
                <w:sz w:val="19"/>
                <w:szCs w:val="19"/>
                <w:rtl/>
              </w:rPr>
              <w:t xml:space="preserve"> - </w:t>
            </w:r>
            <w:r w:rsidRPr="00DA4ACE">
              <w:rPr>
                <w:rFonts w:ascii="Tahoma" w:hAnsi="Tahoma" w:cs="Tahoma"/>
                <w:sz w:val="19"/>
                <w:szCs w:val="19"/>
                <w:rtl/>
              </w:rPr>
              <w:t>הממונה אינו מוסר לחייבים את המידע שעל בסיסו נקבע סכום התשלום העיתי בתקופת הביניים, ובכלל זה אינו מוסר להם את הנתונים שהובאו בחשבון ואת אופן החישוב של סכום התשלום העיתי.</w:t>
            </w:r>
          </w:p>
          <w:p w14:paraId="7E7592BD"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בקרה ופיקוח על נאמנים</w:t>
            </w:r>
            <w:r w:rsidRPr="00DA4ACE">
              <w:rPr>
                <w:rFonts w:ascii="Tahoma" w:hAnsi="Tahoma" w:cs="Tahoma" w:hint="cs"/>
                <w:sz w:val="19"/>
                <w:szCs w:val="19"/>
                <w:rtl/>
              </w:rPr>
              <w:t xml:space="preserve"> - </w:t>
            </w:r>
            <w:r w:rsidRPr="00DA4ACE">
              <w:rPr>
                <w:rFonts w:ascii="Tahoma" w:hAnsi="Tahoma" w:cs="Tahoma"/>
                <w:sz w:val="19"/>
                <w:szCs w:val="19"/>
                <w:rtl/>
              </w:rPr>
              <w:t xml:space="preserve">היחידה לפיקוח על נאמנים בממונה על הליכי חדלות פירעון, שהוקמה לצורך מימוש אחריותו של הממונה בחוק לשמירת התקינות, ההוגנות והיעילות של הליכי חדלות פירעון, </w:t>
            </w:r>
            <w:r w:rsidRPr="00DA4ACE">
              <w:rPr>
                <w:rFonts w:ascii="Tahoma" w:hAnsi="Tahoma" w:cs="Tahoma"/>
                <w:b/>
                <w:bCs/>
                <w:sz w:val="19"/>
                <w:szCs w:val="19"/>
                <w:rtl/>
              </w:rPr>
              <w:t xml:space="preserve">אינה מבצעת בקרות יזומות וחקירות עומק </w:t>
            </w:r>
            <w:r w:rsidRPr="00DA4ACE">
              <w:rPr>
                <w:rFonts w:ascii="Tahoma" w:hAnsi="Tahoma" w:cs="Tahoma" w:hint="eastAsia"/>
                <w:b/>
                <w:bCs/>
                <w:sz w:val="19"/>
                <w:szCs w:val="19"/>
                <w:rtl/>
              </w:rPr>
              <w:t>בנושא</w:t>
            </w:r>
            <w:r w:rsidRPr="00DA4ACE">
              <w:rPr>
                <w:rFonts w:ascii="Tahoma" w:hAnsi="Tahoma" w:cs="Tahoma"/>
                <w:b/>
                <w:bCs/>
                <w:sz w:val="19"/>
                <w:szCs w:val="19"/>
                <w:rtl/>
              </w:rPr>
              <w:t xml:space="preserve"> התנהלותם של כ-450 הנאמנים שבאחריותה </w:t>
            </w:r>
            <w:r w:rsidRPr="00DA4ACE">
              <w:rPr>
                <w:rFonts w:ascii="Tahoma" w:hAnsi="Tahoma" w:cs="Tahoma" w:hint="cs"/>
                <w:b/>
                <w:bCs/>
                <w:sz w:val="19"/>
                <w:szCs w:val="19"/>
                <w:rtl/>
              </w:rPr>
              <w:t xml:space="preserve">המטפלים </w:t>
            </w:r>
            <w:r w:rsidRPr="00DA4ACE">
              <w:rPr>
                <w:rFonts w:ascii="Tahoma" w:hAnsi="Tahoma" w:cs="Tahoma"/>
                <w:b/>
                <w:bCs/>
                <w:sz w:val="19"/>
                <w:szCs w:val="19"/>
                <w:rtl/>
              </w:rPr>
              <w:t>בכ-20,000 תיקים בשנה,</w:t>
            </w:r>
            <w:r w:rsidRPr="00DA4ACE">
              <w:rPr>
                <w:rFonts w:ascii="Tahoma" w:hAnsi="Tahoma" w:cs="Tahoma"/>
                <w:sz w:val="19"/>
                <w:szCs w:val="19"/>
                <w:rtl/>
              </w:rPr>
              <w:t xml:space="preserve"> ובכלל זה על התנהלותם מול החייבים ומול בתי המשפט</w:t>
            </w:r>
            <w:r w:rsidRPr="00DA4ACE">
              <w:rPr>
                <w:rFonts w:ascii="Tahoma" w:hAnsi="Tahoma" w:cs="Tahoma" w:hint="cs"/>
                <w:sz w:val="19"/>
                <w:szCs w:val="19"/>
                <w:rtl/>
              </w:rPr>
              <w:t>,</w:t>
            </w:r>
            <w:r w:rsidRPr="00DA4ACE">
              <w:rPr>
                <w:rFonts w:ascii="Tahoma" w:hAnsi="Tahoma" w:cs="Tahoma"/>
                <w:sz w:val="19"/>
                <w:szCs w:val="19"/>
                <w:rtl/>
              </w:rPr>
              <w:t xml:space="preserve"> על איכות עבודתם</w:t>
            </w:r>
            <w:r w:rsidRPr="00DA4ACE">
              <w:rPr>
                <w:rFonts w:ascii="Tahoma" w:hAnsi="Tahoma" w:cs="Tahoma" w:hint="cs"/>
                <w:sz w:val="19"/>
                <w:szCs w:val="19"/>
                <w:rtl/>
              </w:rPr>
              <w:t>, על אופן חלוקת הכספים לנושאים ועל היקף שכר הטרחה שמשולם לנאמנים</w:t>
            </w:r>
            <w:r w:rsidRPr="00DA4ACE">
              <w:rPr>
                <w:rFonts w:ascii="Tahoma" w:hAnsi="Tahoma" w:cs="Tahoma"/>
                <w:sz w:val="19"/>
                <w:szCs w:val="19"/>
                <w:rtl/>
              </w:rPr>
              <w:t>,</w:t>
            </w:r>
            <w:r w:rsidRPr="00DA4ACE">
              <w:rPr>
                <w:rFonts w:ascii="Tahoma" w:hAnsi="Tahoma" w:cs="Tahoma" w:hint="cs"/>
                <w:sz w:val="19"/>
                <w:szCs w:val="19"/>
                <w:rtl/>
              </w:rPr>
              <w:t xml:space="preserve"> לעיתים מתוך חשבון הנאמנות של הנאמן</w:t>
            </w:r>
            <w:r w:rsidRPr="00DA4ACE">
              <w:rPr>
                <w:rFonts w:ascii="Tahoma" w:hAnsi="Tahoma" w:cs="Tahoma"/>
                <w:sz w:val="19"/>
                <w:szCs w:val="19"/>
                <w:rtl/>
              </w:rPr>
              <w:t xml:space="preserve">; </w:t>
            </w:r>
            <w:r w:rsidRPr="00DA4ACE">
              <w:rPr>
                <w:rFonts w:ascii="Tahoma" w:hAnsi="Tahoma" w:cs="Tahoma" w:hint="cs"/>
                <w:sz w:val="19"/>
                <w:szCs w:val="19"/>
                <w:rtl/>
              </w:rPr>
              <w:t>בהעדר בקרות וחקירות גם</w:t>
            </w:r>
            <w:r w:rsidRPr="00DA4ACE">
              <w:rPr>
                <w:rFonts w:ascii="Tahoma" w:hAnsi="Tahoma" w:cs="Tahoma"/>
                <w:sz w:val="19"/>
                <w:szCs w:val="19"/>
                <w:rtl/>
              </w:rPr>
              <w:t xml:space="preserve"> לא ננקטו סנקציות כלפי נאמנים שלא מילאו את תפקידם כראוי. בכל הנוגע להתנהלות הנאמנים, היחידה מתמקדת בביצוע בקרות טכניות, כגון נוכחות פיזית של נאמן בהליכים משפטיים ועצם הגשת דוחות. </w:t>
            </w:r>
          </w:p>
          <w:p w14:paraId="7F8B6088"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 xml:space="preserve">הטיפול בתלונות על נאמנים </w:t>
            </w:r>
            <w:r w:rsidRPr="00DA4ACE">
              <w:rPr>
                <w:rFonts w:ascii="Tahoma" w:hAnsi="Tahoma" w:cs="Tahoma" w:hint="cs"/>
                <w:sz w:val="19"/>
                <w:szCs w:val="19"/>
                <w:rtl/>
              </w:rPr>
              <w:t xml:space="preserve">- במהלך השנים </w:t>
            </w:r>
            <w:r w:rsidRPr="00DA4ACE">
              <w:rPr>
                <w:rFonts w:ascii="Tahoma" w:hAnsi="Tahoma" w:cs="Tahoma"/>
                <w:sz w:val="19"/>
                <w:szCs w:val="19"/>
                <w:rtl/>
              </w:rPr>
              <w:t xml:space="preserve">חל גידול של כ-60% במספר התלונות שהתקבלו אצל הממונה (2,148 בשנת 2020, 3,496 בשנת 2021). הממונה לא קבע מנגנון מסודר לטיפול בתלונות המתקבלות על נאמנים. בין היתר, הממונה לא קבע לוח זמנים מחייב לשלבי הטיפול בתלונה, קריטריונים לסיווג התלונות, אופן הטיפול בתלונה בהתאם לסיווגה עד לסגירתה, מנגנון מסירת מידע ועדכונים למתלונן ולנאמן או לנילון, כללים לעניין ערעור, הסנקציות שיינקטו כלפי נאמנים אשר התלונה בעניינם נמצאה מוצדקת וקריטריונים להפעלתן. </w:t>
            </w:r>
          </w:p>
          <w:p w14:paraId="2103359F"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b/>
                <w:bCs/>
                <w:sz w:val="19"/>
                <w:szCs w:val="19"/>
                <w:rtl/>
              </w:rPr>
              <w:t>מערכת ממוחשבת לטיפול בתלונות</w:t>
            </w:r>
            <w:r w:rsidRPr="00DA4ACE">
              <w:rPr>
                <w:rFonts w:ascii="Tahoma" w:hAnsi="Tahoma" w:cs="Tahoma" w:hint="cs"/>
                <w:sz w:val="19"/>
                <w:szCs w:val="19"/>
                <w:rtl/>
              </w:rPr>
              <w:t xml:space="preserve"> -</w:t>
            </w:r>
            <w:r w:rsidRPr="00DA4ACE">
              <w:rPr>
                <w:rFonts w:ascii="Tahoma" w:hAnsi="Tahoma" w:cs="Tahoma"/>
                <w:sz w:val="19"/>
                <w:szCs w:val="19"/>
                <w:rtl/>
              </w:rPr>
              <w:t xml:space="preserve"> אין בידי הממונה כלים מחשוביים מתאימים ויעילים לניהול הטיפול </w:t>
            </w:r>
            <w:r w:rsidRPr="00DA4ACE">
              <w:rPr>
                <w:rFonts w:ascii="Tahoma" w:hAnsi="Tahoma" w:cs="Tahoma" w:hint="cs"/>
                <w:sz w:val="19"/>
                <w:szCs w:val="19"/>
                <w:rtl/>
              </w:rPr>
              <w:t>ב</w:t>
            </w:r>
            <w:r w:rsidRPr="00DA4ACE">
              <w:rPr>
                <w:rFonts w:ascii="Tahoma" w:hAnsi="Tahoma" w:cs="Tahoma"/>
                <w:sz w:val="19"/>
                <w:szCs w:val="19"/>
                <w:rtl/>
              </w:rPr>
              <w:t>תלונות, לבקרה ולמעקב בנושא ולתיעוד הטיפול בתלונות. במצב דברים זה, נכון למועד סיום הביקורת נוהל</w:t>
            </w:r>
            <w:r w:rsidRPr="00DA4ACE">
              <w:rPr>
                <w:rFonts w:ascii="Tahoma" w:hAnsi="Tahoma" w:cs="Tahoma" w:hint="cs"/>
                <w:sz w:val="19"/>
                <w:szCs w:val="19"/>
                <w:rtl/>
              </w:rPr>
              <w:t>ו</w:t>
            </w:r>
            <w:r w:rsidRPr="00DA4ACE">
              <w:rPr>
                <w:rFonts w:ascii="Tahoma" w:hAnsi="Tahoma" w:cs="Tahoma"/>
                <w:sz w:val="19"/>
                <w:szCs w:val="19"/>
                <w:rtl/>
              </w:rPr>
              <w:t xml:space="preserve"> </w:t>
            </w:r>
            <w:r w:rsidRPr="00DA4ACE">
              <w:rPr>
                <w:rFonts w:ascii="Tahoma" w:hAnsi="Tahoma" w:cs="Tahoma" w:hint="cs"/>
                <w:sz w:val="19"/>
                <w:szCs w:val="19"/>
                <w:rtl/>
              </w:rPr>
              <w:t xml:space="preserve">באופן ידני </w:t>
            </w:r>
            <w:r w:rsidRPr="00DA4ACE">
              <w:rPr>
                <w:rFonts w:ascii="Tahoma" w:hAnsi="Tahoma" w:cs="Tahoma"/>
                <w:sz w:val="19"/>
                <w:szCs w:val="19"/>
                <w:rtl/>
              </w:rPr>
              <w:t>כ-200 תלונות שהוגדרו על ידי הממונה כמהותיות, מתוך אלפי תלונות. מערכת ממוחשבת יעילה נחוצה בייחוד נוכח מספר התלונות (יותר מ-3,400 בשנת 2021).</w:t>
            </w:r>
          </w:p>
          <w:p w14:paraId="132CE41D"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 xml:space="preserve">סקרי שירות בקרב חייבים </w:t>
            </w:r>
            <w:r w:rsidRPr="00DA4ACE">
              <w:rPr>
                <w:rFonts w:ascii="Tahoma" w:hAnsi="Tahoma" w:cs="Tahoma" w:hint="cs"/>
                <w:sz w:val="19"/>
                <w:szCs w:val="19"/>
                <w:rtl/>
              </w:rPr>
              <w:t xml:space="preserve">- </w:t>
            </w:r>
            <w:r w:rsidRPr="00DA4ACE">
              <w:rPr>
                <w:rFonts w:ascii="Tahoma" w:hAnsi="Tahoma" w:cs="Tahoma"/>
                <w:sz w:val="19"/>
                <w:szCs w:val="19"/>
                <w:rtl/>
              </w:rPr>
              <w:t xml:space="preserve">מתוך סקרי השירות שביצע הממונה עולה כי </w:t>
            </w:r>
            <w:r w:rsidRPr="00DA4ACE">
              <w:rPr>
                <w:rFonts w:ascii="Tahoma" w:hAnsi="Tahoma" w:cs="Tahoma" w:hint="eastAsia"/>
                <w:sz w:val="19"/>
                <w:szCs w:val="19"/>
                <w:rtl/>
              </w:rPr>
              <w:t>יותר</w:t>
            </w:r>
            <w:r w:rsidRPr="00DA4ACE">
              <w:rPr>
                <w:rFonts w:ascii="Tahoma" w:hAnsi="Tahoma" w:cs="Tahoma" w:hint="cs"/>
                <w:sz w:val="19"/>
                <w:szCs w:val="19"/>
                <w:rtl/>
              </w:rPr>
              <w:t xml:space="preserve"> ממחצית </w:t>
            </w:r>
            <w:r w:rsidRPr="00DA4ACE">
              <w:rPr>
                <w:rFonts w:ascii="Tahoma" w:hAnsi="Tahoma" w:cs="Tahoma"/>
                <w:sz w:val="19"/>
                <w:szCs w:val="19"/>
                <w:rtl/>
              </w:rPr>
              <w:t xml:space="preserve">החייבים שהשיבו על הסקר אינם מרוצים </w:t>
            </w:r>
            <w:r w:rsidRPr="00DA4ACE">
              <w:rPr>
                <w:rFonts w:ascii="Tahoma" w:hAnsi="Tahoma" w:cs="Tahoma" w:hint="cs"/>
                <w:sz w:val="19"/>
                <w:szCs w:val="19"/>
                <w:rtl/>
              </w:rPr>
              <w:t xml:space="preserve">מטיפול הנאמן בפניותיהם (56%) </w:t>
            </w:r>
            <w:r w:rsidRPr="00DA4ACE">
              <w:rPr>
                <w:rFonts w:ascii="Tahoma" w:hAnsi="Tahoma" w:cs="Tahoma" w:hint="eastAsia"/>
                <w:sz w:val="19"/>
                <w:szCs w:val="19"/>
                <w:rtl/>
              </w:rPr>
              <w:t>ו</w:t>
            </w:r>
            <w:r w:rsidRPr="00DA4ACE">
              <w:rPr>
                <w:rFonts w:ascii="Tahoma" w:hAnsi="Tahoma" w:cs="Tahoma"/>
                <w:sz w:val="19"/>
                <w:szCs w:val="19"/>
                <w:rtl/>
              </w:rPr>
              <w:t>מזמינות</w:t>
            </w:r>
            <w:r w:rsidRPr="00DA4ACE">
              <w:rPr>
                <w:rFonts w:ascii="Tahoma" w:hAnsi="Tahoma" w:cs="Tahoma" w:hint="cs"/>
                <w:sz w:val="19"/>
                <w:szCs w:val="19"/>
                <w:rtl/>
              </w:rPr>
              <w:t>ו (55%)</w:t>
            </w:r>
            <w:r w:rsidRPr="00DA4ACE">
              <w:rPr>
                <w:rFonts w:ascii="Tahoma" w:hAnsi="Tahoma" w:cs="Tahoma"/>
                <w:sz w:val="19"/>
                <w:szCs w:val="19"/>
                <w:rtl/>
              </w:rPr>
              <w:t>,</w:t>
            </w:r>
            <w:r w:rsidRPr="00DA4ACE">
              <w:rPr>
                <w:rFonts w:ascii="Tahoma" w:hAnsi="Tahoma" w:cs="Tahoma" w:hint="cs"/>
                <w:sz w:val="19"/>
                <w:szCs w:val="19"/>
                <w:rtl/>
              </w:rPr>
              <w:t xml:space="preserve"> </w:t>
            </w:r>
            <w:r w:rsidRPr="00DA4ACE">
              <w:rPr>
                <w:rFonts w:ascii="Tahoma" w:hAnsi="Tahoma" w:cs="Tahoma" w:hint="eastAsia"/>
                <w:sz w:val="19"/>
                <w:szCs w:val="19"/>
                <w:rtl/>
              </w:rPr>
              <w:t>וכי</w:t>
            </w:r>
            <w:r w:rsidRPr="00DA4ACE">
              <w:rPr>
                <w:rFonts w:ascii="Tahoma" w:hAnsi="Tahoma" w:cs="Tahoma" w:hint="cs"/>
                <w:sz w:val="19"/>
                <w:szCs w:val="19"/>
                <w:rtl/>
              </w:rPr>
              <w:t xml:space="preserve"> </w:t>
            </w:r>
            <w:r w:rsidRPr="00DA4ACE">
              <w:rPr>
                <w:rFonts w:ascii="Tahoma" w:hAnsi="Tahoma" w:cs="Tahoma"/>
                <w:sz w:val="19"/>
                <w:szCs w:val="19"/>
                <w:rtl/>
              </w:rPr>
              <w:t>70% מהחייבים השיבו שלא קיבלו מענה מלא וברור מהנאמן.</w:t>
            </w:r>
            <w:r w:rsidRPr="00DA4ACE">
              <w:rPr>
                <w:rFonts w:ascii="Tahoma" w:hAnsi="Tahoma" w:cs="Tahoma" w:hint="cs"/>
                <w:sz w:val="19"/>
                <w:szCs w:val="19"/>
                <w:rtl/>
              </w:rPr>
              <w:t xml:space="preserve"> </w:t>
            </w:r>
            <w:r w:rsidRPr="00DA4ACE">
              <w:rPr>
                <w:rFonts w:ascii="Tahoma" w:hAnsi="Tahoma" w:cs="Tahoma"/>
                <w:sz w:val="19"/>
                <w:szCs w:val="19"/>
                <w:rtl/>
              </w:rPr>
              <w:t>עם זאת, הממונה לא העמיק את הבקרות והפיקוח על נאמנים לנוכח ממצאי סקרי השירות</w:t>
            </w:r>
            <w:r w:rsidRPr="00DA4ACE">
              <w:rPr>
                <w:rFonts w:ascii="Tahoma" w:hAnsi="Tahoma" w:cs="Tahoma" w:hint="cs"/>
                <w:sz w:val="19"/>
                <w:szCs w:val="19"/>
                <w:rtl/>
              </w:rPr>
              <w:t xml:space="preserve">, </w:t>
            </w:r>
            <w:r w:rsidRPr="00DA4ACE">
              <w:rPr>
                <w:rFonts w:ascii="Tahoma" w:hAnsi="Tahoma" w:cs="Tahoma"/>
                <w:sz w:val="19"/>
                <w:szCs w:val="19"/>
                <w:rtl/>
              </w:rPr>
              <w:t>לא ניתח את ממצאי סקרי השירות שערך, לא ביצע הליך הפקת לקחים ולא נקט פעולות ייעודיות לתיקון הליקויים שהועלו בסקרים.</w:t>
            </w:r>
          </w:p>
          <w:p w14:paraId="3C37EDB9" w14:textId="77777777" w:rsidR="00DA4ACE" w:rsidRPr="00DA4ACE" w:rsidRDefault="00000000" w:rsidP="00DA4ACE">
            <w:pPr>
              <w:numPr>
                <w:ilvl w:val="0"/>
                <w:numId w:val="21"/>
              </w:numPr>
              <w:tabs>
                <w:tab w:val="center" w:pos="4153"/>
                <w:tab w:val="right" w:pos="8306"/>
              </w:tabs>
              <w:spacing w:after="240"/>
              <w:rPr>
                <w:rFonts w:ascii="Tahoma" w:hAnsi="Tahoma" w:cs="Tahoma"/>
                <w:b/>
                <w:bCs/>
                <w:sz w:val="19"/>
                <w:szCs w:val="19"/>
              </w:rPr>
            </w:pPr>
            <w:r w:rsidRPr="00DA4ACE">
              <w:rPr>
                <w:rFonts w:ascii="Tahoma" w:hAnsi="Tahoma" w:cs="Tahoma" w:hint="cs"/>
                <w:b/>
                <w:bCs/>
                <w:sz w:val="19"/>
                <w:szCs w:val="19"/>
                <w:rtl/>
              </w:rPr>
              <w:t xml:space="preserve">היקף פעילות יחידת החקירות </w:t>
            </w:r>
            <w:r w:rsidRPr="00DA4ACE">
              <w:rPr>
                <w:rFonts w:ascii="Tahoma" w:hAnsi="Tahoma" w:cs="Tahoma"/>
                <w:b/>
                <w:bCs/>
                <w:sz w:val="19"/>
                <w:szCs w:val="19"/>
                <w:rtl/>
              </w:rPr>
              <w:t>-</w:t>
            </w:r>
            <w:r w:rsidRPr="00DA4ACE">
              <w:rPr>
                <w:rFonts w:ascii="Tahoma" w:hAnsi="Tahoma" w:cs="Tahoma" w:hint="cs"/>
                <w:b/>
                <w:bCs/>
                <w:sz w:val="19"/>
                <w:szCs w:val="19"/>
                <w:rtl/>
              </w:rPr>
              <w:t xml:space="preserve"> </w:t>
            </w:r>
            <w:r w:rsidRPr="00DA4ACE">
              <w:rPr>
                <w:rFonts w:ascii="Tahoma" w:hAnsi="Tahoma" w:cs="Tahoma" w:hint="cs"/>
                <w:sz w:val="19"/>
                <w:szCs w:val="19"/>
                <w:rtl/>
              </w:rPr>
              <w:t xml:space="preserve">יחידת החקירות של הממונה פועלת בהיקפים מצומצמים ומטפלת במספר קטן של תיקים - כ-20 תיקים בשנה </w:t>
            </w:r>
            <w:r w:rsidRPr="00DA4ACE">
              <w:rPr>
                <w:rFonts w:ascii="Tahoma" w:hAnsi="Tahoma" w:cs="Tahoma" w:hint="eastAsia"/>
                <w:sz w:val="19"/>
                <w:szCs w:val="19"/>
                <w:rtl/>
              </w:rPr>
              <w:t>בלבד</w:t>
            </w:r>
            <w:r w:rsidRPr="00DA4ACE">
              <w:rPr>
                <w:rFonts w:ascii="Tahoma" w:hAnsi="Tahoma" w:cs="Tahoma" w:hint="cs"/>
                <w:sz w:val="19"/>
                <w:szCs w:val="19"/>
                <w:rtl/>
              </w:rPr>
              <w:t xml:space="preserve"> בתקופת הביקורת. משנת 2015 ועד אמצע שנת 2023 טיפלה היחידה בסך הכ</w:t>
            </w:r>
            <w:r w:rsidRPr="00DA4ACE">
              <w:rPr>
                <w:rFonts w:ascii="Tahoma" w:hAnsi="Tahoma" w:cs="Tahoma" w:hint="eastAsia"/>
                <w:sz w:val="19"/>
                <w:szCs w:val="19"/>
                <w:rtl/>
              </w:rPr>
              <w:t>ו</w:t>
            </w:r>
            <w:r w:rsidRPr="00DA4ACE">
              <w:rPr>
                <w:rFonts w:ascii="Tahoma" w:hAnsi="Tahoma" w:cs="Tahoma" w:hint="cs"/>
                <w:sz w:val="19"/>
                <w:szCs w:val="19"/>
                <w:rtl/>
              </w:rPr>
              <w:t>ל בכ-80 תיקים</w:t>
            </w:r>
            <w:r w:rsidRPr="00DA4ACE">
              <w:rPr>
                <w:rFonts w:ascii="Tahoma" w:hAnsi="Tahoma" w:cs="Tahoma"/>
                <w:sz w:val="19"/>
                <w:szCs w:val="19"/>
                <w:rtl/>
              </w:rPr>
              <w:t>.</w:t>
            </w:r>
            <w:r w:rsidRPr="00DA4ACE">
              <w:rPr>
                <w:rFonts w:ascii="Tahoma" w:hAnsi="Tahoma" w:cs="Tahoma" w:hint="cs"/>
                <w:sz w:val="19"/>
                <w:szCs w:val="19"/>
                <w:rtl/>
              </w:rPr>
              <w:t xml:space="preserve"> זאת בשעה שעל פי הערכת הממונה עבירות בתחום חדלות הפירעון מתבצעות בכ-10% מההליכים המתנהלים בנושא - </w:t>
            </w:r>
            <w:r w:rsidRPr="00DA4ACE">
              <w:rPr>
                <w:rFonts w:ascii="Tahoma" w:hAnsi="Tahoma" w:cs="Tahoma" w:hint="eastAsia"/>
                <w:sz w:val="19"/>
                <w:szCs w:val="19"/>
                <w:rtl/>
              </w:rPr>
              <w:t>יותר</w:t>
            </w:r>
            <w:r w:rsidRPr="00DA4ACE">
              <w:rPr>
                <w:rFonts w:ascii="Tahoma" w:hAnsi="Tahoma" w:cs="Tahoma"/>
                <w:sz w:val="19"/>
                <w:szCs w:val="19"/>
                <w:rtl/>
              </w:rPr>
              <w:t xml:space="preserve"> </w:t>
            </w:r>
            <w:r w:rsidRPr="00DA4ACE">
              <w:rPr>
                <w:rFonts w:ascii="Tahoma" w:hAnsi="Tahoma" w:cs="Tahoma" w:hint="eastAsia"/>
                <w:sz w:val="19"/>
                <w:szCs w:val="19"/>
                <w:rtl/>
              </w:rPr>
              <w:t>מ</w:t>
            </w:r>
            <w:r w:rsidRPr="00DA4ACE">
              <w:rPr>
                <w:rFonts w:ascii="Tahoma" w:hAnsi="Tahoma" w:cs="Tahoma"/>
                <w:sz w:val="19"/>
                <w:szCs w:val="19"/>
                <w:rtl/>
              </w:rPr>
              <w:t>-</w:t>
            </w:r>
            <w:r w:rsidRPr="00DA4ACE">
              <w:rPr>
                <w:rFonts w:ascii="Tahoma" w:hAnsi="Tahoma" w:cs="Tahoma" w:hint="cs"/>
                <w:sz w:val="19"/>
                <w:szCs w:val="19"/>
                <w:rtl/>
              </w:rPr>
              <w:t xml:space="preserve">2,000 בשנה, </w:t>
            </w:r>
            <w:r w:rsidRPr="00DA4ACE">
              <w:rPr>
                <w:rFonts w:ascii="Tahoma" w:hAnsi="Tahoma" w:cs="Tahoma" w:hint="eastAsia"/>
                <w:b/>
                <w:bCs/>
                <w:sz w:val="19"/>
                <w:szCs w:val="19"/>
                <w:rtl/>
              </w:rPr>
              <w:t>ו</w:t>
            </w:r>
            <w:r w:rsidRPr="00DA4ACE">
              <w:rPr>
                <w:rFonts w:ascii="Tahoma" w:hAnsi="Tahoma" w:cs="Tahoma" w:hint="cs"/>
                <w:b/>
                <w:bCs/>
                <w:sz w:val="19"/>
                <w:szCs w:val="19"/>
                <w:rtl/>
              </w:rPr>
              <w:t>היקף החובות האבודים שמקורם בעבירות אלו מסתכם בכ-5 מיליארד ש"ח לשנה</w:t>
            </w:r>
            <w:r w:rsidRPr="00DA4ACE">
              <w:rPr>
                <w:rFonts w:ascii="Tahoma" w:hAnsi="Tahoma" w:cs="Tahoma" w:hint="cs"/>
                <w:sz w:val="19"/>
                <w:szCs w:val="19"/>
                <w:rtl/>
              </w:rPr>
              <w:t xml:space="preserve">, בקירוב. פעילות יחידת החקירות בתיקי תאגידים החלה רק בשנת 2023, 4 שנים לאחר שהתאפשרה על פי חוק הקניית סמכויות האכיפה הפלילית בתחום זה לחוקרי הממונה. במצב דברים זה עולה חשש </w:t>
            </w:r>
            <w:r w:rsidRPr="00DA4ACE">
              <w:rPr>
                <w:rFonts w:ascii="Tahoma" w:hAnsi="Tahoma" w:cs="Tahoma"/>
                <w:sz w:val="19"/>
                <w:szCs w:val="19"/>
                <w:rtl/>
              </w:rPr>
              <w:t xml:space="preserve">כי בהיעדר פעילות רחבה ואפקטיבית של הממונה באמצעות יחידת החקירות, נפגעות הן ההרתעה מפני ניצול לרעה של הליכי חדלות פירעון והן יכולת האכיפה בעניין פעילות עבריינית בתחום, בכלל, ובעניין הסתרה או הברחה של נכסים שיכולים לסייע בהגדלת שיעור החוב שיוכלו הנושים לפרוע, בפרט.  </w:t>
            </w:r>
          </w:p>
          <w:p w14:paraId="48A7AD18" w14:textId="77777777" w:rsidR="00DA4ACE" w:rsidRPr="00DA4ACE" w:rsidRDefault="00000000" w:rsidP="00DA4ACE">
            <w:pPr>
              <w:tabs>
                <w:tab w:val="center" w:pos="4153"/>
                <w:tab w:val="right" w:pos="8306"/>
              </w:tabs>
              <w:spacing w:after="240"/>
              <w:ind w:left="454"/>
              <w:rPr>
                <w:rFonts w:ascii="Tahoma" w:hAnsi="Tahoma" w:cs="Tahoma"/>
                <w:b/>
                <w:bCs/>
                <w:sz w:val="19"/>
                <w:szCs w:val="19"/>
              </w:rPr>
            </w:pPr>
            <w:r w:rsidRPr="00DA4ACE">
              <w:rPr>
                <w:rFonts w:ascii="Tahoma" w:hAnsi="Tahoma" w:cs="Tahoma" w:hint="cs"/>
                <w:sz w:val="19"/>
                <w:szCs w:val="19"/>
                <w:rtl/>
              </w:rPr>
              <w:t xml:space="preserve">ביחידת החקירות יש מחסור בכוח אדם - </w:t>
            </w:r>
            <w:r w:rsidRPr="00DA4ACE">
              <w:rPr>
                <w:rFonts w:ascii="Tahoma" w:hAnsi="Tahoma" w:cs="Tahoma" w:hint="cs"/>
                <w:b/>
                <w:bCs/>
                <w:sz w:val="19"/>
                <w:szCs w:val="19"/>
                <w:rtl/>
              </w:rPr>
              <w:t>12 משרות בלבד מאוישות</w:t>
            </w:r>
            <w:r w:rsidRPr="00DA4ACE">
              <w:rPr>
                <w:rFonts w:ascii="Tahoma" w:hAnsi="Tahoma" w:cs="Tahoma" w:hint="cs"/>
                <w:sz w:val="19"/>
                <w:szCs w:val="19"/>
                <w:rtl/>
              </w:rPr>
              <w:t xml:space="preserve"> על ידי חוקרים מתוך 25 תקנים על פי תקינה שנקבע ליחידה במועד הקמתה לפני קרוב לשלושים שנה, זאת </w:t>
            </w:r>
            <w:r w:rsidRPr="00DA4ACE">
              <w:rPr>
                <w:rFonts w:ascii="Tahoma" w:hAnsi="Tahoma" w:cs="Tahoma" w:hint="cs"/>
                <w:b/>
                <w:bCs/>
                <w:sz w:val="19"/>
                <w:szCs w:val="19"/>
                <w:rtl/>
              </w:rPr>
              <w:t>אף שבתקופה זו גדל מספר תיקי חדלות הפירעון באלפי אחוזים</w:t>
            </w:r>
            <w:r w:rsidRPr="00DA4ACE">
              <w:rPr>
                <w:rFonts w:ascii="Tahoma" w:hAnsi="Tahoma" w:cs="Tahoma" w:hint="cs"/>
                <w:sz w:val="19"/>
                <w:szCs w:val="19"/>
                <w:rtl/>
              </w:rPr>
              <w:t xml:space="preserve"> - באמצעים ובמשאבים הנחוצים לה למימוש תפקידיה וייעודה. הממונה מוגבל בהיקף החקירות שביכולתו לנהל ונאלץ לפעול רק בתיקים שבהם הגיע להסכמות על שיתוף פעולה עם יחידה משטרתית ספציפית.</w:t>
            </w:r>
            <w:r w:rsidRPr="00DA4ACE">
              <w:rPr>
                <w:rFonts w:ascii="Tahoma" w:hAnsi="Tahoma" w:cs="Tahoma"/>
                <w:sz w:val="19"/>
                <w:szCs w:val="19"/>
                <w:rtl/>
              </w:rPr>
              <w:t xml:space="preserve"> במצב דברים זה,</w:t>
            </w:r>
            <w:r w:rsidRPr="00DA4ACE">
              <w:rPr>
                <w:rFonts w:ascii="Tahoma" w:hAnsi="Tahoma" w:cs="Tahoma" w:hint="cs"/>
                <w:sz w:val="19"/>
                <w:szCs w:val="19"/>
                <w:rtl/>
              </w:rPr>
              <w:t xml:space="preserve"> כל</w:t>
            </w:r>
            <w:r w:rsidRPr="00DA4ACE">
              <w:rPr>
                <w:rFonts w:ascii="Tahoma" w:hAnsi="Tahoma" w:cs="Tahoma"/>
                <w:sz w:val="19"/>
                <w:szCs w:val="19"/>
                <w:rtl/>
              </w:rPr>
              <w:t xml:space="preserve"> 80 התיקים שטופלו על ידי היחידה מאז שנת 2015 ועד תום הביקורת נחקרו במסגרת שיתוף פעולה עם המשטרה.</w:t>
            </w:r>
          </w:p>
          <w:p w14:paraId="63A85838" w14:textId="77777777" w:rsidR="00DA4ACE" w:rsidRPr="00DA4ACE" w:rsidRDefault="00000000" w:rsidP="00DA4ACE">
            <w:pPr>
              <w:numPr>
                <w:ilvl w:val="0"/>
                <w:numId w:val="21"/>
              </w:numPr>
              <w:tabs>
                <w:tab w:val="center" w:pos="4153"/>
                <w:tab w:val="right" w:pos="8306"/>
              </w:tabs>
              <w:spacing w:after="240"/>
              <w:rPr>
                <w:rFonts w:ascii="Tahoma" w:hAnsi="Tahoma" w:cs="Tahoma"/>
                <w:b/>
                <w:bCs/>
                <w:sz w:val="19"/>
                <w:szCs w:val="19"/>
              </w:rPr>
            </w:pPr>
            <w:r w:rsidRPr="00DA4ACE">
              <w:rPr>
                <w:rFonts w:ascii="Tahoma" w:hAnsi="Tahoma" w:cs="Tahoma" w:hint="cs"/>
                <w:b/>
                <w:bCs/>
                <w:sz w:val="19"/>
                <w:szCs w:val="19"/>
                <w:rtl/>
              </w:rPr>
              <w:t xml:space="preserve">איסוף מודיעין ומיקוד מאמצי חקירה - </w:t>
            </w:r>
            <w:r w:rsidRPr="00DA4ACE">
              <w:rPr>
                <w:rFonts w:ascii="Tahoma" w:hAnsi="Tahoma" w:cs="Tahoma" w:hint="cs"/>
                <w:sz w:val="19"/>
                <w:szCs w:val="19"/>
                <w:rtl/>
              </w:rPr>
              <w:t xml:space="preserve">פעילות הממונה בתחום המודיעין מצומצמת ביותר ולרשות חולית המודיעין לא עומדים אמצעים ומערכות טכנולוגיות לאיסוף ולניתוח של מודיעין, הדרושים לפעילותה. בנסיבות אלו מוגבלת היכולת של הממונה למקד פעילות חקירתית בהתבסס על מודיעין. </w:t>
            </w:r>
          </w:p>
          <w:p w14:paraId="4C4D48C4"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היקף תוכנית ההכשרה להתנהלות כלכלית נכונה -</w:t>
            </w:r>
            <w:r w:rsidRPr="00DA4ACE">
              <w:rPr>
                <w:rFonts w:ascii="Tahoma" w:hAnsi="Tahoma" w:cs="Tahoma" w:hint="cs"/>
                <w:sz w:val="19"/>
                <w:szCs w:val="19"/>
                <w:rtl/>
              </w:rPr>
              <w:t xml:space="preserve"> נכון ליוני 2023, כמעט ארבע שנים לאחר כניסתו של חוק חדל"פ לתוקף, </w:t>
            </w:r>
            <w:r w:rsidRPr="00DA4ACE">
              <w:rPr>
                <w:rFonts w:ascii="Tahoma" w:hAnsi="Tahoma" w:cs="Tahoma" w:hint="cs"/>
                <w:b/>
                <w:bCs/>
                <w:sz w:val="19"/>
                <w:szCs w:val="19"/>
                <w:rtl/>
              </w:rPr>
              <w:t xml:space="preserve">השלימו את תוכנית ההכשרה הכלכלית </w:t>
            </w:r>
            <w:r w:rsidRPr="00DA4ACE">
              <w:rPr>
                <w:rFonts w:ascii="Tahoma" w:hAnsi="Tahoma" w:cs="Tahoma" w:hint="eastAsia"/>
                <w:b/>
                <w:bCs/>
                <w:sz w:val="19"/>
                <w:szCs w:val="19"/>
                <w:rtl/>
              </w:rPr>
              <w:t>כ</w:t>
            </w:r>
            <w:r w:rsidRPr="00DA4ACE">
              <w:rPr>
                <w:rFonts w:ascii="Tahoma" w:hAnsi="Tahoma" w:cs="Tahoma"/>
                <w:b/>
                <w:bCs/>
                <w:sz w:val="19"/>
                <w:szCs w:val="19"/>
                <w:rtl/>
              </w:rPr>
              <w:t xml:space="preserve">-850 </w:t>
            </w:r>
            <w:r w:rsidRPr="00DA4ACE">
              <w:rPr>
                <w:rFonts w:ascii="Tahoma" w:hAnsi="Tahoma" w:cs="Tahoma" w:hint="eastAsia"/>
                <w:b/>
                <w:bCs/>
                <w:sz w:val="19"/>
                <w:szCs w:val="19"/>
                <w:rtl/>
              </w:rPr>
              <w:t>חייבים</w:t>
            </w:r>
            <w:r w:rsidRPr="00DA4ACE">
              <w:rPr>
                <w:rFonts w:ascii="Tahoma" w:hAnsi="Tahoma" w:cs="Tahoma"/>
                <w:b/>
                <w:bCs/>
                <w:sz w:val="19"/>
                <w:szCs w:val="19"/>
                <w:rtl/>
              </w:rPr>
              <w:t xml:space="preserve"> </w:t>
            </w:r>
            <w:r w:rsidRPr="00DA4ACE">
              <w:rPr>
                <w:rFonts w:ascii="Tahoma" w:hAnsi="Tahoma" w:cs="Tahoma" w:hint="eastAsia"/>
                <w:b/>
                <w:bCs/>
                <w:sz w:val="19"/>
                <w:szCs w:val="19"/>
                <w:rtl/>
              </w:rPr>
              <w:t>בלבד</w:t>
            </w:r>
            <w:r w:rsidRPr="00DA4ACE">
              <w:rPr>
                <w:rFonts w:ascii="Tahoma" w:hAnsi="Tahoma" w:cs="Tahoma"/>
                <w:b/>
                <w:bCs/>
                <w:sz w:val="19"/>
                <w:szCs w:val="19"/>
                <w:rtl/>
              </w:rPr>
              <w:t>,</w:t>
            </w:r>
            <w:r w:rsidRPr="00DA4ACE">
              <w:rPr>
                <w:rFonts w:ascii="Tahoma" w:hAnsi="Tahoma" w:cs="Tahoma" w:hint="cs"/>
                <w:b/>
                <w:bCs/>
                <w:sz w:val="19"/>
                <w:szCs w:val="19"/>
                <w:rtl/>
              </w:rPr>
              <w:t xml:space="preserve"> </w:t>
            </w:r>
            <w:r w:rsidRPr="00DA4ACE">
              <w:rPr>
                <w:rFonts w:ascii="Tahoma" w:hAnsi="Tahoma" w:cs="Tahoma" w:hint="eastAsia"/>
                <w:b/>
                <w:bCs/>
                <w:sz w:val="19"/>
                <w:szCs w:val="19"/>
                <w:rtl/>
              </w:rPr>
              <w:t>ששיעורם</w:t>
            </w:r>
            <w:r w:rsidRPr="00DA4ACE">
              <w:rPr>
                <w:rFonts w:ascii="Tahoma" w:hAnsi="Tahoma" w:cs="Tahoma" w:hint="cs"/>
                <w:b/>
                <w:bCs/>
                <w:sz w:val="19"/>
                <w:szCs w:val="19"/>
                <w:rtl/>
              </w:rPr>
              <w:t xml:space="preserve"> פחות </w:t>
            </w:r>
            <w:r w:rsidRPr="00DA4ACE">
              <w:rPr>
                <w:rFonts w:ascii="Tahoma" w:hAnsi="Tahoma" w:cs="Tahoma" w:hint="eastAsia"/>
                <w:b/>
                <w:bCs/>
                <w:sz w:val="19"/>
                <w:szCs w:val="19"/>
                <w:rtl/>
              </w:rPr>
              <w:t>מ</w:t>
            </w:r>
            <w:r w:rsidRPr="00DA4ACE">
              <w:rPr>
                <w:rFonts w:ascii="Tahoma" w:hAnsi="Tahoma" w:cs="Tahoma"/>
                <w:b/>
                <w:bCs/>
                <w:sz w:val="19"/>
                <w:szCs w:val="19"/>
                <w:rtl/>
              </w:rPr>
              <w:t>-3%</w:t>
            </w:r>
            <w:r w:rsidRPr="00DA4ACE">
              <w:rPr>
                <w:rFonts w:ascii="Tahoma" w:hAnsi="Tahoma" w:cs="Tahoma" w:hint="cs"/>
                <w:b/>
                <w:bCs/>
                <w:sz w:val="19"/>
                <w:szCs w:val="19"/>
                <w:rtl/>
              </w:rPr>
              <w:t xml:space="preserve"> מכלל החייבים אשר ההכשרה הייתה רלוונטית בעניינם</w:t>
            </w:r>
            <w:r w:rsidRPr="00DA4ACE">
              <w:rPr>
                <w:rFonts w:ascii="Tahoma" w:hAnsi="Tahoma" w:cs="Tahoma" w:hint="cs"/>
                <w:sz w:val="19"/>
                <w:szCs w:val="19"/>
                <w:rtl/>
              </w:rPr>
              <w:t xml:space="preserve"> במהלך תקופה זו (מוערך בכ-37,500 חייבים). נתונים אלה מעידים שתוכניות לשיקום כלכלי, לרבות תכנית להכשרה להתנהלות כלכלית נכונה על פי דין, שהחלה לפעול במרץ 2021 - כשנה וחצי לאחר כניסת חוק חדל"פ לתוקף אשר העמיד את שיקומו של החייב כתכלית מרכזית - </w:t>
            </w:r>
            <w:r w:rsidRPr="00DA4ACE">
              <w:rPr>
                <w:rFonts w:ascii="Tahoma" w:hAnsi="Tahoma" w:cs="Tahoma" w:hint="cs"/>
                <w:b/>
                <w:bCs/>
                <w:sz w:val="19"/>
                <w:szCs w:val="19"/>
                <w:rtl/>
              </w:rPr>
              <w:t>פועלות במתכונת מוגבלת,</w:t>
            </w:r>
            <w:r w:rsidRPr="00DA4ACE">
              <w:rPr>
                <w:rFonts w:ascii="Tahoma" w:hAnsi="Tahoma" w:cs="Tahoma"/>
                <w:b/>
                <w:bCs/>
                <w:sz w:val="19"/>
                <w:szCs w:val="19"/>
                <w:rtl/>
              </w:rPr>
              <w:t xml:space="preserve"> תוך הקצאת </w:t>
            </w:r>
            <w:r w:rsidRPr="00DA4ACE">
              <w:rPr>
                <w:rFonts w:ascii="Tahoma" w:hAnsi="Tahoma" w:cs="Tahoma" w:hint="cs"/>
                <w:b/>
                <w:bCs/>
                <w:sz w:val="19"/>
                <w:szCs w:val="19"/>
                <w:rtl/>
              </w:rPr>
              <w:t>משאבים</w:t>
            </w:r>
            <w:r w:rsidRPr="00DA4ACE">
              <w:rPr>
                <w:rFonts w:ascii="Tahoma" w:hAnsi="Tahoma" w:cs="Tahoma"/>
                <w:b/>
                <w:bCs/>
                <w:sz w:val="19"/>
                <w:szCs w:val="19"/>
                <w:rtl/>
              </w:rPr>
              <w:t xml:space="preserve"> בהיקף מצומצם</w:t>
            </w:r>
            <w:r w:rsidRPr="00DA4ACE">
              <w:rPr>
                <w:rFonts w:ascii="Tahoma" w:hAnsi="Tahoma" w:cs="Tahoma"/>
                <w:sz w:val="19"/>
                <w:szCs w:val="19"/>
                <w:rtl/>
              </w:rPr>
              <w:t>. כל אלו השליכו ישירות על שיעור היישום הנמוך כאמור של ת</w:t>
            </w:r>
            <w:r w:rsidRPr="00DA4ACE">
              <w:rPr>
                <w:rFonts w:ascii="Tahoma" w:hAnsi="Tahoma" w:cs="Tahoma" w:hint="cs"/>
                <w:sz w:val="19"/>
                <w:szCs w:val="19"/>
                <w:rtl/>
              </w:rPr>
              <w:t>ו</w:t>
            </w:r>
            <w:r w:rsidRPr="00DA4ACE">
              <w:rPr>
                <w:rFonts w:ascii="Tahoma" w:hAnsi="Tahoma" w:cs="Tahoma"/>
                <w:sz w:val="19"/>
                <w:szCs w:val="19"/>
                <w:rtl/>
              </w:rPr>
              <w:t>כניות ההכשרה</w:t>
            </w:r>
            <w:r w:rsidRPr="00DA4ACE">
              <w:rPr>
                <w:rFonts w:ascii="Tahoma" w:hAnsi="Tahoma" w:cs="Tahoma" w:hint="cs"/>
                <w:sz w:val="19"/>
                <w:szCs w:val="19"/>
                <w:rtl/>
              </w:rPr>
              <w:t>.</w:t>
            </w:r>
          </w:p>
          <w:p w14:paraId="4BED5AAC"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 xml:space="preserve">מערכת המחשוב בממונה </w:t>
            </w:r>
            <w:r w:rsidRPr="00DA4ACE">
              <w:rPr>
                <w:rFonts w:ascii="Tahoma" w:hAnsi="Tahoma" w:cs="Tahoma" w:hint="cs"/>
                <w:sz w:val="19"/>
                <w:szCs w:val="19"/>
                <w:rtl/>
              </w:rPr>
              <w:t xml:space="preserve">- </w:t>
            </w:r>
            <w:r w:rsidRPr="00DA4ACE">
              <w:rPr>
                <w:rFonts w:ascii="Tahoma" w:hAnsi="Tahoma" w:cs="Tahoma"/>
                <w:sz w:val="19"/>
                <w:szCs w:val="19"/>
                <w:rtl/>
              </w:rPr>
              <w:t xml:space="preserve">מערכות המחשוב אינן מותאמות לצורכי הארגון </w:t>
            </w:r>
            <w:r w:rsidRPr="00DA4ACE">
              <w:rPr>
                <w:rFonts w:ascii="Tahoma" w:hAnsi="Tahoma" w:cs="Tahoma" w:hint="cs"/>
                <w:sz w:val="19"/>
                <w:szCs w:val="19"/>
                <w:rtl/>
              </w:rPr>
              <w:t>ולכן עובדי הממונה נאלצים לעבוד באופן ידני</w:t>
            </w:r>
            <w:r w:rsidRPr="00DA4ACE">
              <w:rPr>
                <w:rFonts w:ascii="Tahoma" w:hAnsi="Tahoma" w:cs="Tahoma"/>
                <w:sz w:val="19"/>
                <w:szCs w:val="19"/>
                <w:rtl/>
              </w:rPr>
              <w:t>,</w:t>
            </w:r>
            <w:r w:rsidRPr="00DA4ACE">
              <w:rPr>
                <w:rFonts w:ascii="Tahoma" w:hAnsi="Tahoma" w:cs="Tahoma" w:hint="cs"/>
                <w:sz w:val="19"/>
                <w:szCs w:val="19"/>
                <w:rtl/>
              </w:rPr>
              <w:t xml:space="preserve"> דבר אשר </w:t>
            </w:r>
            <w:r w:rsidRPr="00DA4ACE">
              <w:rPr>
                <w:rFonts w:ascii="Tahoma" w:hAnsi="Tahoma" w:cs="Tahoma"/>
                <w:sz w:val="19"/>
                <w:szCs w:val="19"/>
                <w:rtl/>
              </w:rPr>
              <w:t>גוזל זמן רב</w:t>
            </w:r>
            <w:r w:rsidRPr="00DA4ACE">
              <w:rPr>
                <w:rFonts w:ascii="Tahoma" w:hAnsi="Tahoma" w:cs="Tahoma" w:hint="cs"/>
                <w:sz w:val="19"/>
                <w:szCs w:val="19"/>
                <w:rtl/>
              </w:rPr>
              <w:t xml:space="preserve">, </w:t>
            </w:r>
            <w:r w:rsidRPr="00DA4ACE">
              <w:rPr>
                <w:rFonts w:ascii="Tahoma" w:hAnsi="Tahoma" w:cs="Tahoma"/>
                <w:sz w:val="19"/>
                <w:szCs w:val="19"/>
                <w:rtl/>
              </w:rPr>
              <w:t>אינ</w:t>
            </w:r>
            <w:r w:rsidRPr="00DA4ACE">
              <w:rPr>
                <w:rFonts w:ascii="Tahoma" w:hAnsi="Tahoma" w:cs="Tahoma" w:hint="cs"/>
                <w:sz w:val="19"/>
                <w:szCs w:val="19"/>
                <w:rtl/>
              </w:rPr>
              <w:t>ו</w:t>
            </w:r>
            <w:r w:rsidRPr="00DA4ACE">
              <w:rPr>
                <w:rFonts w:ascii="Tahoma" w:hAnsi="Tahoma" w:cs="Tahoma"/>
                <w:sz w:val="19"/>
                <w:szCs w:val="19"/>
                <w:rtl/>
              </w:rPr>
              <w:t xml:space="preserve"> יעיל</w:t>
            </w:r>
            <w:r w:rsidRPr="00DA4ACE">
              <w:rPr>
                <w:rFonts w:ascii="Tahoma" w:hAnsi="Tahoma" w:cs="Tahoma" w:hint="cs"/>
                <w:sz w:val="19"/>
                <w:szCs w:val="19"/>
                <w:rtl/>
              </w:rPr>
              <w:t xml:space="preserve"> וחשוף</w:t>
            </w:r>
            <w:r w:rsidRPr="00DA4ACE">
              <w:rPr>
                <w:rFonts w:ascii="Tahoma" w:hAnsi="Tahoma" w:cs="Tahoma"/>
                <w:sz w:val="19"/>
                <w:szCs w:val="19"/>
                <w:rtl/>
              </w:rPr>
              <w:t xml:space="preserve"> לטעויות אנוש בהקלדת הנתונים ולשליפת נתונים שאינם מעודכנים כנדרש</w:t>
            </w:r>
            <w:r w:rsidRPr="00DA4ACE">
              <w:rPr>
                <w:rFonts w:ascii="Tahoma" w:hAnsi="Tahoma" w:cs="Tahoma" w:hint="cs"/>
                <w:sz w:val="19"/>
                <w:szCs w:val="19"/>
                <w:rtl/>
              </w:rPr>
              <w:t xml:space="preserve">; </w:t>
            </w:r>
            <w:r w:rsidRPr="00DA4ACE">
              <w:rPr>
                <w:rFonts w:ascii="Tahoma" w:hAnsi="Tahoma" w:cs="Tahoma"/>
                <w:sz w:val="19"/>
                <w:szCs w:val="19"/>
                <w:rtl/>
              </w:rPr>
              <w:t>ואינן מאפשרות מתן מענה הולם ויסודי על צרכים אלה.</w:t>
            </w:r>
            <w:r w:rsidRPr="00DA4ACE">
              <w:rPr>
                <w:rFonts w:ascii="Tahoma" w:hAnsi="Tahoma" w:cs="Tahoma" w:hint="cs"/>
                <w:sz w:val="19"/>
                <w:szCs w:val="19"/>
                <w:rtl/>
              </w:rPr>
              <w:t xml:space="preserve"> משכך</w:t>
            </w:r>
            <w:r w:rsidRPr="00DA4ACE">
              <w:rPr>
                <w:rFonts w:ascii="Tahoma" w:hAnsi="Tahoma" w:cs="Tahoma"/>
                <w:sz w:val="19"/>
                <w:szCs w:val="19"/>
                <w:rtl/>
              </w:rPr>
              <w:t xml:space="preserve">, </w:t>
            </w:r>
            <w:r w:rsidRPr="00DA4ACE">
              <w:rPr>
                <w:rFonts w:ascii="Tahoma" w:hAnsi="Tahoma" w:cs="Tahoma"/>
                <w:b/>
                <w:bCs/>
                <w:sz w:val="19"/>
                <w:szCs w:val="19"/>
                <w:rtl/>
              </w:rPr>
              <w:t>קיים סיכון לפגיעה ואף לשיתוק של פעילות הממונה בניהול כ-60,000 תיקים, באופן שעלול להשפיע, להערכת הממונה, על המשק העסקי-כלכלי במדינת ישראל.</w:t>
            </w:r>
            <w:r w:rsidRPr="00DA4ACE">
              <w:rPr>
                <w:rFonts w:ascii="Tahoma" w:hAnsi="Tahoma" w:cs="Tahoma" w:hint="cs"/>
                <w:sz w:val="19"/>
                <w:szCs w:val="19"/>
                <w:rtl/>
              </w:rPr>
              <w:t xml:space="preserve"> </w:t>
            </w:r>
            <w:r w:rsidRPr="00DA4ACE">
              <w:rPr>
                <w:rFonts w:ascii="Tahoma" w:hAnsi="Tahoma" w:cs="Tahoma"/>
                <w:sz w:val="19"/>
                <w:szCs w:val="19"/>
                <w:rtl/>
              </w:rPr>
              <w:t>מאז החלטת משרד המשפטים והממונה בשנת 2017 לפתח מערכת מחשוב חדשה עבור הממונה,</w:t>
            </w:r>
            <w:r w:rsidRPr="00DA4ACE">
              <w:rPr>
                <w:rFonts w:ascii="Tahoma" w:hAnsi="Tahoma" w:cs="Tahoma" w:hint="cs"/>
                <w:sz w:val="19"/>
                <w:szCs w:val="19"/>
                <w:rtl/>
              </w:rPr>
              <w:t xml:space="preserve"> </w:t>
            </w:r>
            <w:r w:rsidRPr="00DA4ACE">
              <w:rPr>
                <w:rFonts w:ascii="Tahoma" w:hAnsi="Tahoma" w:cs="Tahoma"/>
                <w:sz w:val="19"/>
                <w:szCs w:val="19"/>
                <w:rtl/>
              </w:rPr>
              <w:t>לא קודם פרויקט פיתוח המערכת החדשה.</w:t>
            </w:r>
            <w:r w:rsidRPr="00DA4ACE">
              <w:rPr>
                <w:rFonts w:ascii="Tahoma" w:hAnsi="Tahoma" w:cs="Tahoma" w:hint="cs"/>
                <w:sz w:val="19"/>
                <w:szCs w:val="19"/>
                <w:rtl/>
              </w:rPr>
              <w:t xml:space="preserve"> </w:t>
            </w:r>
          </w:p>
          <w:p w14:paraId="6BBC5FA9" w14:textId="77777777" w:rsidR="00DA4ACE" w:rsidRP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sz w:val="19"/>
                <w:szCs w:val="19"/>
                <w:rtl/>
              </w:rPr>
              <w:t>במערכות המחשוב של הממונה שמונה מאגרי מידע המצויים במערכות נפרדות שאינן מסונכרנות באופן שוטף זו עם זו</w:t>
            </w:r>
            <w:r w:rsidRPr="00DA4ACE">
              <w:rPr>
                <w:rFonts w:ascii="Tahoma" w:hAnsi="Tahoma" w:cs="Tahoma" w:hint="cs"/>
                <w:sz w:val="19"/>
                <w:szCs w:val="19"/>
                <w:rtl/>
              </w:rPr>
              <w:t xml:space="preserve">, </w:t>
            </w:r>
            <w:r w:rsidRPr="00DA4ACE">
              <w:rPr>
                <w:rFonts w:ascii="Tahoma" w:hAnsi="Tahoma" w:cs="Tahoma"/>
                <w:sz w:val="19"/>
                <w:szCs w:val="19"/>
                <w:rtl/>
              </w:rPr>
              <w:t>דבר המונע העברה ושיתוף</w:t>
            </w:r>
            <w:r w:rsidRPr="00DA4ACE">
              <w:rPr>
                <w:rFonts w:ascii="Tahoma" w:hAnsi="Tahoma" w:cs="Tahoma" w:hint="cs"/>
                <w:sz w:val="19"/>
                <w:szCs w:val="19"/>
                <w:rtl/>
              </w:rPr>
              <w:t xml:space="preserve"> </w:t>
            </w:r>
            <w:r w:rsidRPr="00DA4ACE">
              <w:rPr>
                <w:rFonts w:ascii="Tahoma" w:hAnsi="Tahoma" w:cs="Tahoma" w:hint="eastAsia"/>
                <w:sz w:val="19"/>
                <w:szCs w:val="19"/>
                <w:rtl/>
              </w:rPr>
              <w:t>של</w:t>
            </w:r>
            <w:r w:rsidRPr="00DA4ACE">
              <w:rPr>
                <w:rFonts w:ascii="Tahoma" w:hAnsi="Tahoma" w:cs="Tahoma"/>
                <w:sz w:val="19"/>
                <w:szCs w:val="19"/>
                <w:rtl/>
              </w:rPr>
              <w:t xml:space="preserve"> מידע בין מערכות ומקשה את גיבושה של תמונת מצב כלל-ארצית, יוצר סיכון לעיוות מידע, מגביר את מורכבות התחזוקה ועלול לגרום לטיפול לא יעיל בתיקים.</w:t>
            </w:r>
            <w:r w:rsidRPr="00DA4ACE">
              <w:rPr>
                <w:rFonts w:ascii="Tahoma" w:hAnsi="Tahoma" w:cs="Tahoma" w:hint="cs"/>
                <w:sz w:val="19"/>
                <w:szCs w:val="19"/>
                <w:rtl/>
              </w:rPr>
              <w:t xml:space="preserve"> יצוין כי </w:t>
            </w:r>
            <w:r w:rsidRPr="00DA4ACE">
              <w:rPr>
                <w:rFonts w:ascii="Tahoma" w:hAnsi="Tahoma" w:cs="Tahoma"/>
                <w:sz w:val="19"/>
                <w:szCs w:val="19"/>
                <w:rtl/>
              </w:rPr>
              <w:t>הצורך בתיקון המתווה של מערכות המחשוב של האגף הועלה כבר בשנת 1996 בדוח ועדת אברהמי</w:t>
            </w:r>
            <w:r w:rsidRPr="00DA4ACE">
              <w:rPr>
                <w:rFonts w:ascii="Tahoma" w:hAnsi="Tahoma" w:cs="Tahoma" w:hint="cs"/>
                <w:sz w:val="19"/>
                <w:szCs w:val="19"/>
                <w:rtl/>
              </w:rPr>
              <w:t>.</w:t>
            </w:r>
          </w:p>
          <w:p w14:paraId="34AEB4CE"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b/>
                <w:bCs/>
                <w:sz w:val="19"/>
                <w:szCs w:val="19"/>
                <w:rtl/>
              </w:rPr>
              <w:t>איסוף מידע ונתונים</w:t>
            </w:r>
            <w:r w:rsidRPr="00DA4ACE">
              <w:rPr>
                <w:rFonts w:ascii="Tahoma" w:hAnsi="Tahoma" w:cs="Tahoma" w:hint="cs"/>
                <w:b/>
                <w:bCs/>
                <w:sz w:val="19"/>
                <w:szCs w:val="19"/>
                <w:rtl/>
              </w:rPr>
              <w:t xml:space="preserve"> ומחקר</w:t>
            </w:r>
            <w:r w:rsidRPr="00DA4ACE">
              <w:rPr>
                <w:rFonts w:ascii="Tahoma" w:hAnsi="Tahoma" w:cs="Tahoma"/>
                <w:b/>
                <w:bCs/>
                <w:sz w:val="19"/>
                <w:szCs w:val="19"/>
                <w:rtl/>
              </w:rPr>
              <w:t xml:space="preserve"> </w:t>
            </w:r>
            <w:r w:rsidRPr="00DA4ACE">
              <w:rPr>
                <w:rFonts w:ascii="Tahoma" w:hAnsi="Tahoma" w:cs="Tahoma" w:hint="cs"/>
                <w:b/>
                <w:bCs/>
                <w:sz w:val="19"/>
                <w:szCs w:val="19"/>
                <w:rtl/>
              </w:rPr>
              <w:t xml:space="preserve">ליישום חוק </w:t>
            </w:r>
            <w:r w:rsidRPr="00DA4ACE">
              <w:rPr>
                <w:rFonts w:ascii="Tahoma" w:hAnsi="Tahoma" w:cs="Tahoma"/>
                <w:b/>
                <w:bCs/>
                <w:sz w:val="19"/>
                <w:szCs w:val="19"/>
                <w:rtl/>
              </w:rPr>
              <w:t>חדלות פירעון ושיקום כלכלי</w:t>
            </w:r>
            <w:r w:rsidRPr="00DA4ACE">
              <w:rPr>
                <w:rFonts w:ascii="Tahoma" w:hAnsi="Tahoma" w:cs="Tahoma" w:hint="cs"/>
                <w:sz w:val="19"/>
                <w:szCs w:val="19"/>
                <w:rtl/>
              </w:rPr>
              <w:t xml:space="preserve"> - </w:t>
            </w:r>
            <w:r w:rsidRPr="00DA4ACE">
              <w:rPr>
                <w:rFonts w:ascii="Tahoma" w:hAnsi="Tahoma" w:cs="Tahoma"/>
                <w:sz w:val="19"/>
                <w:szCs w:val="19"/>
                <w:rtl/>
              </w:rPr>
              <w:t xml:space="preserve">הממונה אינו מבצע מחקרים יזומים בתחום הליכי חדלות פירעון, </w:t>
            </w:r>
            <w:r w:rsidRPr="00DA4ACE">
              <w:rPr>
                <w:rFonts w:ascii="Tahoma" w:hAnsi="Tahoma" w:cs="Tahoma" w:hint="cs"/>
                <w:sz w:val="19"/>
                <w:szCs w:val="19"/>
                <w:rtl/>
              </w:rPr>
              <w:t>וזאת בניגוד להוראות חוק חדל"פ,</w:t>
            </w:r>
            <w:r w:rsidRPr="00DA4ACE">
              <w:rPr>
                <w:rFonts w:ascii="Tahoma" w:hAnsi="Tahoma" w:cs="Tahoma"/>
                <w:sz w:val="19"/>
                <w:szCs w:val="19"/>
                <w:rtl/>
              </w:rPr>
              <w:t xml:space="preserve"> ובפרט בתחומי ליבת עיסוקו: שיקום כלכלי, צווי תשלומים, הנחיית נאמנים ופיקוח עליהם, ואין גורם ייעודי בממונה בעל הכשרה בתחום המחקר המתאים לעיסוק בתחום זה</w:t>
            </w:r>
            <w:r w:rsidRPr="00DA4ACE">
              <w:rPr>
                <w:rFonts w:ascii="Tahoma" w:hAnsi="Tahoma" w:cs="Tahoma" w:hint="cs"/>
                <w:sz w:val="19"/>
                <w:szCs w:val="19"/>
                <w:rtl/>
              </w:rPr>
              <w:t xml:space="preserve">. </w:t>
            </w:r>
            <w:r w:rsidRPr="00DA4ACE">
              <w:rPr>
                <w:rFonts w:ascii="Tahoma" w:hAnsi="Tahoma" w:cs="Tahoma" w:hint="eastAsia"/>
                <w:sz w:val="19"/>
                <w:szCs w:val="19"/>
                <w:rtl/>
              </w:rPr>
              <w:t>כמו</w:t>
            </w:r>
            <w:r w:rsidRPr="00DA4ACE">
              <w:rPr>
                <w:rFonts w:ascii="Tahoma" w:hAnsi="Tahoma" w:cs="Tahoma"/>
                <w:sz w:val="19"/>
                <w:szCs w:val="19"/>
                <w:rtl/>
              </w:rPr>
              <w:t xml:space="preserve"> </w:t>
            </w:r>
            <w:r w:rsidRPr="00DA4ACE">
              <w:rPr>
                <w:rFonts w:ascii="Tahoma" w:hAnsi="Tahoma" w:cs="Tahoma" w:hint="eastAsia"/>
                <w:sz w:val="19"/>
                <w:szCs w:val="19"/>
                <w:rtl/>
              </w:rPr>
              <w:t>כן</w:t>
            </w:r>
            <w:r w:rsidRPr="00DA4ACE">
              <w:rPr>
                <w:rFonts w:ascii="Tahoma" w:hAnsi="Tahoma" w:cs="Tahoma" w:hint="cs"/>
                <w:sz w:val="19"/>
                <w:szCs w:val="19"/>
                <w:rtl/>
              </w:rPr>
              <w:t xml:space="preserve">, משרד המשפטים לא ביצע מחקר שילווה את יישום הוראות חוק חדל"פ; </w:t>
            </w:r>
            <w:r w:rsidRPr="00DA4ACE">
              <w:rPr>
                <w:rFonts w:ascii="Tahoma" w:hAnsi="Tahoma" w:cs="Tahoma" w:hint="eastAsia"/>
                <w:sz w:val="19"/>
                <w:szCs w:val="19"/>
                <w:rtl/>
              </w:rPr>
              <w:t>אומנם</w:t>
            </w:r>
            <w:r w:rsidRPr="00DA4ACE">
              <w:rPr>
                <w:rFonts w:ascii="Tahoma" w:hAnsi="Tahoma" w:cs="Tahoma"/>
                <w:sz w:val="19"/>
                <w:szCs w:val="19"/>
                <w:rtl/>
              </w:rPr>
              <w:t xml:space="preserve"> </w:t>
            </w:r>
            <w:r w:rsidRPr="00DA4ACE">
              <w:rPr>
                <w:rFonts w:ascii="Tahoma" w:hAnsi="Tahoma" w:cs="Tahoma" w:hint="eastAsia"/>
                <w:sz w:val="19"/>
                <w:szCs w:val="19"/>
                <w:rtl/>
              </w:rPr>
              <w:t>משרד</w:t>
            </w:r>
            <w:r w:rsidRPr="00DA4ACE">
              <w:rPr>
                <w:rFonts w:ascii="Tahoma" w:hAnsi="Tahoma" w:cs="Tahoma"/>
                <w:sz w:val="19"/>
                <w:szCs w:val="19"/>
                <w:rtl/>
              </w:rPr>
              <w:t xml:space="preserve"> </w:t>
            </w:r>
            <w:r w:rsidRPr="00DA4ACE">
              <w:rPr>
                <w:rFonts w:ascii="Tahoma" w:hAnsi="Tahoma" w:cs="Tahoma" w:hint="eastAsia"/>
                <w:sz w:val="19"/>
                <w:szCs w:val="19"/>
                <w:rtl/>
              </w:rPr>
              <w:t>המשפטים</w:t>
            </w:r>
            <w:r w:rsidRPr="00DA4ACE">
              <w:rPr>
                <w:rFonts w:ascii="Tahoma" w:hAnsi="Tahoma" w:cs="Tahoma"/>
                <w:sz w:val="19"/>
                <w:szCs w:val="19"/>
                <w:rtl/>
              </w:rPr>
              <w:t xml:space="preserve"> </w:t>
            </w:r>
            <w:r w:rsidRPr="00DA4ACE">
              <w:rPr>
                <w:rFonts w:ascii="Tahoma" w:hAnsi="Tahoma" w:cs="Tahoma" w:hint="eastAsia"/>
                <w:sz w:val="19"/>
                <w:szCs w:val="19"/>
                <w:rtl/>
              </w:rPr>
              <w:t>יזם</w:t>
            </w:r>
            <w:r w:rsidRPr="00DA4ACE">
              <w:rPr>
                <w:rFonts w:ascii="Tahoma" w:hAnsi="Tahoma" w:cs="Tahoma"/>
                <w:sz w:val="19"/>
                <w:szCs w:val="19"/>
                <w:rtl/>
              </w:rPr>
              <w:t xml:space="preserve"> </w:t>
            </w:r>
            <w:r w:rsidRPr="00DA4ACE">
              <w:rPr>
                <w:rFonts w:ascii="Tahoma" w:hAnsi="Tahoma" w:cs="Tahoma" w:hint="eastAsia"/>
                <w:sz w:val="19"/>
                <w:szCs w:val="19"/>
                <w:rtl/>
              </w:rPr>
              <w:t>את</w:t>
            </w:r>
            <w:r w:rsidRPr="00DA4ACE">
              <w:rPr>
                <w:rFonts w:ascii="Tahoma" w:hAnsi="Tahoma" w:cs="Tahoma"/>
                <w:sz w:val="19"/>
                <w:szCs w:val="19"/>
                <w:rtl/>
              </w:rPr>
              <w:t xml:space="preserve"> </w:t>
            </w:r>
            <w:r w:rsidRPr="00DA4ACE">
              <w:rPr>
                <w:rFonts w:ascii="Tahoma" w:hAnsi="Tahoma" w:cs="Tahoma" w:hint="eastAsia"/>
                <w:sz w:val="19"/>
                <w:szCs w:val="19"/>
                <w:rtl/>
              </w:rPr>
              <w:t>ביצוע</w:t>
            </w:r>
            <w:r w:rsidRPr="00DA4ACE">
              <w:rPr>
                <w:rFonts w:ascii="Tahoma" w:hAnsi="Tahoma" w:cs="Tahoma"/>
                <w:sz w:val="19"/>
                <w:szCs w:val="19"/>
                <w:rtl/>
              </w:rPr>
              <w:t xml:space="preserve"> </w:t>
            </w:r>
            <w:r w:rsidRPr="00DA4ACE">
              <w:rPr>
                <w:rFonts w:ascii="Tahoma" w:hAnsi="Tahoma" w:cs="Tahoma" w:hint="eastAsia"/>
                <w:sz w:val="19"/>
                <w:szCs w:val="19"/>
                <w:rtl/>
              </w:rPr>
              <w:t>המחקר</w:t>
            </w:r>
            <w:r w:rsidRPr="00DA4ACE">
              <w:rPr>
                <w:rFonts w:ascii="Tahoma" w:hAnsi="Tahoma" w:cs="Tahoma"/>
                <w:sz w:val="19"/>
                <w:szCs w:val="19"/>
                <w:rtl/>
              </w:rPr>
              <w:t xml:space="preserve"> </w:t>
            </w:r>
            <w:r w:rsidRPr="00DA4ACE">
              <w:rPr>
                <w:rFonts w:ascii="Tahoma" w:hAnsi="Tahoma" w:cs="Tahoma" w:hint="eastAsia"/>
                <w:sz w:val="19"/>
                <w:szCs w:val="19"/>
                <w:rtl/>
              </w:rPr>
              <w:t>והתקשר</w:t>
            </w:r>
            <w:r w:rsidRPr="00DA4ACE">
              <w:rPr>
                <w:rFonts w:ascii="Tahoma" w:hAnsi="Tahoma" w:cs="Tahoma"/>
                <w:sz w:val="19"/>
                <w:szCs w:val="19"/>
                <w:rtl/>
              </w:rPr>
              <w:t xml:space="preserve"> לשם כך עם צוות מחקר חיצוני</w:t>
            </w:r>
            <w:r w:rsidRPr="00DA4ACE">
              <w:rPr>
                <w:rFonts w:ascii="Tahoma" w:hAnsi="Tahoma" w:cs="Tahoma" w:hint="cs"/>
                <w:sz w:val="19"/>
                <w:szCs w:val="19"/>
                <w:rtl/>
              </w:rPr>
              <w:t>,</w:t>
            </w:r>
            <w:r w:rsidRPr="00DA4ACE">
              <w:rPr>
                <w:rFonts w:ascii="Tahoma" w:hAnsi="Tahoma" w:cs="Tahoma"/>
                <w:sz w:val="19"/>
                <w:szCs w:val="19"/>
                <w:rtl/>
              </w:rPr>
              <w:t xml:space="preserve"> אך המחקר לא </w:t>
            </w:r>
            <w:r w:rsidRPr="00DA4ACE">
              <w:rPr>
                <w:rFonts w:ascii="Tahoma" w:hAnsi="Tahoma" w:cs="Tahoma" w:hint="cs"/>
                <w:sz w:val="19"/>
                <w:szCs w:val="19"/>
                <w:rtl/>
              </w:rPr>
              <w:t xml:space="preserve">הבשיל עקב עמדת הצוות בדבר קשיים מתודולוגיים בביצוע המחקר. </w:t>
            </w:r>
            <w:r w:rsidRPr="00DA4ACE">
              <w:rPr>
                <w:rFonts w:ascii="Tahoma" w:hAnsi="Tahoma" w:cs="Tahoma"/>
                <w:sz w:val="19"/>
                <w:szCs w:val="19"/>
                <w:rtl/>
              </w:rPr>
              <w:t>פער</w:t>
            </w:r>
            <w:r w:rsidRPr="00DA4ACE">
              <w:rPr>
                <w:rFonts w:ascii="Tahoma" w:hAnsi="Tahoma" w:cs="Tahoma" w:hint="cs"/>
                <w:sz w:val="19"/>
                <w:szCs w:val="19"/>
                <w:rtl/>
              </w:rPr>
              <w:t>ים</w:t>
            </w:r>
            <w:r w:rsidRPr="00DA4ACE">
              <w:rPr>
                <w:rFonts w:ascii="Tahoma" w:hAnsi="Tahoma" w:cs="Tahoma"/>
                <w:sz w:val="19"/>
                <w:szCs w:val="19"/>
                <w:rtl/>
              </w:rPr>
              <w:t xml:space="preserve"> </w:t>
            </w:r>
            <w:r w:rsidRPr="00DA4ACE">
              <w:rPr>
                <w:rFonts w:ascii="Tahoma" w:hAnsi="Tahoma" w:cs="Tahoma" w:hint="cs"/>
                <w:sz w:val="19"/>
                <w:szCs w:val="19"/>
                <w:rtl/>
              </w:rPr>
              <w:t xml:space="preserve">אלו </w:t>
            </w:r>
            <w:r w:rsidRPr="00DA4ACE">
              <w:rPr>
                <w:rFonts w:ascii="Tahoma" w:hAnsi="Tahoma" w:cs="Tahoma"/>
                <w:sz w:val="19"/>
                <w:szCs w:val="19"/>
                <w:rtl/>
              </w:rPr>
              <w:t>אינ</w:t>
            </w:r>
            <w:r w:rsidRPr="00DA4ACE">
              <w:rPr>
                <w:rFonts w:ascii="Tahoma" w:hAnsi="Tahoma" w:cs="Tahoma" w:hint="cs"/>
                <w:sz w:val="19"/>
                <w:szCs w:val="19"/>
                <w:rtl/>
              </w:rPr>
              <w:t>ם</w:t>
            </w:r>
            <w:r w:rsidRPr="00DA4ACE">
              <w:rPr>
                <w:rFonts w:ascii="Tahoma" w:hAnsi="Tahoma" w:cs="Tahoma"/>
                <w:sz w:val="19"/>
                <w:szCs w:val="19"/>
                <w:rtl/>
              </w:rPr>
              <w:t xml:space="preserve"> עולה בקנה אחד </w:t>
            </w:r>
            <w:r w:rsidRPr="00DA4ACE">
              <w:rPr>
                <w:rFonts w:ascii="Tahoma" w:hAnsi="Tahoma" w:cs="Tahoma" w:hint="cs"/>
                <w:sz w:val="19"/>
                <w:szCs w:val="19"/>
                <w:rtl/>
              </w:rPr>
              <w:t xml:space="preserve">עם החובות שהוטלו על משרד המשפטים והממונה בחוק. </w:t>
            </w:r>
          </w:p>
          <w:p w14:paraId="2D5B1795"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cs"/>
                <w:b/>
                <w:bCs/>
                <w:sz w:val="19"/>
                <w:szCs w:val="19"/>
                <w:rtl/>
              </w:rPr>
              <w:t xml:space="preserve">חלוקת הסמכויות בטיפול בהליכי חדלות פירעון - </w:t>
            </w:r>
            <w:r w:rsidRPr="00DA4ACE">
              <w:rPr>
                <w:rFonts w:ascii="Tahoma" w:hAnsi="Tahoma" w:cs="Tahoma" w:hint="eastAsia"/>
                <w:sz w:val="19"/>
                <w:szCs w:val="19"/>
                <w:rtl/>
              </w:rPr>
              <w:t>משרד</w:t>
            </w:r>
            <w:r w:rsidRPr="00DA4ACE">
              <w:rPr>
                <w:rFonts w:ascii="Tahoma" w:hAnsi="Tahoma" w:cs="Tahoma"/>
                <w:sz w:val="19"/>
                <w:szCs w:val="19"/>
                <w:rtl/>
              </w:rPr>
              <w:t xml:space="preserve"> המשפטים </w:t>
            </w:r>
            <w:r w:rsidRPr="00DA4ACE">
              <w:rPr>
                <w:rFonts w:ascii="Tahoma" w:hAnsi="Tahoma" w:cs="Tahoma" w:hint="cs"/>
                <w:sz w:val="19"/>
                <w:szCs w:val="19"/>
                <w:rtl/>
              </w:rPr>
              <w:t xml:space="preserve">החליט </w:t>
            </w:r>
            <w:r w:rsidRPr="00DA4ACE">
              <w:rPr>
                <w:rFonts w:ascii="Tahoma" w:hAnsi="Tahoma" w:cs="Tahoma" w:hint="eastAsia"/>
                <w:sz w:val="19"/>
                <w:szCs w:val="19"/>
                <w:rtl/>
              </w:rPr>
              <w:t>לבחון</w:t>
            </w:r>
            <w:r w:rsidRPr="00DA4ACE">
              <w:rPr>
                <w:rFonts w:ascii="Tahoma" w:hAnsi="Tahoma" w:cs="Tahoma" w:hint="cs"/>
                <w:sz w:val="19"/>
                <w:szCs w:val="19"/>
                <w:rtl/>
              </w:rPr>
              <w:t>,</w:t>
            </w:r>
            <w:r w:rsidRPr="00DA4ACE">
              <w:rPr>
                <w:rFonts w:ascii="Tahoma" w:hAnsi="Tahoma" w:cs="Tahoma"/>
                <w:sz w:val="19"/>
                <w:szCs w:val="19"/>
                <w:rtl/>
              </w:rPr>
              <w:t xml:space="preserve"> ב</w:t>
            </w:r>
            <w:r w:rsidRPr="00DA4ACE">
              <w:rPr>
                <w:rFonts w:ascii="Tahoma" w:hAnsi="Tahoma" w:cs="Tahoma" w:hint="eastAsia"/>
                <w:sz w:val="19"/>
                <w:szCs w:val="19"/>
                <w:rtl/>
              </w:rPr>
              <w:t>מסגרת</w:t>
            </w:r>
            <w:r w:rsidRPr="00DA4ACE">
              <w:rPr>
                <w:rFonts w:ascii="Tahoma" w:hAnsi="Tahoma" w:cs="Tahoma"/>
                <w:sz w:val="19"/>
                <w:szCs w:val="19"/>
                <w:rtl/>
              </w:rPr>
              <w:t xml:space="preserve"> </w:t>
            </w:r>
            <w:r w:rsidRPr="00DA4ACE">
              <w:rPr>
                <w:rFonts w:ascii="Tahoma" w:hAnsi="Tahoma" w:cs="Tahoma" w:hint="eastAsia"/>
                <w:sz w:val="19"/>
                <w:szCs w:val="19"/>
                <w:rtl/>
              </w:rPr>
              <w:t>עבודת</w:t>
            </w:r>
            <w:r w:rsidRPr="00DA4ACE">
              <w:rPr>
                <w:rFonts w:ascii="Tahoma" w:hAnsi="Tahoma" w:cs="Tahoma"/>
                <w:sz w:val="19"/>
                <w:szCs w:val="19"/>
                <w:rtl/>
              </w:rPr>
              <w:t xml:space="preserve"> </w:t>
            </w:r>
            <w:r w:rsidRPr="00DA4ACE">
              <w:rPr>
                <w:rFonts w:ascii="Tahoma" w:hAnsi="Tahoma" w:cs="Tahoma" w:hint="eastAsia"/>
                <w:sz w:val="19"/>
                <w:szCs w:val="19"/>
                <w:rtl/>
              </w:rPr>
              <w:t>מטה</w:t>
            </w:r>
            <w:r w:rsidRPr="00DA4ACE">
              <w:rPr>
                <w:rFonts w:ascii="Tahoma" w:hAnsi="Tahoma" w:cs="Tahoma" w:hint="cs"/>
                <w:sz w:val="19"/>
                <w:szCs w:val="19"/>
                <w:rtl/>
              </w:rPr>
              <w:t>,</w:t>
            </w:r>
            <w:r w:rsidRPr="00DA4ACE">
              <w:rPr>
                <w:rFonts w:ascii="Tahoma" w:hAnsi="Tahoma" w:cs="Tahoma"/>
                <w:sz w:val="19"/>
                <w:szCs w:val="19"/>
                <w:rtl/>
              </w:rPr>
              <w:t xml:space="preserve"> </w:t>
            </w:r>
            <w:r w:rsidRPr="00DA4ACE">
              <w:rPr>
                <w:rFonts w:ascii="Tahoma" w:hAnsi="Tahoma" w:cs="Tahoma" w:hint="cs"/>
                <w:sz w:val="19"/>
                <w:szCs w:val="19"/>
                <w:rtl/>
              </w:rPr>
              <w:t xml:space="preserve">ובחלוף כשלוש שנים מכניסתו לתוקף של חוק חדל"פ, </w:t>
            </w:r>
            <w:r w:rsidRPr="00DA4ACE">
              <w:rPr>
                <w:rFonts w:ascii="Tahoma" w:hAnsi="Tahoma" w:cs="Tahoma" w:hint="eastAsia"/>
                <w:sz w:val="19"/>
                <w:szCs w:val="19"/>
                <w:rtl/>
              </w:rPr>
              <w:t>את</w:t>
            </w:r>
            <w:r w:rsidRPr="00DA4ACE">
              <w:rPr>
                <w:rFonts w:ascii="Tahoma" w:hAnsi="Tahoma" w:cs="Tahoma"/>
                <w:sz w:val="19"/>
                <w:szCs w:val="19"/>
                <w:rtl/>
              </w:rPr>
              <w:t xml:space="preserve"> הצורך בייעול המודל הקיים </w:t>
            </w:r>
            <w:r w:rsidRPr="00DA4ACE">
              <w:rPr>
                <w:rFonts w:ascii="Tahoma" w:hAnsi="Tahoma" w:cs="Tahoma" w:hint="eastAsia"/>
                <w:sz w:val="19"/>
                <w:szCs w:val="19"/>
                <w:rtl/>
              </w:rPr>
              <w:t>לניהול</w:t>
            </w:r>
            <w:r w:rsidRPr="00DA4ACE">
              <w:rPr>
                <w:rFonts w:ascii="Tahoma" w:hAnsi="Tahoma" w:cs="Tahoma"/>
                <w:sz w:val="19"/>
                <w:szCs w:val="19"/>
                <w:rtl/>
              </w:rPr>
              <w:t xml:space="preserve"> </w:t>
            </w:r>
            <w:r w:rsidRPr="00DA4ACE">
              <w:rPr>
                <w:rFonts w:ascii="Tahoma" w:hAnsi="Tahoma" w:cs="Tahoma" w:hint="eastAsia"/>
                <w:sz w:val="19"/>
                <w:szCs w:val="19"/>
                <w:rtl/>
              </w:rPr>
              <w:t>תיקי</w:t>
            </w:r>
            <w:r w:rsidRPr="00DA4ACE">
              <w:rPr>
                <w:rFonts w:ascii="Tahoma" w:hAnsi="Tahoma" w:cs="Tahoma"/>
                <w:sz w:val="19"/>
                <w:szCs w:val="19"/>
                <w:rtl/>
              </w:rPr>
              <w:t xml:space="preserve"> </w:t>
            </w:r>
            <w:r w:rsidRPr="00DA4ACE">
              <w:rPr>
                <w:rFonts w:ascii="Tahoma" w:hAnsi="Tahoma" w:cs="Tahoma" w:hint="eastAsia"/>
                <w:sz w:val="19"/>
                <w:szCs w:val="19"/>
                <w:rtl/>
              </w:rPr>
              <w:t>הליכי</w:t>
            </w:r>
            <w:r w:rsidRPr="00DA4ACE">
              <w:rPr>
                <w:rFonts w:ascii="Tahoma" w:hAnsi="Tahoma" w:cs="Tahoma"/>
                <w:sz w:val="19"/>
                <w:szCs w:val="19"/>
                <w:rtl/>
              </w:rPr>
              <w:t xml:space="preserve"> </w:t>
            </w:r>
            <w:r w:rsidRPr="00DA4ACE">
              <w:rPr>
                <w:rFonts w:ascii="Tahoma" w:hAnsi="Tahoma" w:cs="Tahoma" w:hint="eastAsia"/>
                <w:sz w:val="19"/>
                <w:szCs w:val="19"/>
                <w:rtl/>
              </w:rPr>
              <w:t>חדלות</w:t>
            </w:r>
            <w:r w:rsidRPr="00DA4ACE">
              <w:rPr>
                <w:rFonts w:ascii="Tahoma" w:hAnsi="Tahoma" w:cs="Tahoma"/>
                <w:sz w:val="19"/>
                <w:szCs w:val="19"/>
                <w:rtl/>
              </w:rPr>
              <w:t xml:space="preserve"> </w:t>
            </w:r>
            <w:r w:rsidRPr="00DA4ACE">
              <w:rPr>
                <w:rFonts w:ascii="Tahoma" w:hAnsi="Tahoma" w:cs="Tahoma" w:hint="eastAsia"/>
                <w:sz w:val="19"/>
                <w:szCs w:val="19"/>
                <w:rtl/>
              </w:rPr>
              <w:t>פירעון</w:t>
            </w:r>
            <w:r w:rsidRPr="00DA4ACE">
              <w:rPr>
                <w:rFonts w:ascii="Tahoma" w:hAnsi="Tahoma" w:cs="Tahoma" w:hint="cs"/>
                <w:sz w:val="19"/>
                <w:szCs w:val="19"/>
                <w:rtl/>
              </w:rPr>
              <w:t xml:space="preserve"> ובכלל זה את המודל הקובע את חלוקת סמכויות הטיפול </w:t>
            </w:r>
            <w:r w:rsidRPr="00DA4ACE">
              <w:rPr>
                <w:rFonts w:ascii="Tahoma" w:hAnsi="Tahoma" w:cs="Tahoma"/>
                <w:sz w:val="19"/>
                <w:szCs w:val="19"/>
                <w:rtl/>
              </w:rPr>
              <w:t>בין הממונה ובין רשות האכיפ</w:t>
            </w:r>
            <w:r w:rsidRPr="00DA4ACE">
              <w:rPr>
                <w:rFonts w:ascii="Tahoma" w:hAnsi="Tahoma" w:cs="Tahoma" w:hint="eastAsia"/>
                <w:sz w:val="19"/>
                <w:szCs w:val="19"/>
                <w:rtl/>
              </w:rPr>
              <w:t>ה</w:t>
            </w:r>
            <w:r w:rsidRPr="00DA4ACE">
              <w:rPr>
                <w:rFonts w:ascii="Tahoma" w:hAnsi="Tahoma" w:cs="Tahoma"/>
                <w:sz w:val="19"/>
                <w:szCs w:val="19"/>
                <w:rtl/>
              </w:rPr>
              <w:t xml:space="preserve"> </w:t>
            </w:r>
            <w:r w:rsidRPr="00DA4ACE">
              <w:rPr>
                <w:rFonts w:ascii="Tahoma" w:hAnsi="Tahoma" w:cs="Tahoma" w:hint="eastAsia"/>
                <w:sz w:val="19"/>
                <w:szCs w:val="19"/>
                <w:rtl/>
              </w:rPr>
              <w:t>והגבייה</w:t>
            </w:r>
            <w:r w:rsidRPr="00DA4ACE">
              <w:rPr>
                <w:rFonts w:ascii="Tahoma" w:hAnsi="Tahoma" w:cs="Tahoma"/>
                <w:sz w:val="19"/>
                <w:szCs w:val="19"/>
                <w:rtl/>
              </w:rPr>
              <w:t xml:space="preserve">. עם זאת, בביקורת נמצא כי </w:t>
            </w:r>
            <w:r w:rsidRPr="00DA4ACE">
              <w:rPr>
                <w:rFonts w:ascii="Tahoma" w:hAnsi="Tahoma" w:cs="Tahoma" w:hint="eastAsia"/>
                <w:sz w:val="19"/>
                <w:szCs w:val="19"/>
                <w:rtl/>
              </w:rPr>
              <w:t>החלטה</w:t>
            </w:r>
            <w:r w:rsidRPr="00DA4ACE">
              <w:rPr>
                <w:rFonts w:ascii="Tahoma" w:hAnsi="Tahoma" w:cs="Tahoma"/>
                <w:sz w:val="19"/>
                <w:szCs w:val="19"/>
                <w:rtl/>
              </w:rPr>
              <w:t xml:space="preserve"> </w:t>
            </w:r>
            <w:r w:rsidRPr="00DA4ACE">
              <w:rPr>
                <w:rFonts w:ascii="Tahoma" w:hAnsi="Tahoma" w:cs="Tahoma" w:hint="eastAsia"/>
                <w:sz w:val="19"/>
                <w:szCs w:val="19"/>
                <w:rtl/>
              </w:rPr>
              <w:t>זו</w:t>
            </w:r>
            <w:r w:rsidRPr="00DA4ACE">
              <w:rPr>
                <w:rFonts w:ascii="Tahoma" w:hAnsi="Tahoma" w:cs="Tahoma" w:hint="cs"/>
                <w:sz w:val="19"/>
                <w:szCs w:val="19"/>
                <w:rtl/>
              </w:rPr>
              <w:t>,</w:t>
            </w:r>
            <w:r w:rsidRPr="00DA4ACE">
              <w:rPr>
                <w:rFonts w:ascii="Tahoma" w:hAnsi="Tahoma" w:cs="Tahoma"/>
                <w:sz w:val="19"/>
                <w:szCs w:val="19"/>
                <w:rtl/>
              </w:rPr>
              <w:t xml:space="preserve"> </w:t>
            </w:r>
            <w:r w:rsidRPr="00DA4ACE">
              <w:rPr>
                <w:rFonts w:ascii="Tahoma" w:hAnsi="Tahoma" w:cs="Tahoma" w:hint="eastAsia"/>
                <w:sz w:val="19"/>
                <w:szCs w:val="19"/>
                <w:rtl/>
              </w:rPr>
              <w:t>שהתקבלה</w:t>
            </w:r>
            <w:r w:rsidRPr="00DA4ACE">
              <w:rPr>
                <w:rFonts w:ascii="Tahoma" w:hAnsi="Tahoma" w:cs="Tahoma"/>
                <w:sz w:val="19"/>
                <w:szCs w:val="19"/>
                <w:rtl/>
              </w:rPr>
              <w:t xml:space="preserve"> </w:t>
            </w:r>
            <w:r w:rsidRPr="00DA4ACE">
              <w:rPr>
                <w:rFonts w:ascii="Tahoma" w:hAnsi="Tahoma" w:cs="Tahoma" w:hint="eastAsia"/>
                <w:sz w:val="19"/>
                <w:szCs w:val="19"/>
                <w:rtl/>
              </w:rPr>
              <w:t>במאי</w:t>
            </w:r>
            <w:r w:rsidRPr="00DA4ACE">
              <w:rPr>
                <w:rFonts w:ascii="Tahoma" w:hAnsi="Tahoma" w:cs="Tahoma"/>
                <w:sz w:val="19"/>
                <w:szCs w:val="19"/>
                <w:rtl/>
              </w:rPr>
              <w:t xml:space="preserve"> 2022</w:t>
            </w:r>
            <w:r w:rsidRPr="00DA4ACE">
              <w:rPr>
                <w:rFonts w:ascii="Tahoma" w:hAnsi="Tahoma" w:cs="Tahoma" w:hint="cs"/>
                <w:sz w:val="19"/>
                <w:szCs w:val="19"/>
                <w:rtl/>
              </w:rPr>
              <w:t>,</w:t>
            </w:r>
            <w:r w:rsidRPr="00DA4ACE">
              <w:rPr>
                <w:rFonts w:ascii="Tahoma" w:hAnsi="Tahoma" w:cs="Tahoma"/>
                <w:sz w:val="19"/>
                <w:szCs w:val="19"/>
                <w:rtl/>
              </w:rPr>
              <w:t xml:space="preserve"> </w:t>
            </w:r>
            <w:r w:rsidRPr="00DA4ACE">
              <w:rPr>
                <w:rFonts w:ascii="Tahoma" w:hAnsi="Tahoma" w:cs="Tahoma" w:hint="eastAsia"/>
                <w:sz w:val="19"/>
                <w:szCs w:val="19"/>
                <w:rtl/>
              </w:rPr>
              <w:t>טרם</w:t>
            </w:r>
            <w:r w:rsidRPr="00DA4ACE">
              <w:rPr>
                <w:rFonts w:ascii="Tahoma" w:hAnsi="Tahoma" w:cs="Tahoma"/>
                <w:sz w:val="19"/>
                <w:szCs w:val="19"/>
                <w:rtl/>
              </w:rPr>
              <w:t xml:space="preserve"> קודמה </w:t>
            </w:r>
            <w:r w:rsidRPr="00DA4ACE">
              <w:rPr>
                <w:rFonts w:ascii="Tahoma" w:hAnsi="Tahoma" w:cs="Tahoma" w:hint="cs"/>
                <w:sz w:val="19"/>
                <w:szCs w:val="19"/>
                <w:rtl/>
              </w:rPr>
              <w:t xml:space="preserve">על ידי משרד המשפטים </w:t>
            </w:r>
            <w:r w:rsidRPr="00DA4ACE">
              <w:rPr>
                <w:rFonts w:ascii="Tahoma" w:hAnsi="Tahoma" w:cs="Tahoma" w:hint="eastAsia"/>
                <w:sz w:val="19"/>
                <w:szCs w:val="19"/>
                <w:rtl/>
              </w:rPr>
              <w:t>הלכה</w:t>
            </w:r>
            <w:r w:rsidRPr="00DA4ACE">
              <w:rPr>
                <w:rFonts w:ascii="Tahoma" w:hAnsi="Tahoma" w:cs="Tahoma"/>
                <w:sz w:val="19"/>
                <w:szCs w:val="19"/>
                <w:rtl/>
              </w:rPr>
              <w:t xml:space="preserve"> </w:t>
            </w:r>
            <w:r w:rsidRPr="00DA4ACE">
              <w:rPr>
                <w:rFonts w:ascii="Tahoma" w:hAnsi="Tahoma" w:cs="Tahoma" w:hint="eastAsia"/>
                <w:sz w:val="19"/>
                <w:szCs w:val="19"/>
                <w:rtl/>
              </w:rPr>
              <w:t>למעשה</w:t>
            </w:r>
            <w:r w:rsidRPr="00DA4ACE">
              <w:rPr>
                <w:rFonts w:ascii="Tahoma" w:hAnsi="Tahoma" w:cs="Tahoma"/>
                <w:sz w:val="19"/>
                <w:szCs w:val="19"/>
                <w:rtl/>
              </w:rPr>
              <w:t xml:space="preserve">. </w:t>
            </w:r>
          </w:p>
          <w:p w14:paraId="1AA47351" w14:textId="77777777" w:rsidR="00DA4ACE" w:rsidRPr="00DA4ACE" w:rsidRDefault="00000000" w:rsidP="00DA4ACE">
            <w:pPr>
              <w:numPr>
                <w:ilvl w:val="0"/>
                <w:numId w:val="21"/>
              </w:numPr>
              <w:tabs>
                <w:tab w:val="center" w:pos="4153"/>
                <w:tab w:val="right" w:pos="8306"/>
              </w:tabs>
              <w:spacing w:after="240"/>
              <w:rPr>
                <w:rFonts w:ascii="Tahoma" w:hAnsi="Tahoma" w:cs="Tahoma"/>
                <w:sz w:val="19"/>
                <w:szCs w:val="19"/>
              </w:rPr>
            </w:pPr>
            <w:r w:rsidRPr="00DA4ACE">
              <w:rPr>
                <w:rFonts w:ascii="Tahoma" w:hAnsi="Tahoma" w:cs="Tahoma" w:hint="eastAsia"/>
                <w:b/>
                <w:bCs/>
                <w:sz w:val="19"/>
                <w:szCs w:val="19"/>
                <w:rtl/>
              </w:rPr>
              <w:t>פיצול</w:t>
            </w:r>
            <w:r w:rsidRPr="00DA4ACE">
              <w:rPr>
                <w:rFonts w:ascii="Tahoma" w:hAnsi="Tahoma" w:cs="Tahoma"/>
                <w:b/>
                <w:bCs/>
                <w:sz w:val="19"/>
                <w:szCs w:val="19"/>
                <w:rtl/>
              </w:rPr>
              <w:t xml:space="preserve"> אגף האפוטרופוס הכללי, הממונה על חדלות פירעון והרשם לענייני ירושה </w:t>
            </w:r>
            <w:r w:rsidRPr="00DA4ACE">
              <w:rPr>
                <w:rFonts w:ascii="Tahoma" w:hAnsi="Tahoma" w:cs="Tahoma" w:hint="cs"/>
                <w:b/>
                <w:bCs/>
                <w:sz w:val="19"/>
                <w:szCs w:val="19"/>
                <w:rtl/>
              </w:rPr>
              <w:t>-</w:t>
            </w:r>
            <w:r w:rsidRPr="00DA4ACE">
              <w:rPr>
                <w:rFonts w:ascii="Tahoma" w:hAnsi="Tahoma" w:cs="Tahoma" w:hint="cs"/>
                <w:sz w:val="19"/>
                <w:szCs w:val="19"/>
                <w:rtl/>
              </w:rPr>
              <w:t xml:space="preserve"> תהליך בחינת האפשרות לפיצול של אגף גדול ומורכב (שבו פעלו שלושה מכלולים ושבו עבדו יותר מ-500 עובדים וכ-150 נציגים, ביחידות מטה ובמחוזות) בוצע </w:t>
            </w:r>
            <w:r w:rsidRPr="00DA4ACE">
              <w:rPr>
                <w:rFonts w:ascii="Tahoma" w:hAnsi="Tahoma" w:cs="Tahoma" w:hint="eastAsia"/>
                <w:sz w:val="19"/>
                <w:szCs w:val="19"/>
                <w:rtl/>
              </w:rPr>
              <w:t>ב</w:t>
            </w:r>
            <w:r w:rsidRPr="00DA4ACE">
              <w:rPr>
                <w:rFonts w:ascii="Tahoma" w:hAnsi="Tahoma" w:cs="Tahoma" w:hint="cs"/>
                <w:sz w:val="19"/>
                <w:szCs w:val="19"/>
                <w:rtl/>
              </w:rPr>
              <w:t>תוך פרק זמן קצר במיוחד של פחות מחודשיים (מ</w:t>
            </w:r>
            <w:r w:rsidRPr="00DA4ACE">
              <w:rPr>
                <w:rFonts w:ascii="Tahoma" w:hAnsi="Tahoma" w:cs="Tahoma"/>
                <w:sz w:val="19"/>
                <w:szCs w:val="19"/>
                <w:rtl/>
              </w:rPr>
              <w:t xml:space="preserve">-3.3.22 </w:t>
            </w:r>
            <w:r w:rsidRPr="00DA4ACE">
              <w:rPr>
                <w:rFonts w:ascii="Tahoma" w:hAnsi="Tahoma" w:cs="Tahoma" w:hint="cs"/>
                <w:sz w:val="19"/>
                <w:szCs w:val="19"/>
                <w:rtl/>
              </w:rPr>
              <w:t xml:space="preserve"> עד </w:t>
            </w:r>
            <w:r w:rsidRPr="00DA4ACE">
              <w:rPr>
                <w:rFonts w:ascii="Tahoma" w:hAnsi="Tahoma" w:cs="Tahoma"/>
                <w:sz w:val="19"/>
                <w:szCs w:val="19"/>
                <w:rtl/>
              </w:rPr>
              <w:t>28.4.22</w:t>
            </w:r>
            <w:r w:rsidRPr="00DA4ACE">
              <w:rPr>
                <w:rFonts w:ascii="Tahoma" w:hAnsi="Tahoma" w:cs="Tahoma" w:hint="cs"/>
                <w:sz w:val="19"/>
                <w:szCs w:val="19"/>
                <w:rtl/>
              </w:rPr>
              <w:t xml:space="preserve">) וכבר במהלך תקופה זו </w:t>
            </w:r>
            <w:r w:rsidRPr="00DA4ACE">
              <w:rPr>
                <w:rFonts w:ascii="Tahoma" w:hAnsi="Tahoma" w:cs="Tahoma" w:hint="eastAsia"/>
                <w:sz w:val="19"/>
                <w:szCs w:val="19"/>
                <w:rtl/>
              </w:rPr>
              <w:t>ועוד</w:t>
            </w:r>
            <w:r w:rsidRPr="00DA4ACE">
              <w:rPr>
                <w:rFonts w:ascii="Tahoma" w:hAnsi="Tahoma" w:cs="Tahoma"/>
                <w:sz w:val="19"/>
                <w:szCs w:val="19"/>
                <w:rtl/>
              </w:rPr>
              <w:t xml:space="preserve"> </w:t>
            </w:r>
            <w:r w:rsidRPr="00DA4ACE">
              <w:rPr>
                <w:rFonts w:ascii="Tahoma" w:hAnsi="Tahoma" w:cs="Tahoma" w:hint="eastAsia"/>
                <w:sz w:val="19"/>
                <w:szCs w:val="19"/>
                <w:rtl/>
              </w:rPr>
              <w:t>קודם</w:t>
            </w:r>
            <w:r w:rsidRPr="00DA4ACE">
              <w:rPr>
                <w:rFonts w:ascii="Tahoma" w:hAnsi="Tahoma" w:cs="Tahoma"/>
                <w:sz w:val="19"/>
                <w:szCs w:val="19"/>
                <w:rtl/>
              </w:rPr>
              <w:t xml:space="preserve"> </w:t>
            </w:r>
            <w:r w:rsidRPr="00DA4ACE">
              <w:rPr>
                <w:rFonts w:ascii="Tahoma" w:hAnsi="Tahoma" w:cs="Tahoma" w:hint="eastAsia"/>
                <w:sz w:val="19"/>
                <w:szCs w:val="19"/>
                <w:rtl/>
              </w:rPr>
              <w:t>ש</w:t>
            </w:r>
            <w:r w:rsidRPr="00DA4ACE">
              <w:rPr>
                <w:rFonts w:ascii="Tahoma" w:hAnsi="Tahoma" w:cs="Tahoma" w:hint="cs"/>
                <w:sz w:val="19"/>
                <w:szCs w:val="19"/>
                <w:rtl/>
              </w:rPr>
              <w:t>התקבלה החלטה מושכלת בנושא, ננקטו צעדים מעשיים לקראת פיצול האגף. תהליך זו בוצע</w:t>
            </w:r>
            <w:r w:rsidRPr="00DA4ACE">
              <w:rPr>
                <w:rFonts w:ascii="Tahoma" w:hAnsi="Tahoma" w:cs="Tahoma" w:hint="cs"/>
                <w:b/>
                <w:bCs/>
                <w:sz w:val="19"/>
                <w:szCs w:val="19"/>
                <w:rtl/>
              </w:rPr>
              <w:t xml:space="preserve"> </w:t>
            </w:r>
            <w:r w:rsidRPr="00DA4ACE">
              <w:rPr>
                <w:rFonts w:ascii="Tahoma" w:hAnsi="Tahoma" w:cs="Tahoma" w:hint="cs"/>
                <w:sz w:val="19"/>
                <w:szCs w:val="19"/>
                <w:rtl/>
              </w:rPr>
              <w:t xml:space="preserve">בלי שעמדה לפני מקבלי ההחלטות תמונת מצב מלאה לשם הכרעה בסוגיית הפיצול ומבלי שניתן מענה לוגיסטי שיאפשר יישום מלא של ההחלטה. לנוכח האמור, </w:t>
            </w:r>
            <w:r w:rsidRPr="00DA4ACE">
              <w:rPr>
                <w:rFonts w:ascii="Tahoma" w:hAnsi="Tahoma" w:cs="Tahoma"/>
                <w:sz w:val="19"/>
                <w:szCs w:val="19"/>
                <w:rtl/>
              </w:rPr>
              <w:t>אין בטעמים שעמדו בבסיס ההחלטה לפיצול האגף ובאופיו של ההליך שהתקיים בעניין זה כדי להוות תשתית מספקת ליישום מהלך ארגוני יסודי ונרחב</w:t>
            </w:r>
            <w:r w:rsidRPr="00DA4ACE">
              <w:rPr>
                <w:rFonts w:ascii="Tahoma" w:hAnsi="Tahoma" w:cs="Tahoma" w:hint="cs"/>
                <w:sz w:val="19"/>
                <w:szCs w:val="19"/>
                <w:rtl/>
              </w:rPr>
              <w:t xml:space="preserve">, שיישומו כרוך אף  במינוי בעלי תפקידים בכירים נוספים, למול תעדוף צרכים ופרויקטים אחרים הנבחנים במשרד המשפטים. </w:t>
            </w:r>
          </w:p>
          <w:p w14:paraId="31E8A924" w14:textId="77777777" w:rsidR="00DA4ACE" w:rsidRPr="00DA4ACE" w:rsidRDefault="00000000" w:rsidP="00DA4ACE">
            <w:pPr>
              <w:tabs>
                <w:tab w:val="center" w:pos="4153"/>
                <w:tab w:val="right" w:pos="8306"/>
              </w:tabs>
              <w:spacing w:after="240"/>
              <w:ind w:left="454"/>
              <w:rPr>
                <w:rFonts w:ascii="Tahoma" w:hAnsi="Tahoma" w:cs="Tahoma"/>
                <w:b/>
                <w:bCs/>
                <w:sz w:val="19"/>
                <w:szCs w:val="19"/>
                <w:rtl/>
              </w:rPr>
            </w:pPr>
            <w:r w:rsidRPr="00DA4ACE">
              <w:rPr>
                <w:rFonts w:ascii="Tahoma" w:hAnsi="Tahoma" w:cs="Tahoma" w:hint="cs"/>
                <w:noProof/>
                <w:sz w:val="19"/>
                <w:szCs w:val="19"/>
                <w:rtl/>
              </w:rPr>
              <w:drawing>
                <wp:inline distT="0" distB="0" distL="0" distR="0" wp14:anchorId="7EFBAE23" wp14:editId="1854778B">
                  <wp:extent cx="2710450" cy="207831"/>
                  <wp:effectExtent l="0" t="0" r="0" b="1905"/>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ik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14:paraId="45ADA531" w14:textId="77777777" w:rsidR="00DA4ACE" w:rsidRP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hint="cs"/>
                <w:b/>
                <w:bCs/>
                <w:sz w:val="19"/>
                <w:szCs w:val="19"/>
                <w:rtl/>
              </w:rPr>
              <w:t>תוכנית השתלמות של אנשי מקצוע -</w:t>
            </w:r>
            <w:r w:rsidRPr="00DA4ACE">
              <w:rPr>
                <w:rFonts w:ascii="Tahoma" w:hAnsi="Tahoma" w:cs="Tahoma" w:hint="cs"/>
                <w:sz w:val="19"/>
                <w:szCs w:val="19"/>
                <w:rtl/>
              </w:rPr>
              <w:t xml:space="preserve"> נכון לדצמבר 2022, יותר מ-600 אנשי מקצוע עברו השתלמות המיועדת לבעלי תפקיד </w:t>
            </w:r>
            <w:r w:rsidRPr="00DA4ACE">
              <w:rPr>
                <w:rFonts w:ascii="Tahoma" w:hAnsi="Tahoma" w:cs="Tahoma" w:hint="eastAsia"/>
                <w:b/>
                <w:sz w:val="19"/>
                <w:szCs w:val="19"/>
                <w:rtl/>
              </w:rPr>
              <w:t>בעבודה</w:t>
            </w:r>
            <w:r w:rsidRPr="00DA4ACE">
              <w:rPr>
                <w:rFonts w:ascii="Tahoma" w:hAnsi="Tahoma" w:cs="Tahoma"/>
                <w:b/>
                <w:sz w:val="19"/>
                <w:szCs w:val="19"/>
                <w:rtl/>
              </w:rPr>
              <w:t xml:space="preserve"> מעודדת שיקום כלכלי ומודע</w:t>
            </w:r>
            <w:r w:rsidRPr="00DA4ACE">
              <w:rPr>
                <w:rFonts w:ascii="Tahoma" w:hAnsi="Tahoma" w:cs="Tahoma" w:hint="cs"/>
                <w:b/>
                <w:sz w:val="19"/>
                <w:szCs w:val="19"/>
                <w:rtl/>
              </w:rPr>
              <w:t>ו</w:t>
            </w:r>
            <w:r w:rsidRPr="00DA4ACE">
              <w:rPr>
                <w:rFonts w:ascii="Tahoma" w:hAnsi="Tahoma" w:cs="Tahoma"/>
                <w:b/>
                <w:sz w:val="19"/>
                <w:szCs w:val="19"/>
                <w:rtl/>
              </w:rPr>
              <w:t xml:space="preserve">ת </w:t>
            </w:r>
            <w:r w:rsidRPr="00DA4ACE">
              <w:rPr>
                <w:rFonts w:ascii="Tahoma" w:hAnsi="Tahoma" w:cs="Tahoma" w:hint="cs"/>
                <w:b/>
                <w:sz w:val="19"/>
                <w:szCs w:val="19"/>
                <w:rtl/>
              </w:rPr>
              <w:t>ל</w:t>
            </w:r>
            <w:r w:rsidRPr="00DA4ACE">
              <w:rPr>
                <w:rFonts w:ascii="Tahoma" w:hAnsi="Tahoma" w:cs="Tahoma" w:hint="eastAsia"/>
                <w:b/>
                <w:sz w:val="19"/>
                <w:szCs w:val="19"/>
                <w:rtl/>
              </w:rPr>
              <w:t>עוני</w:t>
            </w:r>
            <w:r w:rsidRPr="00DA4ACE">
              <w:rPr>
                <w:rFonts w:ascii="Tahoma" w:hAnsi="Tahoma" w:cs="Tahoma" w:hint="cs"/>
                <w:sz w:val="19"/>
                <w:szCs w:val="19"/>
                <w:rtl/>
              </w:rPr>
              <w:t>.</w:t>
            </w:r>
          </w:p>
          <w:p w14:paraId="31A71DD8" w14:textId="77777777" w:rsidR="00DA4ACE" w:rsidRPr="00DA4ACE" w:rsidRDefault="00DA4ACE" w:rsidP="00DA4ACE">
            <w:pPr>
              <w:tabs>
                <w:tab w:val="center" w:pos="4153"/>
                <w:tab w:val="right" w:pos="8306"/>
              </w:tabs>
              <w:spacing w:after="240"/>
              <w:ind w:left="454"/>
              <w:rPr>
                <w:rFonts w:ascii="Tahoma" w:hAnsi="Tahoma" w:cs="Tahoma"/>
                <w:sz w:val="19"/>
                <w:szCs w:val="19"/>
                <w:rtl/>
              </w:rPr>
            </w:pPr>
          </w:p>
          <w:p w14:paraId="7330C786" w14:textId="77777777" w:rsidR="00DA4ACE" w:rsidRDefault="00000000" w:rsidP="00DA4ACE">
            <w:pPr>
              <w:tabs>
                <w:tab w:val="center" w:pos="4153"/>
                <w:tab w:val="right" w:pos="8306"/>
              </w:tabs>
              <w:spacing w:after="240"/>
              <w:ind w:left="454"/>
              <w:rPr>
                <w:rFonts w:ascii="Tahoma" w:hAnsi="Tahoma" w:cs="Tahoma"/>
                <w:sz w:val="19"/>
                <w:szCs w:val="19"/>
                <w:rtl/>
              </w:rPr>
            </w:pPr>
            <w:r w:rsidRPr="00DA4ACE">
              <w:rPr>
                <w:rFonts w:ascii="Tahoma" w:hAnsi="Tahoma" w:cs="Tahoma" w:hint="cs"/>
                <w:b/>
                <w:bCs/>
                <w:sz w:val="19"/>
                <w:szCs w:val="19"/>
                <w:rtl/>
              </w:rPr>
              <w:t>מבקר המדינה מתניהו אנגלמן קבע כי מכלול ממצאי הדוח מחייבים פעולת תיקון רחבה באופן שיאפשר פעילות אפקטיבית להשגת היעדים שנקבעו בחוק חדל"פ. על משרד המשפטים והממונה לפעול לתיקון הליקויים העולים מדוח זה.</w:t>
            </w:r>
          </w:p>
          <w:p w14:paraId="31635AA3" w14:textId="77777777" w:rsidR="001424CF" w:rsidRPr="00AD2D9C" w:rsidRDefault="001424CF" w:rsidP="001424CF">
            <w:pPr>
              <w:rPr>
                <w:sz w:val="28"/>
                <w:szCs w:val="28"/>
                <w:rtl/>
              </w:rPr>
            </w:pPr>
          </w:p>
          <w:p w14:paraId="4B98FBE7" w14:textId="77777777" w:rsidR="001424CF" w:rsidRPr="00AD2D9C" w:rsidRDefault="00000000" w:rsidP="001424CF">
            <w:pPr>
              <w:spacing w:line="276" w:lineRule="auto"/>
              <w:rPr>
                <w:rFonts w:asciiTheme="minorBidi" w:hAnsiTheme="minorBidi"/>
                <w:b/>
                <w:bCs/>
                <w:sz w:val="28"/>
                <w:szCs w:val="28"/>
                <w:rtl/>
              </w:rPr>
            </w:pPr>
            <w:r w:rsidRPr="00AD2D9C">
              <w:rPr>
                <w:rFonts w:asciiTheme="minorBidi" w:hAnsiTheme="minorBidi"/>
                <w:b/>
                <w:bCs/>
                <w:sz w:val="28"/>
                <w:szCs w:val="28"/>
                <w:rtl/>
              </w:rPr>
              <w:t xml:space="preserve">פרסום דוח זה, חלק ממנו או מתוכנו לפני </w:t>
            </w:r>
            <w:r w:rsidRPr="00AD2D9C">
              <w:rPr>
                <w:rFonts w:asciiTheme="minorBidi" w:hAnsiTheme="minorBidi"/>
                <w:b/>
                <w:bCs/>
                <w:sz w:val="28"/>
                <w:szCs w:val="28"/>
                <w:highlight w:val="yellow"/>
                <w:rtl/>
              </w:rPr>
              <w:t xml:space="preserve">יום </w:t>
            </w:r>
            <w:r w:rsidRPr="00AD2D9C">
              <w:rPr>
                <w:rFonts w:asciiTheme="minorBidi" w:hAnsiTheme="minorBidi" w:hint="cs"/>
                <w:b/>
                <w:bCs/>
                <w:sz w:val="28"/>
                <w:szCs w:val="28"/>
                <w:highlight w:val="yellow"/>
                <w:rtl/>
              </w:rPr>
              <w:t>שליש</w:t>
            </w:r>
            <w:r w:rsidRPr="00AD2D9C">
              <w:rPr>
                <w:rFonts w:asciiTheme="minorBidi" w:hAnsiTheme="minorBidi"/>
                <w:b/>
                <w:bCs/>
                <w:sz w:val="28"/>
                <w:szCs w:val="28"/>
                <w:highlight w:val="yellow"/>
                <w:rtl/>
              </w:rPr>
              <w:t>י, ה</w:t>
            </w:r>
            <w:r w:rsidRPr="00AD2D9C">
              <w:rPr>
                <w:rFonts w:asciiTheme="minorBidi" w:hAnsiTheme="minorBidi" w:hint="cs"/>
                <w:b/>
                <w:bCs/>
                <w:sz w:val="28"/>
                <w:szCs w:val="28"/>
                <w:highlight w:val="yellow"/>
                <w:rtl/>
              </w:rPr>
              <w:t>-5</w:t>
            </w:r>
            <w:r w:rsidRPr="00AD2D9C">
              <w:rPr>
                <w:rFonts w:asciiTheme="minorBidi" w:hAnsiTheme="minorBidi"/>
                <w:b/>
                <w:bCs/>
                <w:sz w:val="28"/>
                <w:szCs w:val="28"/>
                <w:highlight w:val="yellow"/>
                <w:rtl/>
              </w:rPr>
              <w:t xml:space="preserve"> ב</w:t>
            </w:r>
            <w:r w:rsidRPr="00AD2D9C">
              <w:rPr>
                <w:rFonts w:asciiTheme="minorBidi" w:hAnsiTheme="minorBidi" w:hint="cs"/>
                <w:b/>
                <w:bCs/>
                <w:sz w:val="28"/>
                <w:szCs w:val="28"/>
                <w:highlight w:val="yellow"/>
                <w:rtl/>
              </w:rPr>
              <w:t>נובמבר</w:t>
            </w:r>
            <w:r w:rsidRPr="00AD2D9C">
              <w:rPr>
                <w:rFonts w:asciiTheme="minorBidi" w:hAnsiTheme="minorBidi"/>
                <w:b/>
                <w:bCs/>
                <w:sz w:val="28"/>
                <w:szCs w:val="28"/>
                <w:highlight w:val="yellow"/>
                <w:rtl/>
              </w:rPr>
              <w:t xml:space="preserve"> 2024 בשעה 1</w:t>
            </w:r>
            <w:r w:rsidRPr="00AD2D9C">
              <w:rPr>
                <w:rFonts w:asciiTheme="minorBidi" w:hAnsiTheme="minorBidi" w:hint="cs"/>
                <w:b/>
                <w:bCs/>
                <w:sz w:val="28"/>
                <w:szCs w:val="28"/>
                <w:highlight w:val="yellow"/>
                <w:rtl/>
              </w:rPr>
              <w:t>6</w:t>
            </w:r>
            <w:r w:rsidRPr="00AD2D9C">
              <w:rPr>
                <w:rFonts w:asciiTheme="minorBidi" w:hAnsiTheme="minorBidi"/>
                <w:b/>
                <w:bCs/>
                <w:sz w:val="28"/>
                <w:szCs w:val="28"/>
                <w:highlight w:val="yellow"/>
                <w:rtl/>
              </w:rPr>
              <w:t>:00,</w:t>
            </w:r>
            <w:r w:rsidRPr="00AD2D9C">
              <w:rPr>
                <w:rFonts w:asciiTheme="minorBidi" w:hAnsiTheme="minorBidi"/>
                <w:b/>
                <w:bCs/>
                <w:sz w:val="28"/>
                <w:szCs w:val="28"/>
                <w:rtl/>
              </w:rPr>
              <w:t xml:space="preserve"> מהווה עבירה לפי סעיף 28 לחוק מבקר המדינה, התשי"ח-1958.</w:t>
            </w:r>
          </w:p>
          <w:p w14:paraId="47049AD8" w14:textId="77777777" w:rsidR="001424CF" w:rsidRDefault="001424CF" w:rsidP="001424CF">
            <w:pPr>
              <w:spacing w:line="276" w:lineRule="auto"/>
              <w:rPr>
                <w:rFonts w:asciiTheme="minorBidi" w:hAnsiTheme="minorBidi"/>
                <w:sz w:val="24"/>
                <w:rtl/>
              </w:rPr>
            </w:pPr>
          </w:p>
          <w:p w14:paraId="16B526B7" w14:textId="77777777" w:rsidR="001424CF" w:rsidRDefault="00000000" w:rsidP="001424CF">
            <w:pPr>
              <w:spacing w:line="276" w:lineRule="auto"/>
              <w:rPr>
                <w:rFonts w:asciiTheme="minorBidi" w:hAnsiTheme="minorBidi"/>
                <w:sz w:val="24"/>
                <w:rtl/>
              </w:rPr>
            </w:pPr>
            <w:r>
              <w:rPr>
                <w:rFonts w:asciiTheme="minorBidi" w:hAnsiTheme="minorBidi"/>
                <w:sz w:val="24"/>
                <w:rtl/>
              </w:rPr>
              <w:t xml:space="preserve">במועד פרסומו יופיע הדוח באתר האינטרנט של המשרד: </w:t>
            </w:r>
            <w:hyperlink r:id="rId19" w:history="1">
              <w:r w:rsidR="001424CF">
                <w:rPr>
                  <w:rStyle w:val="Hyperlink"/>
                  <w:rFonts w:asciiTheme="minorBidi" w:hAnsiTheme="minorBidi"/>
                  <w:sz w:val="24"/>
                </w:rPr>
                <w:t>www.mevaker.gov.il</w:t>
              </w:r>
            </w:hyperlink>
          </w:p>
          <w:p w14:paraId="3E9AF094" w14:textId="77777777" w:rsidR="001424CF" w:rsidRDefault="001424CF" w:rsidP="001424CF">
            <w:pPr>
              <w:spacing w:line="276" w:lineRule="auto"/>
              <w:rPr>
                <w:rFonts w:asciiTheme="minorBidi" w:hAnsiTheme="minorBidi"/>
                <w:sz w:val="24"/>
                <w:rtl/>
              </w:rPr>
            </w:pPr>
          </w:p>
          <w:p w14:paraId="590C3D26" w14:textId="77777777" w:rsidR="001424CF" w:rsidRDefault="00000000" w:rsidP="001424CF">
            <w:pPr>
              <w:spacing w:line="276" w:lineRule="auto"/>
              <w:rPr>
                <w:rFonts w:asciiTheme="minorBidi" w:hAnsiTheme="minorBidi"/>
                <w:sz w:val="24"/>
                <w:rtl/>
              </w:rPr>
            </w:pPr>
            <w:r>
              <w:rPr>
                <w:rFonts w:asciiTheme="minorBidi" w:hAnsiTheme="minorBidi"/>
                <w:sz w:val="24"/>
                <w:rtl/>
              </w:rPr>
              <w:t>בברכה,</w:t>
            </w:r>
          </w:p>
          <w:p w14:paraId="4592BD69" w14:textId="77777777" w:rsidR="001424CF" w:rsidRDefault="001424CF" w:rsidP="001424CF">
            <w:pPr>
              <w:spacing w:line="276" w:lineRule="auto"/>
              <w:rPr>
                <w:rFonts w:asciiTheme="minorBidi" w:hAnsiTheme="minorBidi"/>
                <w:sz w:val="24"/>
                <w:rtl/>
              </w:rPr>
            </w:pPr>
          </w:p>
          <w:p w14:paraId="2979407C" w14:textId="77777777" w:rsidR="001424CF" w:rsidRDefault="00000000" w:rsidP="001424CF">
            <w:pPr>
              <w:spacing w:line="360" w:lineRule="auto"/>
              <w:rPr>
                <w:rFonts w:ascii="Arial" w:hAnsi="Arial" w:cs="Arial"/>
                <w:sz w:val="24"/>
                <w:rtl/>
              </w:rPr>
            </w:pPr>
            <w:r>
              <w:rPr>
                <w:rFonts w:ascii="Arial" w:hAnsi="Arial" w:cs="Arial"/>
                <w:sz w:val="24"/>
                <w:rtl/>
              </w:rPr>
              <w:t>פנחס וולף, עו"ד                                                       שי ספיר</w:t>
            </w:r>
          </w:p>
          <w:p w14:paraId="2BAB98A2" w14:textId="77777777" w:rsidR="001424CF" w:rsidRDefault="00000000" w:rsidP="001424CF">
            <w:pPr>
              <w:spacing w:line="360" w:lineRule="auto"/>
              <w:rPr>
                <w:rFonts w:ascii="Arial" w:hAnsi="Arial" w:cs="Arial"/>
                <w:sz w:val="24"/>
                <w:rtl/>
              </w:rPr>
            </w:pPr>
            <w:r>
              <w:rPr>
                <w:rFonts w:ascii="Arial" w:hAnsi="Arial" w:cs="Arial"/>
                <w:sz w:val="24"/>
                <w:rtl/>
              </w:rPr>
              <w:t xml:space="preserve">מ"מ דובר משרד מבקר המדינה                               </w:t>
            </w:r>
            <w:r>
              <w:rPr>
                <w:rFonts w:ascii="Arial" w:hAnsi="Arial" w:cs="Arial" w:hint="cs"/>
                <w:sz w:val="24"/>
                <w:rtl/>
              </w:rPr>
              <w:t xml:space="preserve">   </w:t>
            </w:r>
            <w:r>
              <w:rPr>
                <w:rFonts w:ascii="Arial" w:hAnsi="Arial" w:cs="Arial"/>
                <w:sz w:val="24"/>
                <w:rtl/>
              </w:rPr>
              <w:t xml:space="preserve">סגן דובר משרד מבקר המדינה   </w:t>
            </w:r>
          </w:p>
          <w:p w14:paraId="710B528B" w14:textId="77777777" w:rsidR="001424CF" w:rsidRDefault="00000000" w:rsidP="001424CF">
            <w:pPr>
              <w:spacing w:line="360" w:lineRule="auto"/>
              <w:rPr>
                <w:rFonts w:ascii="Arial" w:hAnsi="Arial" w:cs="Arial"/>
                <w:sz w:val="24"/>
                <w:rtl/>
              </w:rPr>
            </w:pPr>
            <w:r>
              <w:rPr>
                <w:rFonts w:ascii="Arial" w:hAnsi="Arial" w:cs="Arial"/>
                <w:sz w:val="24"/>
                <w:rtl/>
              </w:rPr>
              <w:t xml:space="preserve">ונציב תלונות הציבור                                                 ונציב תלונות הציבור </w:t>
            </w:r>
          </w:p>
          <w:p w14:paraId="5A6A9A93" w14:textId="77777777" w:rsidR="001424CF" w:rsidRDefault="001424CF" w:rsidP="00DA4ACE">
            <w:pPr>
              <w:tabs>
                <w:tab w:val="center" w:pos="4153"/>
                <w:tab w:val="right" w:pos="8306"/>
              </w:tabs>
              <w:spacing w:after="240"/>
              <w:ind w:left="454"/>
              <w:rPr>
                <w:rFonts w:ascii="Tahoma" w:hAnsi="Tahoma" w:cs="Tahoma"/>
                <w:sz w:val="19"/>
                <w:szCs w:val="19"/>
                <w:rtl/>
              </w:rPr>
            </w:pPr>
          </w:p>
          <w:p w14:paraId="46B8F1D0" w14:textId="77777777" w:rsidR="001424CF" w:rsidRDefault="001424CF" w:rsidP="00DA4ACE">
            <w:pPr>
              <w:tabs>
                <w:tab w:val="center" w:pos="4153"/>
                <w:tab w:val="right" w:pos="8306"/>
              </w:tabs>
              <w:spacing w:after="240"/>
              <w:ind w:left="454"/>
              <w:rPr>
                <w:rFonts w:ascii="Tahoma" w:hAnsi="Tahoma" w:cs="Tahoma"/>
                <w:sz w:val="19"/>
                <w:szCs w:val="19"/>
                <w:rtl/>
              </w:rPr>
            </w:pPr>
          </w:p>
          <w:p w14:paraId="40218E6E" w14:textId="77777777" w:rsidR="001424CF" w:rsidRPr="00DA4ACE" w:rsidRDefault="001424CF" w:rsidP="00DA4ACE">
            <w:pPr>
              <w:tabs>
                <w:tab w:val="center" w:pos="4153"/>
                <w:tab w:val="right" w:pos="8306"/>
              </w:tabs>
              <w:spacing w:after="240"/>
              <w:ind w:left="454"/>
              <w:rPr>
                <w:rFonts w:ascii="Tahoma" w:hAnsi="Tahoma" w:cs="Tahoma"/>
                <w:sz w:val="19"/>
                <w:szCs w:val="19"/>
                <w:rtl/>
              </w:rPr>
            </w:pPr>
          </w:p>
          <w:p w14:paraId="6261F1F1" w14:textId="77777777" w:rsidR="00DA4ACE" w:rsidRPr="00DA4ACE" w:rsidRDefault="00DA4ACE" w:rsidP="00DA4ACE">
            <w:pPr>
              <w:tabs>
                <w:tab w:val="center" w:pos="4153"/>
                <w:tab w:val="right" w:pos="8306"/>
              </w:tabs>
              <w:spacing w:after="240"/>
              <w:ind w:left="454"/>
              <w:rPr>
                <w:rFonts w:ascii="Tahoma" w:hAnsi="Tahoma" w:cs="Tahoma"/>
                <w:sz w:val="19"/>
                <w:szCs w:val="19"/>
                <w:rtl/>
              </w:rPr>
            </w:pPr>
          </w:p>
          <w:p w14:paraId="628B9E8A" w14:textId="77777777" w:rsidR="00DA4ACE" w:rsidRPr="00236CC3" w:rsidRDefault="00DA4ACE" w:rsidP="00236CC3">
            <w:pPr>
              <w:tabs>
                <w:tab w:val="center" w:pos="4153"/>
                <w:tab w:val="right" w:pos="8306"/>
              </w:tabs>
              <w:spacing w:after="240"/>
              <w:ind w:left="454"/>
              <w:rPr>
                <w:rFonts w:ascii="Tahoma" w:hAnsi="Tahoma" w:cs="Tahoma"/>
                <w:sz w:val="19"/>
                <w:szCs w:val="19"/>
                <w:rtl/>
              </w:rPr>
            </w:pPr>
          </w:p>
          <w:p w14:paraId="214DF4DE" w14:textId="77777777" w:rsidR="00236CC3" w:rsidRPr="00236CC3" w:rsidRDefault="00236CC3" w:rsidP="00236CC3">
            <w:pPr>
              <w:tabs>
                <w:tab w:val="center" w:pos="4153"/>
                <w:tab w:val="right" w:pos="8306"/>
              </w:tabs>
              <w:spacing w:after="240"/>
              <w:ind w:left="454"/>
              <w:rPr>
                <w:rFonts w:ascii="Tahoma" w:hAnsi="Tahoma" w:cs="Tahoma"/>
                <w:sz w:val="19"/>
                <w:szCs w:val="19"/>
                <w:rtl/>
              </w:rPr>
            </w:pPr>
          </w:p>
          <w:p w14:paraId="46B7AF3B" w14:textId="77777777" w:rsidR="00236CC3" w:rsidRPr="00236CC3" w:rsidRDefault="00236CC3" w:rsidP="00236CC3">
            <w:pPr>
              <w:tabs>
                <w:tab w:val="center" w:pos="4153"/>
                <w:tab w:val="right" w:pos="8306"/>
              </w:tabs>
              <w:spacing w:after="240"/>
              <w:ind w:left="454"/>
              <w:rPr>
                <w:rFonts w:ascii="Tahoma" w:hAnsi="Tahoma" w:cs="Tahoma"/>
                <w:sz w:val="19"/>
                <w:szCs w:val="19"/>
                <w:rtl/>
              </w:rPr>
            </w:pPr>
          </w:p>
          <w:p w14:paraId="0FCA4852" w14:textId="77777777" w:rsidR="00236CC3" w:rsidRPr="00236CC3" w:rsidRDefault="00236CC3" w:rsidP="00236CC3">
            <w:pPr>
              <w:tabs>
                <w:tab w:val="center" w:pos="4153"/>
                <w:tab w:val="right" w:pos="8306"/>
              </w:tabs>
              <w:rPr>
                <w:rFonts w:ascii="Tahoma" w:hAnsi="Tahoma" w:cs="Tahoma"/>
                <w:sz w:val="19"/>
                <w:szCs w:val="19"/>
              </w:rPr>
            </w:pPr>
          </w:p>
        </w:tc>
      </w:tr>
      <w:tr w:rsidR="004F19B3" w14:paraId="6A422BEA" w14:textId="77777777" w:rsidTr="00D45993">
        <w:trPr>
          <w:gridAfter w:val="1"/>
          <w:wAfter w:w="631" w:type="dxa"/>
          <w:trHeight w:val="506"/>
        </w:trPr>
        <w:tc>
          <w:tcPr>
            <w:tcW w:w="9652" w:type="dxa"/>
            <w:tcBorders>
              <w:top w:val="nil"/>
              <w:left w:val="nil"/>
              <w:bottom w:val="nil"/>
              <w:right w:val="nil"/>
            </w:tcBorders>
            <w:vAlign w:val="center"/>
          </w:tcPr>
          <w:p w14:paraId="21202BEF" w14:textId="77777777" w:rsidR="00236CC3" w:rsidRPr="00236CC3" w:rsidRDefault="00000000" w:rsidP="00236CC3">
            <w:pPr>
              <w:tabs>
                <w:tab w:val="center" w:pos="4153"/>
                <w:tab w:val="right" w:pos="8306"/>
              </w:tabs>
              <w:rPr>
                <w:rFonts w:ascii="Tahoma" w:hAnsi="Tahoma" w:cs="Tahoma"/>
                <w:b/>
                <w:bCs/>
                <w:noProof/>
                <w:color w:val="FFFFFF" w:themeColor="background1"/>
                <w:szCs w:val="22"/>
                <w:rtl/>
              </w:rPr>
            </w:pPr>
            <w:r w:rsidRPr="00236CC3">
              <w:rPr>
                <w:rFonts w:ascii="Tahoma" w:hAnsi="Tahoma" w:cs="Tahoma"/>
                <w:b/>
                <w:bCs/>
                <w:noProof/>
                <w:color w:val="FFFFFF" w:themeColor="background1"/>
                <w:szCs w:val="22"/>
                <w:rtl/>
              </w:rPr>
              <w:t>זמ</w:t>
            </w:r>
            <w:r w:rsidRPr="00236CC3">
              <w:rPr>
                <w:rFonts w:ascii="Tahoma" w:hAnsi="Tahoma" w:cs="Tahoma" w:hint="cs"/>
                <w:b/>
                <w:bCs/>
                <w:noProof/>
                <w:color w:val="FFFFFF" w:themeColor="background1"/>
                <w:szCs w:val="22"/>
                <w:rtl/>
              </w:rPr>
              <w:t>ני</w:t>
            </w:r>
            <w:r w:rsidRPr="00236CC3">
              <w:rPr>
                <w:rFonts w:ascii="Tahoma" w:hAnsi="Tahoma" w:cs="Tahoma"/>
                <w:b/>
                <w:bCs/>
                <w:noProof/>
                <w:color w:val="FFFFFF" w:themeColor="background1"/>
                <w:szCs w:val="22"/>
                <w:rtl/>
              </w:rPr>
              <w:t xml:space="preserve"> ההמתנה </w:t>
            </w:r>
            <w:r w:rsidRPr="00236CC3">
              <w:rPr>
                <w:rFonts w:ascii="Tahoma" w:hAnsi="Tahoma" w:cs="Tahoma" w:hint="cs"/>
                <w:b/>
                <w:bCs/>
                <w:noProof/>
                <w:color w:val="FFFFFF" w:themeColor="background1"/>
                <w:szCs w:val="22"/>
                <w:rtl/>
              </w:rPr>
              <w:t xml:space="preserve">הממוצעים </w:t>
            </w:r>
            <w:r w:rsidRPr="00236CC3">
              <w:rPr>
                <w:rFonts w:ascii="Tahoma" w:hAnsi="Tahoma" w:cs="Tahoma"/>
                <w:b/>
                <w:bCs/>
                <w:noProof/>
                <w:color w:val="FFFFFF" w:themeColor="background1"/>
                <w:szCs w:val="22"/>
                <w:rtl/>
              </w:rPr>
              <w:t>ל</w:t>
            </w:r>
            <w:r w:rsidRPr="00236CC3">
              <w:rPr>
                <w:rFonts w:ascii="Tahoma" w:hAnsi="Tahoma" w:cs="Tahoma" w:hint="cs"/>
                <w:b/>
                <w:bCs/>
                <w:noProof/>
                <w:color w:val="FFFFFF" w:themeColor="background1"/>
                <w:szCs w:val="22"/>
                <w:rtl/>
              </w:rPr>
              <w:t>רופאים מ</w:t>
            </w:r>
            <w:r w:rsidRPr="00236CC3">
              <w:rPr>
                <w:rFonts w:ascii="Tahoma" w:hAnsi="Tahoma" w:cs="Tahoma"/>
                <w:b/>
                <w:bCs/>
                <w:noProof/>
                <w:color w:val="FFFFFF" w:themeColor="background1"/>
                <w:szCs w:val="22"/>
                <w:rtl/>
              </w:rPr>
              <w:t>התמחויות נבחרות ב</w:t>
            </w:r>
            <w:r w:rsidRPr="00236CC3">
              <w:rPr>
                <w:rFonts w:ascii="Tahoma" w:hAnsi="Tahoma" w:cs="Tahoma" w:hint="cs"/>
                <w:b/>
                <w:bCs/>
                <w:noProof/>
                <w:color w:val="FFFFFF" w:themeColor="background1"/>
                <w:szCs w:val="22"/>
                <w:rtl/>
              </w:rPr>
              <w:t>ארבע קופות החולים, 2022 (בימים)</w:t>
            </w:r>
            <w:r>
              <w:rPr>
                <w:rFonts w:ascii="Tahoma" w:hAnsi="Tahoma" w:cs="Tahoma"/>
                <w:b/>
                <w:bCs/>
                <w:noProof/>
                <w:color w:val="FFFFFF" w:themeColor="background1"/>
                <w:vertAlign w:val="superscript"/>
                <w:rtl/>
              </w:rPr>
              <w:footnoteReference w:id="11"/>
            </w:r>
          </w:p>
        </w:tc>
      </w:tr>
      <w:tr w:rsidR="004F19B3" w14:paraId="78E6AEC1" w14:textId="77777777" w:rsidTr="00D45993">
        <w:trPr>
          <w:gridAfter w:val="1"/>
          <w:wAfter w:w="631" w:type="dxa"/>
          <w:trHeight w:val="192"/>
        </w:trPr>
        <w:tc>
          <w:tcPr>
            <w:tcW w:w="9652" w:type="dxa"/>
            <w:tcBorders>
              <w:top w:val="nil"/>
              <w:left w:val="nil"/>
              <w:bottom w:val="nil"/>
              <w:right w:val="nil"/>
            </w:tcBorders>
          </w:tcPr>
          <w:p w14:paraId="079BA3C7" w14:textId="77777777" w:rsidR="00236CC3" w:rsidRPr="00236CC3" w:rsidRDefault="00236CC3" w:rsidP="00236CC3">
            <w:pPr>
              <w:tabs>
                <w:tab w:val="center" w:pos="4153"/>
                <w:tab w:val="right" w:pos="8306"/>
              </w:tabs>
              <w:rPr>
                <w:rtl/>
              </w:rPr>
            </w:pPr>
          </w:p>
        </w:tc>
      </w:tr>
    </w:tbl>
    <w:p w14:paraId="44CB1B6C" w14:textId="77777777" w:rsidR="00236CC3" w:rsidRPr="00236CC3" w:rsidRDefault="00236CC3" w:rsidP="00236CC3">
      <w:pPr>
        <w:rPr>
          <w:rFonts w:eastAsiaTheme="minorHAnsi"/>
          <w:rtl/>
        </w:rPr>
      </w:pPr>
    </w:p>
    <w:bookmarkEnd w:id="102"/>
    <w:p w14:paraId="3EE7DB12" w14:textId="77777777" w:rsidR="00236CC3" w:rsidRPr="00236CC3" w:rsidRDefault="00236CC3" w:rsidP="00236CC3">
      <w:pPr>
        <w:bidi w:val="0"/>
        <w:spacing w:after="200" w:line="276" w:lineRule="auto"/>
        <w:rPr>
          <w:rFonts w:eastAsiaTheme="majorEastAsia"/>
          <w:bCs/>
          <w:szCs w:val="28"/>
          <w:u w:val="single"/>
        </w:rPr>
      </w:pPr>
    </w:p>
    <w:p w14:paraId="5FCC1D66" w14:textId="77777777" w:rsidR="00236CC3" w:rsidRPr="00236CC3" w:rsidRDefault="00236CC3" w:rsidP="00236CC3">
      <w:pPr>
        <w:spacing w:line="288" w:lineRule="auto"/>
        <w:rPr>
          <w:rFonts w:ascii="Tahoma" w:eastAsiaTheme="minorHAnsi" w:hAnsi="Tahoma" w:cs="Tahoma"/>
          <w:rtl/>
        </w:rPr>
      </w:pPr>
    </w:p>
    <w:p w14:paraId="3490C66B" w14:textId="77777777" w:rsidR="00236CC3" w:rsidRPr="00236CC3" w:rsidRDefault="00236CC3" w:rsidP="00236CC3">
      <w:pPr>
        <w:spacing w:line="288" w:lineRule="auto"/>
        <w:ind w:left="-851" w:right="-567"/>
        <w:rPr>
          <w:rFonts w:ascii="Tahoma" w:eastAsiaTheme="minorHAnsi" w:hAnsi="Tahoma" w:cs="Tahoma"/>
          <w:sz w:val="19"/>
          <w:szCs w:val="19"/>
          <w:rtl/>
        </w:rPr>
      </w:pPr>
    </w:p>
    <w:p w14:paraId="3118D415" w14:textId="77777777" w:rsidR="00BD7CA3" w:rsidRPr="00C83236" w:rsidRDefault="00BD7CA3" w:rsidP="0009616B">
      <w:pPr>
        <w:spacing w:line="360" w:lineRule="auto"/>
        <w:rPr>
          <w:rFonts w:ascii="Arial" w:hAnsi="Arial" w:cs="Arial"/>
          <w:sz w:val="24"/>
          <w:rtl/>
        </w:rPr>
      </w:pPr>
    </w:p>
    <w:sectPr w:rsidR="00BD7CA3" w:rsidRPr="00C83236" w:rsidSect="00E406E2">
      <w:headerReference w:type="default" r:id="rId20"/>
      <w:footerReference w:type="default" r:id="rId21"/>
      <w:headerReference w:type="first" r:id="rId22"/>
      <w:pgSz w:w="11906" w:h="16838"/>
      <w:pgMar w:top="2233" w:right="1984" w:bottom="1587" w:left="1701" w:header="3458" w:footer="141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38141" w14:textId="77777777" w:rsidR="009C3FAF" w:rsidRDefault="009C3FAF">
      <w:pPr>
        <w:spacing w:line="240" w:lineRule="auto"/>
      </w:pPr>
      <w:r>
        <w:separator/>
      </w:r>
    </w:p>
  </w:endnote>
  <w:endnote w:type="continuationSeparator" w:id="0">
    <w:p w14:paraId="7B16DA74" w14:textId="77777777" w:rsidR="009C3FAF" w:rsidRDefault="009C3F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MDL2 Assets">
    <w:panose1 w:val="050A0102010101010101"/>
    <w:charset w:val="00"/>
    <w:family w:val="roman"/>
    <w:pitch w:val="variable"/>
    <w:sig w:usb0="00000003" w:usb1="10000000" w:usb2="00000000" w:usb3="00000000" w:csb0="00000001" w:csb1="00000000"/>
  </w:font>
  <w:font w:name="Wingdings 2">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w:altName w:val="Calibri"/>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272058678"/>
      <w:docPartObj>
        <w:docPartGallery w:val="Page Numbers (Bottom of Page)"/>
        <w:docPartUnique/>
      </w:docPartObj>
    </w:sdtPr>
    <w:sdtContent>
      <w:p w14:paraId="7560621C" w14:textId="77777777" w:rsidR="0099741C" w:rsidRDefault="00000000">
        <w:pPr>
          <w:pStyle w:val="a7"/>
          <w:jc w:val="center"/>
        </w:pPr>
        <w:r>
          <w:fldChar w:fldCharType="begin"/>
        </w:r>
        <w:r>
          <w:instrText>PAGE   \* MERGEFORMAT</w:instrText>
        </w:r>
        <w:r>
          <w:fldChar w:fldCharType="separate"/>
        </w:r>
        <w:r>
          <w:rPr>
            <w:rtl/>
            <w:lang w:val="he-IL"/>
          </w:rPr>
          <w:t>2</w:t>
        </w:r>
        <w:r>
          <w:fldChar w:fldCharType="end"/>
        </w:r>
      </w:p>
    </w:sdtContent>
  </w:sdt>
  <w:p w14:paraId="0DA0B394" w14:textId="77777777" w:rsidR="00DC2A4C" w:rsidRDefault="00DC2A4C">
    <w:pPr>
      <w:pStyle w:val="a7"/>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222E0" w14:textId="77777777" w:rsidR="009C3FAF" w:rsidRDefault="009C3FAF">
      <w:pPr>
        <w:spacing w:line="240" w:lineRule="auto"/>
      </w:pPr>
      <w:r>
        <w:separator/>
      </w:r>
    </w:p>
  </w:footnote>
  <w:footnote w:type="continuationSeparator" w:id="0">
    <w:p w14:paraId="6B5E2269" w14:textId="77777777" w:rsidR="009C3FAF" w:rsidRDefault="009C3FAF">
      <w:pPr>
        <w:spacing w:line="240" w:lineRule="auto"/>
      </w:pPr>
      <w:r>
        <w:continuationSeparator/>
      </w:r>
    </w:p>
  </w:footnote>
  <w:footnote w:id="1">
    <w:p w14:paraId="61E9BE30" w14:textId="77777777" w:rsidR="00DC2A4C" w:rsidRPr="00545B96" w:rsidRDefault="00000000" w:rsidP="00236CC3">
      <w:pPr>
        <w:pStyle w:val="ab"/>
        <w:ind w:left="-1" w:right="-567" w:hanging="567"/>
        <w:rPr>
          <w:rFonts w:ascii="Tahoma" w:hAnsi="Tahoma" w:cs="Tahoma"/>
          <w:sz w:val="16"/>
          <w:szCs w:val="16"/>
        </w:rPr>
      </w:pPr>
      <w:r w:rsidRPr="00545B96">
        <w:rPr>
          <w:rStyle w:val="ad"/>
          <w:rFonts w:ascii="Tahoma" w:hAnsi="Tahoma" w:cs="Tahoma"/>
          <w:sz w:val="16"/>
          <w:szCs w:val="16"/>
        </w:rPr>
        <w:footnoteRef/>
      </w:r>
      <w:r w:rsidRPr="00545B96">
        <w:rPr>
          <w:rFonts w:ascii="Tahoma" w:hAnsi="Tahoma" w:cs="Tahoma"/>
          <w:sz w:val="16"/>
          <w:szCs w:val="16"/>
          <w:rtl/>
        </w:rPr>
        <w:t xml:space="preserve"> </w:t>
      </w:r>
      <w:r w:rsidRPr="00545B96">
        <w:rPr>
          <w:rFonts w:ascii="Tahoma" w:hAnsi="Tahoma" w:cs="Tahoma"/>
          <w:sz w:val="16"/>
          <w:szCs w:val="16"/>
          <w:rtl/>
        </w:rPr>
        <w:tab/>
        <w:t>עלייה של 2.9% בשלושת החודשים הראשונים למלחמה, על פי בדיקת משרד הכלכלה; עליה של 6% במחיר סל המוצרים בין 21.8.23 ל-15.10.23 על פי בדיקת הרשות להגנת הצרכן; עליה בין 5% ל-5.6% במחיר סל מוצרים ממוצע (סל האלף) בחודשים אוקטובר ונובמבר 2023 ביחס לחודשים מקבילים אשתקד. - על פי בדיקה של הרשות להגנת הצרכן.</w:t>
      </w:r>
    </w:p>
  </w:footnote>
  <w:footnote w:id="2">
    <w:p w14:paraId="5F32292D" w14:textId="77777777" w:rsidR="00DC2A4C" w:rsidRPr="00374B93" w:rsidRDefault="00000000" w:rsidP="00236CC3">
      <w:pPr>
        <w:pStyle w:val="ab"/>
        <w:rPr>
          <w:rFonts w:ascii="Tahoma" w:hAnsi="Tahoma" w:cs="Tahoma"/>
          <w:sz w:val="16"/>
          <w:szCs w:val="16"/>
        </w:rPr>
      </w:pPr>
      <w:r w:rsidRPr="00374B93">
        <w:rPr>
          <w:rStyle w:val="ad"/>
          <w:rFonts w:ascii="Tahoma" w:hAnsi="Tahoma" w:cs="Tahoma"/>
          <w:sz w:val="16"/>
          <w:szCs w:val="16"/>
        </w:rPr>
        <w:footnoteRef/>
      </w:r>
      <w:r w:rsidRPr="00374B93">
        <w:rPr>
          <w:rFonts w:ascii="Tahoma" w:hAnsi="Tahoma" w:cs="Tahoma"/>
          <w:sz w:val="16"/>
          <w:szCs w:val="16"/>
          <w:rtl/>
        </w:rPr>
        <w:t xml:space="preserve"> </w:t>
      </w:r>
      <w:r w:rsidRPr="00374B93">
        <w:rPr>
          <w:rFonts w:ascii="Tahoma" w:hAnsi="Tahoma" w:cs="Tahoma"/>
          <w:sz w:val="16"/>
          <w:szCs w:val="16"/>
          <w:rtl/>
        </w:rPr>
        <w:tab/>
        <w:t>תחנה המופעלת בדלק פוסילי: גז טבעי, ובסולר כדלק משני.</w:t>
      </w:r>
    </w:p>
  </w:footnote>
  <w:footnote w:id="3">
    <w:p w14:paraId="22629936" w14:textId="77777777" w:rsidR="00DC2A4C" w:rsidRPr="00374B93" w:rsidRDefault="00000000" w:rsidP="00236CC3">
      <w:pPr>
        <w:pStyle w:val="ab"/>
        <w:ind w:right="-567"/>
        <w:rPr>
          <w:rFonts w:ascii="Tahoma" w:hAnsi="Tahoma" w:cs="Tahoma"/>
          <w:sz w:val="16"/>
          <w:szCs w:val="16"/>
          <w:rtl/>
        </w:rPr>
      </w:pPr>
      <w:r w:rsidRPr="00374B93">
        <w:rPr>
          <w:rStyle w:val="ad"/>
          <w:rFonts w:ascii="Tahoma" w:hAnsi="Tahoma" w:cs="Tahoma"/>
          <w:sz w:val="16"/>
          <w:szCs w:val="16"/>
        </w:rPr>
        <w:footnoteRef/>
      </w:r>
      <w:r w:rsidRPr="00374B93">
        <w:rPr>
          <w:rFonts w:ascii="Tahoma" w:hAnsi="Tahoma" w:cs="Tahoma"/>
          <w:sz w:val="16"/>
          <w:szCs w:val="16"/>
          <w:rtl/>
        </w:rPr>
        <w:t xml:space="preserve"> </w:t>
      </w:r>
      <w:r w:rsidRPr="00374B93">
        <w:rPr>
          <w:rFonts w:ascii="Tahoma" w:hAnsi="Tahoma" w:cs="Tahoma"/>
          <w:sz w:val="16"/>
          <w:szCs w:val="16"/>
          <w:rtl/>
        </w:rPr>
        <w:tab/>
        <w:t>החישוב מבוסס על הנחת נגה שלפיה ההספק המותקן החסר צפוי להסתכם ב-1,180 מגה-ואט בשנת 2027 וב-2,150 מגה-ואט בשנת 2028. בהנחה כי במשק יהיו 6.5 ו-9.9 שעות אי-אספקה בשנים 2027 ו-2028 בהתאמה, בניכוי קריטריון האמינות ששיעורו 1.8 שעות (בסה"כ חריגה של 4.7 ו-8.1 שעות אי-אספקה מקריטריון האמינות), ובהנחה כי העלות לקוט"ש בלתי מסופק היא 140 ש"ח.</w:t>
      </w:r>
    </w:p>
  </w:footnote>
  <w:footnote w:id="4">
    <w:p w14:paraId="3B9C7BBE" w14:textId="77777777" w:rsidR="00DC2A4C" w:rsidRDefault="00000000" w:rsidP="00236CC3">
      <w:pPr>
        <w:pStyle w:val="ab"/>
      </w:pPr>
      <w:r>
        <w:rPr>
          <w:rStyle w:val="ad"/>
        </w:rPr>
        <w:footnoteRef/>
      </w:r>
      <w:r>
        <w:rPr>
          <w:rtl/>
        </w:rPr>
        <w:t xml:space="preserve"> </w:t>
      </w:r>
      <w:r>
        <w:rPr>
          <w:rtl/>
        </w:rPr>
        <w:tab/>
      </w:r>
      <w:r>
        <w:rPr>
          <w:rFonts w:hint="cs"/>
          <w:rtl/>
        </w:rPr>
        <w:t>ועדה בין משרדית ברשות סגן בכיר לחשב הכללי שבה מכהנים נציגים מהחשכ"ל, מאגף התקציבים, ממשרד התחבורה, מחברת ענבל ומחברת חוצה ישראל.</w:t>
      </w:r>
    </w:p>
  </w:footnote>
  <w:footnote w:id="5">
    <w:p w14:paraId="7D43FAAA" w14:textId="77777777" w:rsidR="00DC2A4C" w:rsidRDefault="00000000" w:rsidP="00236CC3">
      <w:pPr>
        <w:pStyle w:val="ab"/>
        <w:rPr>
          <w:rtl/>
        </w:rPr>
      </w:pPr>
      <w:r>
        <w:rPr>
          <w:rStyle w:val="ad"/>
        </w:rPr>
        <w:footnoteRef/>
      </w:r>
      <w:r>
        <w:rPr>
          <w:rtl/>
        </w:rPr>
        <w:t xml:space="preserve"> </w:t>
      </w:r>
      <w:r>
        <w:rPr>
          <w:rtl/>
        </w:rPr>
        <w:tab/>
      </w:r>
      <w:r>
        <w:rPr>
          <w:rFonts w:hint="cs"/>
          <w:rtl/>
        </w:rPr>
        <w:t>נתיב שבו, בהתאם למדיניות משרד התחבורה, מתאפשרת נסיעה של רכב פרטי רק אם יש בו מספר מזערי של נוסעים (כולל הנהג). המספר המזערי יכול להיות 2+ (נהג ועוד נוסע), 3+ (נהג ועוד שני נוסעים), ואף 4+ ויותר.</w:t>
      </w:r>
    </w:p>
  </w:footnote>
  <w:footnote w:id="6">
    <w:p w14:paraId="33F45960" w14:textId="77777777" w:rsidR="00DC2A4C" w:rsidRPr="00397596" w:rsidRDefault="00000000" w:rsidP="00236CC3">
      <w:pPr>
        <w:pStyle w:val="ab"/>
        <w:ind w:left="-1" w:right="-567" w:hanging="708"/>
        <w:rPr>
          <w:rFonts w:ascii="Tahoma" w:hAnsi="Tahoma" w:cs="Tahoma"/>
          <w:sz w:val="16"/>
          <w:szCs w:val="16"/>
          <w:rtl/>
        </w:rPr>
      </w:pPr>
      <w:r w:rsidRPr="00397596">
        <w:rPr>
          <w:rStyle w:val="ad"/>
          <w:rFonts w:ascii="Tahoma" w:hAnsi="Tahoma" w:cs="Tahoma"/>
          <w:sz w:val="16"/>
          <w:szCs w:val="16"/>
        </w:rPr>
        <w:footnoteRef/>
      </w:r>
      <w:r w:rsidRPr="00397596">
        <w:rPr>
          <w:rFonts w:ascii="Tahoma" w:hAnsi="Tahoma" w:cs="Tahoma"/>
          <w:sz w:val="16"/>
          <w:szCs w:val="16"/>
          <w:rtl/>
        </w:rPr>
        <w:t xml:space="preserve"> </w:t>
      </w:r>
      <w:r>
        <w:rPr>
          <w:rFonts w:ascii="Tahoma" w:hAnsi="Tahoma" w:cs="Tahoma"/>
          <w:sz w:val="16"/>
          <w:szCs w:val="16"/>
          <w:rtl/>
        </w:rPr>
        <w:tab/>
      </w:r>
      <w:r>
        <w:rPr>
          <w:rFonts w:ascii="Tahoma" w:hAnsi="Tahoma" w:cs="Tahoma"/>
          <w:sz w:val="16"/>
          <w:szCs w:val="16"/>
          <w:rtl/>
        </w:rPr>
        <w:tab/>
      </w:r>
      <w:r w:rsidRPr="00397596">
        <w:rPr>
          <w:rFonts w:ascii="Tahoma" w:hAnsi="Tahoma" w:cs="Tahoma"/>
          <w:sz w:val="16"/>
          <w:szCs w:val="16"/>
          <w:rtl/>
        </w:rPr>
        <w:t xml:space="preserve">מונית, רכב סיור ואוטובוס זעיר ציבורי במשקל כולל מותר של עד 5,000 ק"ג ועד 16 מקומות ישיבה מלבד הנהג. המקור: </w:t>
      </w:r>
      <w:hyperlink r:id="rId1" w:history="1">
        <w:r w:rsidR="00DC2A4C" w:rsidRPr="00397596">
          <w:rPr>
            <w:rStyle w:val="Hyperlink"/>
            <w:rFonts w:ascii="Tahoma" w:hAnsi="Tahoma" w:cs="Tahoma"/>
            <w:sz w:val="16"/>
            <w:szCs w:val="16"/>
            <w:rtl/>
          </w:rPr>
          <w:t>אתר המרשתת של משרד התחבורה</w:t>
        </w:r>
      </w:hyperlink>
      <w:r w:rsidRPr="00397596">
        <w:rPr>
          <w:rFonts w:ascii="Tahoma" w:hAnsi="Tahoma" w:cs="Tahoma"/>
          <w:sz w:val="16"/>
          <w:szCs w:val="16"/>
          <w:rtl/>
        </w:rPr>
        <w:t xml:space="preserve">. </w:t>
      </w:r>
    </w:p>
  </w:footnote>
  <w:footnote w:id="7">
    <w:p w14:paraId="4015770A" w14:textId="77777777" w:rsidR="00DC2A4C" w:rsidRPr="00654D81" w:rsidRDefault="00000000" w:rsidP="00236CC3">
      <w:pPr>
        <w:pStyle w:val="ab"/>
        <w:ind w:right="-709"/>
        <w:rPr>
          <w:rFonts w:ascii="Tahoma" w:hAnsi="Tahoma" w:cs="Tahoma"/>
          <w:sz w:val="16"/>
          <w:szCs w:val="16"/>
          <w:rtl/>
        </w:rPr>
      </w:pPr>
      <w:r w:rsidRPr="00654D81">
        <w:rPr>
          <w:rStyle w:val="ad"/>
          <w:rFonts w:ascii="Tahoma" w:hAnsi="Tahoma" w:cs="Tahoma"/>
          <w:sz w:val="16"/>
          <w:szCs w:val="16"/>
        </w:rPr>
        <w:footnoteRef/>
      </w:r>
      <w:r w:rsidRPr="00654D81">
        <w:rPr>
          <w:rFonts w:ascii="Tahoma" w:hAnsi="Tahoma" w:cs="Tahoma"/>
          <w:sz w:val="16"/>
          <w:szCs w:val="16"/>
          <w:rtl/>
        </w:rPr>
        <w:t xml:space="preserve"> </w:t>
      </w:r>
      <w:r w:rsidRPr="00654D81">
        <w:rPr>
          <w:rFonts w:ascii="Tahoma" w:hAnsi="Tahoma" w:cs="Tahoma"/>
          <w:sz w:val="16"/>
          <w:szCs w:val="16"/>
          <w:rtl/>
        </w:rPr>
        <w:tab/>
        <w:t>על פי נתוני הלמ"ס, אדם עם מוגבלות תפקודית חמורה הוא אדם שמתקשה קושי רב, או אינו יכול כלל, לעשות לפחות אחת מהפעולות האלה: לראות, לשמוע, ללכת או לעלות במדרגות, להתלבש או להתרחץ בעצמו, לזכור או להתרכז.</w:t>
      </w:r>
    </w:p>
  </w:footnote>
  <w:footnote w:id="8">
    <w:p w14:paraId="12849932" w14:textId="77777777" w:rsidR="00DC2A4C" w:rsidRPr="00654D81" w:rsidRDefault="00000000" w:rsidP="00236CC3">
      <w:pPr>
        <w:pStyle w:val="ab"/>
        <w:ind w:right="-709"/>
        <w:rPr>
          <w:rFonts w:ascii="Tahoma" w:hAnsi="Tahoma" w:cs="Tahoma"/>
          <w:sz w:val="16"/>
          <w:szCs w:val="16"/>
          <w:rtl/>
        </w:rPr>
      </w:pPr>
      <w:r w:rsidRPr="00654D81">
        <w:rPr>
          <w:rStyle w:val="ad"/>
          <w:rFonts w:ascii="Tahoma" w:hAnsi="Tahoma" w:cs="Tahoma"/>
          <w:sz w:val="16"/>
          <w:szCs w:val="16"/>
        </w:rPr>
        <w:footnoteRef/>
      </w:r>
      <w:r w:rsidRPr="00654D81">
        <w:rPr>
          <w:rFonts w:ascii="Tahoma" w:hAnsi="Tahoma" w:cs="Tahoma"/>
          <w:sz w:val="16"/>
          <w:szCs w:val="16"/>
          <w:rtl/>
        </w:rPr>
        <w:t xml:space="preserve"> </w:t>
      </w:r>
      <w:r w:rsidRPr="00654D81">
        <w:rPr>
          <w:rFonts w:ascii="Tahoma" w:hAnsi="Tahoma" w:cs="Tahoma"/>
          <w:sz w:val="16"/>
          <w:szCs w:val="16"/>
          <w:rtl/>
        </w:rPr>
        <w:tab/>
        <w:t>למעט חובת תקנות שוויון זכויות לאנשים עם מוגבלות (נגישות חושית באוטובוסים בין-עירוניים), התשע"ח-2017.</w:t>
      </w:r>
    </w:p>
  </w:footnote>
  <w:footnote w:id="9">
    <w:p w14:paraId="03F5CF7C" w14:textId="77777777" w:rsidR="00DC2A4C" w:rsidRPr="00654D81" w:rsidRDefault="00000000" w:rsidP="00236CC3">
      <w:pPr>
        <w:pStyle w:val="ab"/>
        <w:rPr>
          <w:rFonts w:ascii="Tahoma" w:hAnsi="Tahoma" w:cs="Tahoma"/>
          <w:sz w:val="16"/>
          <w:szCs w:val="16"/>
        </w:rPr>
      </w:pPr>
      <w:r w:rsidRPr="00654D81">
        <w:rPr>
          <w:rStyle w:val="ad"/>
          <w:rFonts w:ascii="Tahoma" w:hAnsi="Tahoma" w:cs="Tahoma"/>
          <w:sz w:val="16"/>
          <w:szCs w:val="16"/>
        </w:rPr>
        <w:footnoteRef/>
      </w:r>
      <w:r w:rsidRPr="00654D81">
        <w:rPr>
          <w:rFonts w:ascii="Tahoma" w:hAnsi="Tahoma" w:cs="Tahoma"/>
          <w:sz w:val="16"/>
          <w:szCs w:val="16"/>
          <w:rtl/>
        </w:rPr>
        <w:t xml:space="preserve"> </w:t>
      </w:r>
      <w:r w:rsidRPr="00654D81">
        <w:rPr>
          <w:rFonts w:ascii="Tahoma" w:hAnsi="Tahoma" w:cs="Tahoma"/>
          <w:sz w:val="16"/>
          <w:szCs w:val="16"/>
          <w:rtl/>
        </w:rPr>
        <w:tab/>
      </w:r>
      <w:r w:rsidRPr="00654D81">
        <w:rPr>
          <w:rFonts w:ascii="Tahoma" w:hAnsi="Tahoma" w:cs="Tahoma"/>
          <w:b/>
          <w:bCs/>
          <w:sz w:val="16"/>
          <w:szCs w:val="16"/>
          <w:rtl/>
        </w:rPr>
        <w:t>הערות ראש הממשלה לדוח מבקר המדינה 72א חלק שני</w:t>
      </w:r>
      <w:r w:rsidRPr="00654D81">
        <w:rPr>
          <w:rFonts w:ascii="Tahoma" w:hAnsi="Tahoma" w:cs="Tahoma"/>
          <w:sz w:val="16"/>
          <w:szCs w:val="16"/>
          <w:rtl/>
        </w:rPr>
        <w:t xml:space="preserve"> (אוקטובר 2021), עמ' 109 - 131.</w:t>
      </w:r>
    </w:p>
  </w:footnote>
  <w:footnote w:id="10">
    <w:p w14:paraId="082583FE" w14:textId="77777777" w:rsidR="00DC2A4C" w:rsidRPr="00654D81" w:rsidRDefault="00000000" w:rsidP="00236CC3">
      <w:pPr>
        <w:pStyle w:val="ab"/>
        <w:rPr>
          <w:rFonts w:ascii="Tahoma" w:hAnsi="Tahoma" w:cs="Tahoma"/>
          <w:sz w:val="16"/>
          <w:szCs w:val="16"/>
          <w:rtl/>
        </w:rPr>
      </w:pPr>
      <w:r w:rsidRPr="00654D81">
        <w:rPr>
          <w:rStyle w:val="ad"/>
          <w:rFonts w:ascii="Tahoma" w:hAnsi="Tahoma" w:cs="Tahoma"/>
          <w:sz w:val="16"/>
          <w:szCs w:val="16"/>
        </w:rPr>
        <w:footnoteRef/>
      </w:r>
      <w:r w:rsidRPr="00654D81">
        <w:rPr>
          <w:rFonts w:ascii="Tahoma" w:hAnsi="Tahoma" w:cs="Tahoma"/>
          <w:sz w:val="16"/>
          <w:szCs w:val="16"/>
          <w:rtl/>
        </w:rPr>
        <w:t xml:space="preserve"> </w:t>
      </w:r>
      <w:r w:rsidRPr="00654D81">
        <w:rPr>
          <w:rFonts w:ascii="Tahoma" w:hAnsi="Tahoma" w:cs="Tahoma"/>
          <w:sz w:val="16"/>
          <w:szCs w:val="16"/>
          <w:rtl/>
        </w:rPr>
        <w:tab/>
        <w:t>לגבי כ-1,038 תחנות הנותרות (כ-8% מסך הבקשות) לא נדרשו פעולות הנגשה כל שהן.</w:t>
      </w:r>
    </w:p>
  </w:footnote>
  <w:footnote w:id="11">
    <w:p w14:paraId="224566BD" w14:textId="77777777" w:rsidR="00DC2A4C" w:rsidRDefault="00000000" w:rsidP="00236CC3">
      <w:pPr>
        <w:pStyle w:val="ab"/>
        <w:rPr>
          <w:rtl/>
        </w:rPr>
      </w:pPr>
      <w:r>
        <w:rPr>
          <w:rStyle w:val="ad"/>
        </w:rPr>
        <w:footnoteRef/>
      </w:r>
      <w:r>
        <w:rPr>
          <w:rtl/>
        </w:rPr>
        <w:t xml:space="preserve"> </w:t>
      </w:r>
      <w:r>
        <w:rPr>
          <w:rtl/>
        </w:rPr>
        <w:tab/>
      </w:r>
      <w:r w:rsidRPr="005113BB">
        <w:rPr>
          <w:rFonts w:ascii="Tahoma" w:hAnsi="Tahoma" w:cs="Tahoma"/>
          <w:sz w:val="16"/>
          <w:szCs w:val="16"/>
          <w:rtl/>
        </w:rPr>
        <w:t>בשל שוני באופן ניהול הנתונים בקופות החולים, תיתכן שונות בהגדרות התורים והתחומים אשר יכולים להשפיע על אורכי התור</w:t>
      </w:r>
      <w:r>
        <w:rPr>
          <w:rFonts w:ascii="Tahoma" w:hAnsi="Tahoma" w:cs="Tahoma" w:hint="cs"/>
          <w:sz w:val="16"/>
          <w:szCs w:val="16"/>
          <w:rtl/>
        </w:rPr>
        <w:t>,</w:t>
      </w:r>
      <w:r w:rsidRPr="005113BB">
        <w:rPr>
          <w:rFonts w:ascii="Tahoma" w:hAnsi="Tahoma" w:cs="Tahoma"/>
          <w:sz w:val="16"/>
          <w:szCs w:val="16"/>
          <w:rtl/>
        </w:rPr>
        <w:t xml:space="preserve"> ועל כן ניתן להשוות בין התחומים בכל אחת מהקופות, אך לא בין הקופות.</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2D39B" w14:textId="77777777" w:rsidR="00DC2A4C" w:rsidRDefault="00000000" w:rsidP="00E406E2">
    <w:pPr>
      <w:pStyle w:val="a5"/>
      <w:rPr>
        <w:rtl/>
      </w:rPr>
    </w:pPr>
    <w:r>
      <w:rPr>
        <w:noProof/>
      </w:rPr>
      <w:drawing>
        <wp:anchor distT="0" distB="0" distL="114300" distR="114300" simplePos="0" relativeHeight="251659264" behindDoc="1" locked="0" layoutInCell="1" allowOverlap="1" wp14:anchorId="3E5727D9" wp14:editId="30A08A7F">
          <wp:simplePos x="0" y="0"/>
          <wp:positionH relativeFrom="margin">
            <wp:posOffset>-727710</wp:posOffset>
          </wp:positionH>
          <wp:positionV relativeFrom="paragraph">
            <wp:posOffset>-2195195</wp:posOffset>
          </wp:positionV>
          <wp:extent cx="6969993" cy="1695450"/>
          <wp:effectExtent l="0" t="0" r="2540" b="0"/>
          <wp:wrapNone/>
          <wp:docPr id="7191" name="תמונה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 name="תמונה 3" descr="C:\Users\Dedi_co\AppData\Local\Microsoft\Windows\INetCache\Content.Word\חלק עליון 2- דוברת המשרד.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69993" cy="1695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CFA71" w14:textId="77777777" w:rsidR="00DC2A4C" w:rsidRDefault="00000000">
    <w:pPr>
      <w:pStyle w:val="a5"/>
    </w:pPr>
    <w:r>
      <w:rPr>
        <w:noProof/>
      </w:rPr>
      <w:drawing>
        <wp:anchor distT="0" distB="0" distL="114300" distR="114300" simplePos="0" relativeHeight="251658240" behindDoc="0" locked="0" layoutInCell="1" allowOverlap="1" wp14:anchorId="19EDFBBC" wp14:editId="59DF2DB7">
          <wp:simplePos x="0" y="0"/>
          <wp:positionH relativeFrom="margin">
            <wp:posOffset>-1066165</wp:posOffset>
          </wp:positionH>
          <wp:positionV relativeFrom="margin">
            <wp:posOffset>-1974850</wp:posOffset>
          </wp:positionV>
          <wp:extent cx="7560310" cy="1800225"/>
          <wp:effectExtent l="0" t="0" r="0" b="0"/>
          <wp:wrapSquare wrapText="bothSides"/>
          <wp:docPr id="719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 name="תמונה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31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84pt;height:384pt" o:bullet="t">
        <v:imagedata r:id="rId1" o:title="light-bulb"/>
      </v:shape>
    </w:pict>
  </w:numPicBullet>
  <w:abstractNum w:abstractNumId="0" w15:restartNumberingAfterBreak="0">
    <w:nsid w:val="06FE70FB"/>
    <w:multiLevelType w:val="hybridMultilevel"/>
    <w:tmpl w:val="920C6580"/>
    <w:lvl w:ilvl="0" w:tplc="73F0498A">
      <w:start w:val="1"/>
      <w:numFmt w:val="decimal"/>
      <w:lvlText w:val="%1."/>
      <w:lvlJc w:val="left"/>
      <w:pPr>
        <w:ind w:left="720" w:hanging="360"/>
      </w:pPr>
      <w:rPr>
        <w:rFonts w:eastAsia="Times New Roman"/>
        <w:b w:val="0"/>
      </w:rPr>
    </w:lvl>
    <w:lvl w:ilvl="1" w:tplc="A0CC55AE">
      <w:start w:val="1"/>
      <w:numFmt w:val="lowerLetter"/>
      <w:lvlText w:val="%2."/>
      <w:lvlJc w:val="left"/>
      <w:pPr>
        <w:ind w:left="1440" w:hanging="360"/>
      </w:pPr>
    </w:lvl>
    <w:lvl w:ilvl="2" w:tplc="805A784C">
      <w:start w:val="1"/>
      <w:numFmt w:val="lowerRoman"/>
      <w:lvlText w:val="%3."/>
      <w:lvlJc w:val="right"/>
      <w:pPr>
        <w:ind w:left="2160" w:hanging="180"/>
      </w:pPr>
    </w:lvl>
    <w:lvl w:ilvl="3" w:tplc="64929C30">
      <w:start w:val="1"/>
      <w:numFmt w:val="decimal"/>
      <w:lvlText w:val="%4."/>
      <w:lvlJc w:val="left"/>
      <w:pPr>
        <w:ind w:left="2880" w:hanging="360"/>
      </w:pPr>
    </w:lvl>
    <w:lvl w:ilvl="4" w:tplc="628E3746">
      <w:start w:val="1"/>
      <w:numFmt w:val="lowerLetter"/>
      <w:lvlText w:val="%5."/>
      <w:lvlJc w:val="left"/>
      <w:pPr>
        <w:ind w:left="3600" w:hanging="360"/>
      </w:pPr>
    </w:lvl>
    <w:lvl w:ilvl="5" w:tplc="E320E0B8">
      <w:start w:val="1"/>
      <w:numFmt w:val="lowerRoman"/>
      <w:lvlText w:val="%6."/>
      <w:lvlJc w:val="right"/>
      <w:pPr>
        <w:ind w:left="4320" w:hanging="180"/>
      </w:pPr>
    </w:lvl>
    <w:lvl w:ilvl="6" w:tplc="7F183134">
      <w:start w:val="1"/>
      <w:numFmt w:val="decimal"/>
      <w:lvlText w:val="%7."/>
      <w:lvlJc w:val="left"/>
      <w:pPr>
        <w:ind w:left="5040" w:hanging="360"/>
      </w:pPr>
    </w:lvl>
    <w:lvl w:ilvl="7" w:tplc="FEDA7510">
      <w:start w:val="1"/>
      <w:numFmt w:val="lowerLetter"/>
      <w:lvlText w:val="%8."/>
      <w:lvlJc w:val="left"/>
      <w:pPr>
        <w:ind w:left="5760" w:hanging="360"/>
      </w:pPr>
    </w:lvl>
    <w:lvl w:ilvl="8" w:tplc="4BFEE502">
      <w:start w:val="1"/>
      <w:numFmt w:val="lowerRoman"/>
      <w:lvlText w:val="%9."/>
      <w:lvlJc w:val="right"/>
      <w:pPr>
        <w:ind w:left="6480" w:hanging="180"/>
      </w:pPr>
    </w:lvl>
  </w:abstractNum>
  <w:abstractNum w:abstractNumId="1" w15:restartNumberingAfterBreak="0">
    <w:nsid w:val="0C8164DD"/>
    <w:multiLevelType w:val="hybridMultilevel"/>
    <w:tmpl w:val="65DC0490"/>
    <w:lvl w:ilvl="0" w:tplc="F09E93EE">
      <w:start w:val="1"/>
      <w:numFmt w:val="bullet"/>
      <w:lvlText w:val=""/>
      <w:lvlJc w:val="left"/>
      <w:pPr>
        <w:ind w:left="360" w:hanging="360"/>
      </w:pPr>
      <w:rPr>
        <w:rFonts w:ascii="Wingdings" w:hAnsi="Wingdings" w:cs="Wingdings" w:hint="default"/>
        <w:b/>
        <w:i w:val="0"/>
        <w:caps w:val="0"/>
        <w:strike w:val="0"/>
        <w:dstrike w:val="0"/>
        <w:vanish w:val="0"/>
        <w:color w:val="00B050"/>
        <w:sz w:val="40"/>
        <w:szCs w:val="25"/>
        <w:vertAlign w:val="baseline"/>
      </w:rPr>
    </w:lvl>
    <w:lvl w:ilvl="1" w:tplc="AA66A142" w:tentative="1">
      <w:start w:val="1"/>
      <w:numFmt w:val="bullet"/>
      <w:lvlText w:val="o"/>
      <w:lvlJc w:val="left"/>
      <w:pPr>
        <w:ind w:left="1080" w:hanging="360"/>
      </w:pPr>
      <w:rPr>
        <w:rFonts w:ascii="Courier New" w:hAnsi="Courier New" w:cs="Courier New" w:hint="default"/>
      </w:rPr>
    </w:lvl>
    <w:lvl w:ilvl="2" w:tplc="DAE88BC8" w:tentative="1">
      <w:start w:val="1"/>
      <w:numFmt w:val="bullet"/>
      <w:lvlText w:val=""/>
      <w:lvlJc w:val="left"/>
      <w:pPr>
        <w:ind w:left="1800" w:hanging="360"/>
      </w:pPr>
      <w:rPr>
        <w:rFonts w:ascii="Wingdings" w:hAnsi="Wingdings" w:hint="default"/>
      </w:rPr>
    </w:lvl>
    <w:lvl w:ilvl="3" w:tplc="04188928" w:tentative="1">
      <w:start w:val="1"/>
      <w:numFmt w:val="bullet"/>
      <w:lvlText w:val=""/>
      <w:lvlJc w:val="left"/>
      <w:pPr>
        <w:ind w:left="2520" w:hanging="360"/>
      </w:pPr>
      <w:rPr>
        <w:rFonts w:ascii="Symbol" w:hAnsi="Symbol" w:hint="default"/>
      </w:rPr>
    </w:lvl>
    <w:lvl w:ilvl="4" w:tplc="24507868" w:tentative="1">
      <w:start w:val="1"/>
      <w:numFmt w:val="bullet"/>
      <w:lvlText w:val="o"/>
      <w:lvlJc w:val="left"/>
      <w:pPr>
        <w:ind w:left="3240" w:hanging="360"/>
      </w:pPr>
      <w:rPr>
        <w:rFonts w:ascii="Courier New" w:hAnsi="Courier New" w:cs="Courier New" w:hint="default"/>
      </w:rPr>
    </w:lvl>
    <w:lvl w:ilvl="5" w:tplc="9C14266C" w:tentative="1">
      <w:start w:val="1"/>
      <w:numFmt w:val="bullet"/>
      <w:lvlText w:val=""/>
      <w:lvlJc w:val="left"/>
      <w:pPr>
        <w:ind w:left="3960" w:hanging="360"/>
      </w:pPr>
      <w:rPr>
        <w:rFonts w:ascii="Wingdings" w:hAnsi="Wingdings" w:hint="default"/>
      </w:rPr>
    </w:lvl>
    <w:lvl w:ilvl="6" w:tplc="87BA6516" w:tentative="1">
      <w:start w:val="1"/>
      <w:numFmt w:val="bullet"/>
      <w:lvlText w:val=""/>
      <w:lvlJc w:val="left"/>
      <w:pPr>
        <w:ind w:left="4680" w:hanging="360"/>
      </w:pPr>
      <w:rPr>
        <w:rFonts w:ascii="Symbol" w:hAnsi="Symbol" w:hint="default"/>
      </w:rPr>
    </w:lvl>
    <w:lvl w:ilvl="7" w:tplc="6C6E2A0E" w:tentative="1">
      <w:start w:val="1"/>
      <w:numFmt w:val="bullet"/>
      <w:lvlText w:val="o"/>
      <w:lvlJc w:val="left"/>
      <w:pPr>
        <w:ind w:left="5400" w:hanging="360"/>
      </w:pPr>
      <w:rPr>
        <w:rFonts w:ascii="Courier New" w:hAnsi="Courier New" w:cs="Courier New" w:hint="default"/>
      </w:rPr>
    </w:lvl>
    <w:lvl w:ilvl="8" w:tplc="CF381DF2" w:tentative="1">
      <w:start w:val="1"/>
      <w:numFmt w:val="bullet"/>
      <w:lvlText w:val=""/>
      <w:lvlJc w:val="left"/>
      <w:pPr>
        <w:ind w:left="6120" w:hanging="360"/>
      </w:pPr>
      <w:rPr>
        <w:rFonts w:ascii="Wingdings" w:hAnsi="Wingdings" w:hint="default"/>
      </w:rPr>
    </w:lvl>
  </w:abstractNum>
  <w:abstractNum w:abstractNumId="2" w15:restartNumberingAfterBreak="0">
    <w:nsid w:val="1B511C82"/>
    <w:multiLevelType w:val="hybridMultilevel"/>
    <w:tmpl w:val="F204090C"/>
    <w:lvl w:ilvl="0" w:tplc="E6169432">
      <w:numFmt w:val="bullet"/>
      <w:lvlText w:val="-"/>
      <w:lvlJc w:val="left"/>
      <w:pPr>
        <w:ind w:left="720" w:hanging="360"/>
      </w:pPr>
      <w:rPr>
        <w:rFonts w:ascii="Arial" w:eastAsia="Calibri" w:hAnsi="Arial" w:cs="Arial" w:hint="default"/>
      </w:rPr>
    </w:lvl>
    <w:lvl w:ilvl="1" w:tplc="A97ECB8E" w:tentative="1">
      <w:start w:val="1"/>
      <w:numFmt w:val="bullet"/>
      <w:lvlText w:val="o"/>
      <w:lvlJc w:val="left"/>
      <w:pPr>
        <w:ind w:left="1440" w:hanging="360"/>
      </w:pPr>
      <w:rPr>
        <w:rFonts w:ascii="Courier New" w:hAnsi="Courier New" w:cs="Courier New" w:hint="default"/>
      </w:rPr>
    </w:lvl>
    <w:lvl w:ilvl="2" w:tplc="7D9E8836" w:tentative="1">
      <w:start w:val="1"/>
      <w:numFmt w:val="bullet"/>
      <w:lvlText w:val=""/>
      <w:lvlJc w:val="left"/>
      <w:pPr>
        <w:ind w:left="2160" w:hanging="360"/>
      </w:pPr>
      <w:rPr>
        <w:rFonts w:ascii="Wingdings" w:hAnsi="Wingdings" w:hint="default"/>
      </w:rPr>
    </w:lvl>
    <w:lvl w:ilvl="3" w:tplc="F0FA4638" w:tentative="1">
      <w:start w:val="1"/>
      <w:numFmt w:val="bullet"/>
      <w:lvlText w:val=""/>
      <w:lvlJc w:val="left"/>
      <w:pPr>
        <w:ind w:left="2880" w:hanging="360"/>
      </w:pPr>
      <w:rPr>
        <w:rFonts w:ascii="Symbol" w:hAnsi="Symbol" w:hint="default"/>
      </w:rPr>
    </w:lvl>
    <w:lvl w:ilvl="4" w:tplc="3426E22E" w:tentative="1">
      <w:start w:val="1"/>
      <w:numFmt w:val="bullet"/>
      <w:lvlText w:val="o"/>
      <w:lvlJc w:val="left"/>
      <w:pPr>
        <w:ind w:left="3600" w:hanging="360"/>
      </w:pPr>
      <w:rPr>
        <w:rFonts w:ascii="Courier New" w:hAnsi="Courier New" w:cs="Courier New" w:hint="default"/>
      </w:rPr>
    </w:lvl>
    <w:lvl w:ilvl="5" w:tplc="9FBEE6B4" w:tentative="1">
      <w:start w:val="1"/>
      <w:numFmt w:val="bullet"/>
      <w:lvlText w:val=""/>
      <w:lvlJc w:val="left"/>
      <w:pPr>
        <w:ind w:left="4320" w:hanging="360"/>
      </w:pPr>
      <w:rPr>
        <w:rFonts w:ascii="Wingdings" w:hAnsi="Wingdings" w:hint="default"/>
      </w:rPr>
    </w:lvl>
    <w:lvl w:ilvl="6" w:tplc="33D83A20" w:tentative="1">
      <w:start w:val="1"/>
      <w:numFmt w:val="bullet"/>
      <w:lvlText w:val=""/>
      <w:lvlJc w:val="left"/>
      <w:pPr>
        <w:ind w:left="5040" w:hanging="360"/>
      </w:pPr>
      <w:rPr>
        <w:rFonts w:ascii="Symbol" w:hAnsi="Symbol" w:hint="default"/>
      </w:rPr>
    </w:lvl>
    <w:lvl w:ilvl="7" w:tplc="6F9637AA" w:tentative="1">
      <w:start w:val="1"/>
      <w:numFmt w:val="bullet"/>
      <w:lvlText w:val="o"/>
      <w:lvlJc w:val="left"/>
      <w:pPr>
        <w:ind w:left="5760" w:hanging="360"/>
      </w:pPr>
      <w:rPr>
        <w:rFonts w:ascii="Courier New" w:hAnsi="Courier New" w:cs="Courier New" w:hint="default"/>
      </w:rPr>
    </w:lvl>
    <w:lvl w:ilvl="8" w:tplc="C2E8EC4A" w:tentative="1">
      <w:start w:val="1"/>
      <w:numFmt w:val="bullet"/>
      <w:lvlText w:val=""/>
      <w:lvlJc w:val="left"/>
      <w:pPr>
        <w:ind w:left="6480" w:hanging="360"/>
      </w:pPr>
      <w:rPr>
        <w:rFonts w:ascii="Wingdings" w:hAnsi="Wingdings" w:hint="default"/>
      </w:rPr>
    </w:lvl>
  </w:abstractNum>
  <w:abstractNum w:abstractNumId="3" w15:restartNumberingAfterBreak="0">
    <w:nsid w:val="1C8259F2"/>
    <w:multiLevelType w:val="hybridMultilevel"/>
    <w:tmpl w:val="291EE500"/>
    <w:lvl w:ilvl="0" w:tplc="89A03920">
      <w:start w:val="1"/>
      <w:numFmt w:val="bullet"/>
      <w:lvlText w:val=""/>
      <w:lvlJc w:val="left"/>
      <w:pPr>
        <w:ind w:left="720" w:hanging="360"/>
      </w:pPr>
      <w:rPr>
        <w:rFonts w:ascii="Symbol" w:hAnsi="Symbol" w:hint="default"/>
      </w:rPr>
    </w:lvl>
    <w:lvl w:ilvl="1" w:tplc="F1201606" w:tentative="1">
      <w:start w:val="1"/>
      <w:numFmt w:val="bullet"/>
      <w:lvlText w:val="o"/>
      <w:lvlJc w:val="left"/>
      <w:pPr>
        <w:ind w:left="1440" w:hanging="360"/>
      </w:pPr>
      <w:rPr>
        <w:rFonts w:ascii="Courier New" w:hAnsi="Courier New" w:cs="Courier New" w:hint="default"/>
      </w:rPr>
    </w:lvl>
    <w:lvl w:ilvl="2" w:tplc="67523524" w:tentative="1">
      <w:start w:val="1"/>
      <w:numFmt w:val="bullet"/>
      <w:lvlText w:val=""/>
      <w:lvlJc w:val="left"/>
      <w:pPr>
        <w:ind w:left="2160" w:hanging="360"/>
      </w:pPr>
      <w:rPr>
        <w:rFonts w:ascii="Wingdings" w:hAnsi="Wingdings" w:hint="default"/>
      </w:rPr>
    </w:lvl>
    <w:lvl w:ilvl="3" w:tplc="216EEE00" w:tentative="1">
      <w:start w:val="1"/>
      <w:numFmt w:val="bullet"/>
      <w:lvlText w:val=""/>
      <w:lvlJc w:val="left"/>
      <w:pPr>
        <w:ind w:left="2880" w:hanging="360"/>
      </w:pPr>
      <w:rPr>
        <w:rFonts w:ascii="Symbol" w:hAnsi="Symbol" w:hint="default"/>
      </w:rPr>
    </w:lvl>
    <w:lvl w:ilvl="4" w:tplc="30660D58" w:tentative="1">
      <w:start w:val="1"/>
      <w:numFmt w:val="bullet"/>
      <w:lvlText w:val="o"/>
      <w:lvlJc w:val="left"/>
      <w:pPr>
        <w:ind w:left="3600" w:hanging="360"/>
      </w:pPr>
      <w:rPr>
        <w:rFonts w:ascii="Courier New" w:hAnsi="Courier New" w:cs="Courier New" w:hint="default"/>
      </w:rPr>
    </w:lvl>
    <w:lvl w:ilvl="5" w:tplc="4002F2D8" w:tentative="1">
      <w:start w:val="1"/>
      <w:numFmt w:val="bullet"/>
      <w:lvlText w:val=""/>
      <w:lvlJc w:val="left"/>
      <w:pPr>
        <w:ind w:left="4320" w:hanging="360"/>
      </w:pPr>
      <w:rPr>
        <w:rFonts w:ascii="Wingdings" w:hAnsi="Wingdings" w:hint="default"/>
      </w:rPr>
    </w:lvl>
    <w:lvl w:ilvl="6" w:tplc="E702BE16" w:tentative="1">
      <w:start w:val="1"/>
      <w:numFmt w:val="bullet"/>
      <w:lvlText w:val=""/>
      <w:lvlJc w:val="left"/>
      <w:pPr>
        <w:ind w:left="5040" w:hanging="360"/>
      </w:pPr>
      <w:rPr>
        <w:rFonts w:ascii="Symbol" w:hAnsi="Symbol" w:hint="default"/>
      </w:rPr>
    </w:lvl>
    <w:lvl w:ilvl="7" w:tplc="DAB602F8" w:tentative="1">
      <w:start w:val="1"/>
      <w:numFmt w:val="bullet"/>
      <w:lvlText w:val="o"/>
      <w:lvlJc w:val="left"/>
      <w:pPr>
        <w:ind w:left="5760" w:hanging="360"/>
      </w:pPr>
      <w:rPr>
        <w:rFonts w:ascii="Courier New" w:hAnsi="Courier New" w:cs="Courier New" w:hint="default"/>
      </w:rPr>
    </w:lvl>
    <w:lvl w:ilvl="8" w:tplc="31A8858C" w:tentative="1">
      <w:start w:val="1"/>
      <w:numFmt w:val="bullet"/>
      <w:lvlText w:val=""/>
      <w:lvlJc w:val="left"/>
      <w:pPr>
        <w:ind w:left="6480" w:hanging="360"/>
      </w:pPr>
      <w:rPr>
        <w:rFonts w:ascii="Wingdings" w:hAnsi="Wingdings" w:hint="default"/>
      </w:rPr>
    </w:lvl>
  </w:abstractNum>
  <w:abstractNum w:abstractNumId="4" w15:restartNumberingAfterBreak="0">
    <w:nsid w:val="24F45602"/>
    <w:multiLevelType w:val="hybridMultilevel"/>
    <w:tmpl w:val="91C4B8E4"/>
    <w:lvl w:ilvl="0" w:tplc="061CA168">
      <w:numFmt w:val="bullet"/>
      <w:lvlText w:val=""/>
      <w:lvlJc w:val="left"/>
      <w:pPr>
        <w:ind w:left="720" w:hanging="360"/>
      </w:pPr>
      <w:rPr>
        <w:rFonts w:ascii="Symbol" w:eastAsiaTheme="minorHAnsi" w:hAnsi="Symbol" w:cs="David" w:hint="default"/>
      </w:rPr>
    </w:lvl>
    <w:lvl w:ilvl="1" w:tplc="8D9E7E2E" w:tentative="1">
      <w:start w:val="1"/>
      <w:numFmt w:val="bullet"/>
      <w:lvlText w:val="o"/>
      <w:lvlJc w:val="left"/>
      <w:pPr>
        <w:ind w:left="1440" w:hanging="360"/>
      </w:pPr>
      <w:rPr>
        <w:rFonts w:ascii="Courier New" w:hAnsi="Courier New" w:cs="Courier New" w:hint="default"/>
      </w:rPr>
    </w:lvl>
    <w:lvl w:ilvl="2" w:tplc="0CD0EDE2" w:tentative="1">
      <w:start w:val="1"/>
      <w:numFmt w:val="bullet"/>
      <w:lvlText w:val=""/>
      <w:lvlJc w:val="left"/>
      <w:pPr>
        <w:ind w:left="2160" w:hanging="360"/>
      </w:pPr>
      <w:rPr>
        <w:rFonts w:ascii="Wingdings" w:hAnsi="Wingdings" w:hint="default"/>
      </w:rPr>
    </w:lvl>
    <w:lvl w:ilvl="3" w:tplc="77CE9A14" w:tentative="1">
      <w:start w:val="1"/>
      <w:numFmt w:val="bullet"/>
      <w:lvlText w:val=""/>
      <w:lvlJc w:val="left"/>
      <w:pPr>
        <w:ind w:left="2880" w:hanging="360"/>
      </w:pPr>
      <w:rPr>
        <w:rFonts w:ascii="Symbol" w:hAnsi="Symbol" w:hint="default"/>
      </w:rPr>
    </w:lvl>
    <w:lvl w:ilvl="4" w:tplc="93FEF810" w:tentative="1">
      <w:start w:val="1"/>
      <w:numFmt w:val="bullet"/>
      <w:lvlText w:val="o"/>
      <w:lvlJc w:val="left"/>
      <w:pPr>
        <w:ind w:left="3600" w:hanging="360"/>
      </w:pPr>
      <w:rPr>
        <w:rFonts w:ascii="Courier New" w:hAnsi="Courier New" w:cs="Courier New" w:hint="default"/>
      </w:rPr>
    </w:lvl>
    <w:lvl w:ilvl="5" w:tplc="3F703E88" w:tentative="1">
      <w:start w:val="1"/>
      <w:numFmt w:val="bullet"/>
      <w:lvlText w:val=""/>
      <w:lvlJc w:val="left"/>
      <w:pPr>
        <w:ind w:left="4320" w:hanging="360"/>
      </w:pPr>
      <w:rPr>
        <w:rFonts w:ascii="Wingdings" w:hAnsi="Wingdings" w:hint="default"/>
      </w:rPr>
    </w:lvl>
    <w:lvl w:ilvl="6" w:tplc="5ECE7C6A" w:tentative="1">
      <w:start w:val="1"/>
      <w:numFmt w:val="bullet"/>
      <w:lvlText w:val=""/>
      <w:lvlJc w:val="left"/>
      <w:pPr>
        <w:ind w:left="5040" w:hanging="360"/>
      </w:pPr>
      <w:rPr>
        <w:rFonts w:ascii="Symbol" w:hAnsi="Symbol" w:hint="default"/>
      </w:rPr>
    </w:lvl>
    <w:lvl w:ilvl="7" w:tplc="6958EAF2" w:tentative="1">
      <w:start w:val="1"/>
      <w:numFmt w:val="bullet"/>
      <w:lvlText w:val="o"/>
      <w:lvlJc w:val="left"/>
      <w:pPr>
        <w:ind w:left="5760" w:hanging="360"/>
      </w:pPr>
      <w:rPr>
        <w:rFonts w:ascii="Courier New" w:hAnsi="Courier New" w:cs="Courier New" w:hint="default"/>
      </w:rPr>
    </w:lvl>
    <w:lvl w:ilvl="8" w:tplc="F0F2FBEE" w:tentative="1">
      <w:start w:val="1"/>
      <w:numFmt w:val="bullet"/>
      <w:lvlText w:val=""/>
      <w:lvlJc w:val="left"/>
      <w:pPr>
        <w:ind w:left="6480" w:hanging="360"/>
      </w:pPr>
      <w:rPr>
        <w:rFonts w:ascii="Wingdings" w:hAnsi="Wingdings" w:hint="default"/>
      </w:rPr>
    </w:lvl>
  </w:abstractNum>
  <w:abstractNum w:abstractNumId="5" w15:restartNumberingAfterBreak="0">
    <w:nsid w:val="254F0500"/>
    <w:multiLevelType w:val="hybridMultilevel"/>
    <w:tmpl w:val="5D4CC0B6"/>
    <w:lvl w:ilvl="0" w:tplc="4C9E9D4A">
      <w:start w:val="1"/>
      <w:numFmt w:val="hebrew1"/>
      <w:lvlText w:val="%1."/>
      <w:lvlJc w:val="left"/>
      <w:pPr>
        <w:ind w:left="720" w:hanging="360"/>
      </w:pPr>
      <w:rPr>
        <w:rFonts w:hint="default"/>
      </w:rPr>
    </w:lvl>
    <w:lvl w:ilvl="1" w:tplc="AD3C543C">
      <w:start w:val="1"/>
      <w:numFmt w:val="lowerLetter"/>
      <w:lvlText w:val="%2."/>
      <w:lvlJc w:val="left"/>
      <w:pPr>
        <w:ind w:left="1440" w:hanging="360"/>
      </w:pPr>
    </w:lvl>
    <w:lvl w:ilvl="2" w:tplc="154A2396" w:tentative="1">
      <w:start w:val="1"/>
      <w:numFmt w:val="lowerRoman"/>
      <w:lvlText w:val="%3."/>
      <w:lvlJc w:val="right"/>
      <w:pPr>
        <w:ind w:left="2160" w:hanging="180"/>
      </w:pPr>
    </w:lvl>
    <w:lvl w:ilvl="3" w:tplc="9FE6D3CA" w:tentative="1">
      <w:start w:val="1"/>
      <w:numFmt w:val="decimal"/>
      <w:lvlText w:val="%4."/>
      <w:lvlJc w:val="left"/>
      <w:pPr>
        <w:ind w:left="2880" w:hanging="360"/>
      </w:pPr>
    </w:lvl>
    <w:lvl w:ilvl="4" w:tplc="A976A3DE" w:tentative="1">
      <w:start w:val="1"/>
      <w:numFmt w:val="lowerLetter"/>
      <w:lvlText w:val="%5."/>
      <w:lvlJc w:val="left"/>
      <w:pPr>
        <w:ind w:left="3600" w:hanging="360"/>
      </w:pPr>
    </w:lvl>
    <w:lvl w:ilvl="5" w:tplc="FA32F5E2" w:tentative="1">
      <w:start w:val="1"/>
      <w:numFmt w:val="lowerRoman"/>
      <w:lvlText w:val="%6."/>
      <w:lvlJc w:val="right"/>
      <w:pPr>
        <w:ind w:left="4320" w:hanging="180"/>
      </w:pPr>
    </w:lvl>
    <w:lvl w:ilvl="6" w:tplc="6778D3BA" w:tentative="1">
      <w:start w:val="1"/>
      <w:numFmt w:val="decimal"/>
      <w:lvlText w:val="%7."/>
      <w:lvlJc w:val="left"/>
      <w:pPr>
        <w:ind w:left="5040" w:hanging="360"/>
      </w:pPr>
    </w:lvl>
    <w:lvl w:ilvl="7" w:tplc="27A66B3E" w:tentative="1">
      <w:start w:val="1"/>
      <w:numFmt w:val="lowerLetter"/>
      <w:lvlText w:val="%8."/>
      <w:lvlJc w:val="left"/>
      <w:pPr>
        <w:ind w:left="5760" w:hanging="360"/>
      </w:pPr>
    </w:lvl>
    <w:lvl w:ilvl="8" w:tplc="856E542E" w:tentative="1">
      <w:start w:val="1"/>
      <w:numFmt w:val="lowerRoman"/>
      <w:lvlText w:val="%9."/>
      <w:lvlJc w:val="right"/>
      <w:pPr>
        <w:ind w:left="6480" w:hanging="180"/>
      </w:pPr>
    </w:lvl>
  </w:abstractNum>
  <w:abstractNum w:abstractNumId="6" w15:restartNumberingAfterBreak="0">
    <w:nsid w:val="25F97D89"/>
    <w:multiLevelType w:val="hybridMultilevel"/>
    <w:tmpl w:val="944E154E"/>
    <w:lvl w:ilvl="0" w:tplc="237A4D32">
      <w:start w:val="1"/>
      <w:numFmt w:val="bullet"/>
      <w:lvlText w:val="o"/>
      <w:lvlJc w:val="left"/>
      <w:pPr>
        <w:ind w:left="1174" w:hanging="360"/>
      </w:pPr>
      <w:rPr>
        <w:rFonts w:ascii="Courier New" w:hAnsi="Courier New" w:cs="Courier New" w:hint="default"/>
      </w:rPr>
    </w:lvl>
    <w:lvl w:ilvl="1" w:tplc="FB4ADE16" w:tentative="1">
      <w:start w:val="1"/>
      <w:numFmt w:val="bullet"/>
      <w:lvlText w:val="o"/>
      <w:lvlJc w:val="left"/>
      <w:pPr>
        <w:ind w:left="1894" w:hanging="360"/>
      </w:pPr>
      <w:rPr>
        <w:rFonts w:ascii="Courier New" w:hAnsi="Courier New" w:cs="Courier New" w:hint="default"/>
      </w:rPr>
    </w:lvl>
    <w:lvl w:ilvl="2" w:tplc="A5F64462" w:tentative="1">
      <w:start w:val="1"/>
      <w:numFmt w:val="bullet"/>
      <w:lvlText w:val=""/>
      <w:lvlJc w:val="left"/>
      <w:pPr>
        <w:ind w:left="2614" w:hanging="360"/>
      </w:pPr>
      <w:rPr>
        <w:rFonts w:ascii="Wingdings" w:hAnsi="Wingdings" w:hint="default"/>
      </w:rPr>
    </w:lvl>
    <w:lvl w:ilvl="3" w:tplc="F30EF4EE" w:tentative="1">
      <w:start w:val="1"/>
      <w:numFmt w:val="bullet"/>
      <w:lvlText w:val=""/>
      <w:lvlJc w:val="left"/>
      <w:pPr>
        <w:ind w:left="3334" w:hanging="360"/>
      </w:pPr>
      <w:rPr>
        <w:rFonts w:ascii="Symbol" w:hAnsi="Symbol" w:hint="default"/>
      </w:rPr>
    </w:lvl>
    <w:lvl w:ilvl="4" w:tplc="162C1462" w:tentative="1">
      <w:start w:val="1"/>
      <w:numFmt w:val="bullet"/>
      <w:lvlText w:val="o"/>
      <w:lvlJc w:val="left"/>
      <w:pPr>
        <w:ind w:left="4054" w:hanging="360"/>
      </w:pPr>
      <w:rPr>
        <w:rFonts w:ascii="Courier New" w:hAnsi="Courier New" w:cs="Courier New" w:hint="default"/>
      </w:rPr>
    </w:lvl>
    <w:lvl w:ilvl="5" w:tplc="3424BA0C" w:tentative="1">
      <w:start w:val="1"/>
      <w:numFmt w:val="bullet"/>
      <w:lvlText w:val=""/>
      <w:lvlJc w:val="left"/>
      <w:pPr>
        <w:ind w:left="4774" w:hanging="360"/>
      </w:pPr>
      <w:rPr>
        <w:rFonts w:ascii="Wingdings" w:hAnsi="Wingdings" w:hint="default"/>
      </w:rPr>
    </w:lvl>
    <w:lvl w:ilvl="6" w:tplc="CCC088C2" w:tentative="1">
      <w:start w:val="1"/>
      <w:numFmt w:val="bullet"/>
      <w:lvlText w:val=""/>
      <w:lvlJc w:val="left"/>
      <w:pPr>
        <w:ind w:left="5494" w:hanging="360"/>
      </w:pPr>
      <w:rPr>
        <w:rFonts w:ascii="Symbol" w:hAnsi="Symbol" w:hint="default"/>
      </w:rPr>
    </w:lvl>
    <w:lvl w:ilvl="7" w:tplc="1C1CAFDA" w:tentative="1">
      <w:start w:val="1"/>
      <w:numFmt w:val="bullet"/>
      <w:lvlText w:val="o"/>
      <w:lvlJc w:val="left"/>
      <w:pPr>
        <w:ind w:left="6214" w:hanging="360"/>
      </w:pPr>
      <w:rPr>
        <w:rFonts w:ascii="Courier New" w:hAnsi="Courier New" w:cs="Courier New" w:hint="default"/>
      </w:rPr>
    </w:lvl>
    <w:lvl w:ilvl="8" w:tplc="D58E5E26" w:tentative="1">
      <w:start w:val="1"/>
      <w:numFmt w:val="bullet"/>
      <w:lvlText w:val=""/>
      <w:lvlJc w:val="left"/>
      <w:pPr>
        <w:ind w:left="6934" w:hanging="360"/>
      </w:pPr>
      <w:rPr>
        <w:rFonts w:ascii="Wingdings" w:hAnsi="Wingdings" w:hint="default"/>
      </w:rPr>
    </w:lvl>
  </w:abstractNum>
  <w:abstractNum w:abstractNumId="7" w15:restartNumberingAfterBreak="0">
    <w:nsid w:val="2A6808E7"/>
    <w:multiLevelType w:val="hybridMultilevel"/>
    <w:tmpl w:val="02886DE0"/>
    <w:lvl w:ilvl="0" w:tplc="B8B6AE36">
      <w:start w:val="1"/>
      <w:numFmt w:val="decimal"/>
      <w:lvlText w:val="%1."/>
      <w:lvlJc w:val="left"/>
      <w:pPr>
        <w:ind w:left="720" w:hanging="360"/>
      </w:pPr>
      <w:rPr>
        <w:rFonts w:hint="default"/>
      </w:rPr>
    </w:lvl>
    <w:lvl w:ilvl="1" w:tplc="BB52BB5E" w:tentative="1">
      <w:start w:val="1"/>
      <w:numFmt w:val="lowerLetter"/>
      <w:lvlText w:val="%2."/>
      <w:lvlJc w:val="left"/>
      <w:pPr>
        <w:ind w:left="1440" w:hanging="360"/>
      </w:pPr>
    </w:lvl>
    <w:lvl w:ilvl="2" w:tplc="AD122DC0" w:tentative="1">
      <w:start w:val="1"/>
      <w:numFmt w:val="lowerRoman"/>
      <w:lvlText w:val="%3."/>
      <w:lvlJc w:val="right"/>
      <w:pPr>
        <w:ind w:left="2160" w:hanging="180"/>
      </w:pPr>
    </w:lvl>
    <w:lvl w:ilvl="3" w:tplc="73EECB46" w:tentative="1">
      <w:start w:val="1"/>
      <w:numFmt w:val="decimal"/>
      <w:lvlText w:val="%4."/>
      <w:lvlJc w:val="left"/>
      <w:pPr>
        <w:ind w:left="2880" w:hanging="360"/>
      </w:pPr>
    </w:lvl>
    <w:lvl w:ilvl="4" w:tplc="AFE8F39A" w:tentative="1">
      <w:start w:val="1"/>
      <w:numFmt w:val="lowerLetter"/>
      <w:lvlText w:val="%5."/>
      <w:lvlJc w:val="left"/>
      <w:pPr>
        <w:ind w:left="3600" w:hanging="360"/>
      </w:pPr>
    </w:lvl>
    <w:lvl w:ilvl="5" w:tplc="0F2E9F46" w:tentative="1">
      <w:start w:val="1"/>
      <w:numFmt w:val="lowerRoman"/>
      <w:lvlText w:val="%6."/>
      <w:lvlJc w:val="right"/>
      <w:pPr>
        <w:ind w:left="4320" w:hanging="180"/>
      </w:pPr>
    </w:lvl>
    <w:lvl w:ilvl="6" w:tplc="EB967976" w:tentative="1">
      <w:start w:val="1"/>
      <w:numFmt w:val="decimal"/>
      <w:lvlText w:val="%7."/>
      <w:lvlJc w:val="left"/>
      <w:pPr>
        <w:ind w:left="5040" w:hanging="360"/>
      </w:pPr>
    </w:lvl>
    <w:lvl w:ilvl="7" w:tplc="3B467F7C" w:tentative="1">
      <w:start w:val="1"/>
      <w:numFmt w:val="lowerLetter"/>
      <w:lvlText w:val="%8."/>
      <w:lvlJc w:val="left"/>
      <w:pPr>
        <w:ind w:left="5760" w:hanging="360"/>
      </w:pPr>
    </w:lvl>
    <w:lvl w:ilvl="8" w:tplc="14847A3E" w:tentative="1">
      <w:start w:val="1"/>
      <w:numFmt w:val="lowerRoman"/>
      <w:lvlText w:val="%9."/>
      <w:lvlJc w:val="right"/>
      <w:pPr>
        <w:ind w:left="6480" w:hanging="180"/>
      </w:pPr>
    </w:lvl>
  </w:abstractNum>
  <w:abstractNum w:abstractNumId="8" w15:restartNumberingAfterBreak="0">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15:restartNumberingAfterBreak="0">
    <w:nsid w:val="31913B95"/>
    <w:multiLevelType w:val="hybridMultilevel"/>
    <w:tmpl w:val="9D5EA65A"/>
    <w:lvl w:ilvl="0" w:tplc="CA302B4A">
      <w:start w:val="1"/>
      <w:numFmt w:val="decimal"/>
      <w:lvlText w:val="%1."/>
      <w:lvlJc w:val="left"/>
      <w:pPr>
        <w:ind w:left="720" w:hanging="360"/>
      </w:pPr>
      <w:rPr>
        <w:rFonts w:hint="default"/>
      </w:rPr>
    </w:lvl>
    <w:lvl w:ilvl="1" w:tplc="080E59F0" w:tentative="1">
      <w:start w:val="1"/>
      <w:numFmt w:val="lowerLetter"/>
      <w:lvlText w:val="%2."/>
      <w:lvlJc w:val="left"/>
      <w:pPr>
        <w:ind w:left="1440" w:hanging="360"/>
      </w:pPr>
    </w:lvl>
    <w:lvl w:ilvl="2" w:tplc="AEC678B0" w:tentative="1">
      <w:start w:val="1"/>
      <w:numFmt w:val="lowerRoman"/>
      <w:lvlText w:val="%3."/>
      <w:lvlJc w:val="right"/>
      <w:pPr>
        <w:ind w:left="2160" w:hanging="180"/>
      </w:pPr>
    </w:lvl>
    <w:lvl w:ilvl="3" w:tplc="5DB0B766" w:tentative="1">
      <w:start w:val="1"/>
      <w:numFmt w:val="decimal"/>
      <w:lvlText w:val="%4."/>
      <w:lvlJc w:val="left"/>
      <w:pPr>
        <w:ind w:left="2880" w:hanging="360"/>
      </w:pPr>
    </w:lvl>
    <w:lvl w:ilvl="4" w:tplc="6F801E7C" w:tentative="1">
      <w:start w:val="1"/>
      <w:numFmt w:val="lowerLetter"/>
      <w:lvlText w:val="%5."/>
      <w:lvlJc w:val="left"/>
      <w:pPr>
        <w:ind w:left="3600" w:hanging="360"/>
      </w:pPr>
    </w:lvl>
    <w:lvl w:ilvl="5" w:tplc="CBE6E002" w:tentative="1">
      <w:start w:val="1"/>
      <w:numFmt w:val="lowerRoman"/>
      <w:lvlText w:val="%6."/>
      <w:lvlJc w:val="right"/>
      <w:pPr>
        <w:ind w:left="4320" w:hanging="180"/>
      </w:pPr>
    </w:lvl>
    <w:lvl w:ilvl="6" w:tplc="52D4F6C8" w:tentative="1">
      <w:start w:val="1"/>
      <w:numFmt w:val="decimal"/>
      <w:lvlText w:val="%7."/>
      <w:lvlJc w:val="left"/>
      <w:pPr>
        <w:ind w:left="5040" w:hanging="360"/>
      </w:pPr>
    </w:lvl>
    <w:lvl w:ilvl="7" w:tplc="0994B494" w:tentative="1">
      <w:start w:val="1"/>
      <w:numFmt w:val="lowerLetter"/>
      <w:lvlText w:val="%8."/>
      <w:lvlJc w:val="left"/>
      <w:pPr>
        <w:ind w:left="5760" w:hanging="360"/>
      </w:pPr>
    </w:lvl>
    <w:lvl w:ilvl="8" w:tplc="27983716" w:tentative="1">
      <w:start w:val="1"/>
      <w:numFmt w:val="lowerRoman"/>
      <w:lvlText w:val="%9."/>
      <w:lvlJc w:val="right"/>
      <w:pPr>
        <w:ind w:left="6480" w:hanging="180"/>
      </w:pPr>
    </w:lvl>
  </w:abstractNum>
  <w:abstractNum w:abstractNumId="10" w15:restartNumberingAfterBreak="0">
    <w:nsid w:val="331D1876"/>
    <w:multiLevelType w:val="hybridMultilevel"/>
    <w:tmpl w:val="4EC410DE"/>
    <w:lvl w:ilvl="0" w:tplc="96E0A6E2">
      <w:start w:val="1"/>
      <w:numFmt w:val="bullet"/>
      <w:lvlText w:val=""/>
      <w:lvlJc w:val="left"/>
      <w:pPr>
        <w:ind w:left="577" w:hanging="360"/>
      </w:pPr>
      <w:rPr>
        <w:rFonts w:ascii="Symbol" w:hAnsi="Symbol" w:cs="Symbol" w:hint="default"/>
        <w:b/>
        <w:bCs/>
        <w:color w:val="FF0000"/>
        <w:szCs w:val="28"/>
      </w:rPr>
    </w:lvl>
    <w:lvl w:ilvl="1" w:tplc="D0167FE6" w:tentative="1">
      <w:start w:val="1"/>
      <w:numFmt w:val="bullet"/>
      <w:lvlText w:val="o"/>
      <w:lvlJc w:val="left"/>
      <w:pPr>
        <w:ind w:left="1297" w:hanging="360"/>
      </w:pPr>
      <w:rPr>
        <w:rFonts w:ascii="Courier New" w:hAnsi="Courier New" w:cs="Courier New" w:hint="default"/>
      </w:rPr>
    </w:lvl>
    <w:lvl w:ilvl="2" w:tplc="020840C4" w:tentative="1">
      <w:start w:val="1"/>
      <w:numFmt w:val="bullet"/>
      <w:lvlText w:val=""/>
      <w:lvlJc w:val="left"/>
      <w:pPr>
        <w:ind w:left="2017" w:hanging="360"/>
      </w:pPr>
      <w:rPr>
        <w:rFonts w:ascii="Wingdings" w:hAnsi="Wingdings" w:hint="default"/>
      </w:rPr>
    </w:lvl>
    <w:lvl w:ilvl="3" w:tplc="242AE3CE" w:tentative="1">
      <w:start w:val="1"/>
      <w:numFmt w:val="bullet"/>
      <w:lvlText w:val=""/>
      <w:lvlJc w:val="left"/>
      <w:pPr>
        <w:ind w:left="2737" w:hanging="360"/>
      </w:pPr>
      <w:rPr>
        <w:rFonts w:ascii="Symbol" w:hAnsi="Symbol" w:hint="default"/>
      </w:rPr>
    </w:lvl>
    <w:lvl w:ilvl="4" w:tplc="17AA22E2" w:tentative="1">
      <w:start w:val="1"/>
      <w:numFmt w:val="bullet"/>
      <w:lvlText w:val="o"/>
      <w:lvlJc w:val="left"/>
      <w:pPr>
        <w:ind w:left="3457" w:hanging="360"/>
      </w:pPr>
      <w:rPr>
        <w:rFonts w:ascii="Courier New" w:hAnsi="Courier New" w:cs="Courier New" w:hint="default"/>
      </w:rPr>
    </w:lvl>
    <w:lvl w:ilvl="5" w:tplc="9AFC5892" w:tentative="1">
      <w:start w:val="1"/>
      <w:numFmt w:val="bullet"/>
      <w:lvlText w:val=""/>
      <w:lvlJc w:val="left"/>
      <w:pPr>
        <w:ind w:left="4177" w:hanging="360"/>
      </w:pPr>
      <w:rPr>
        <w:rFonts w:ascii="Wingdings" w:hAnsi="Wingdings" w:hint="default"/>
      </w:rPr>
    </w:lvl>
    <w:lvl w:ilvl="6" w:tplc="3FA87B6E" w:tentative="1">
      <w:start w:val="1"/>
      <w:numFmt w:val="bullet"/>
      <w:lvlText w:val=""/>
      <w:lvlJc w:val="left"/>
      <w:pPr>
        <w:ind w:left="4897" w:hanging="360"/>
      </w:pPr>
      <w:rPr>
        <w:rFonts w:ascii="Symbol" w:hAnsi="Symbol" w:hint="default"/>
      </w:rPr>
    </w:lvl>
    <w:lvl w:ilvl="7" w:tplc="8FB44E7E" w:tentative="1">
      <w:start w:val="1"/>
      <w:numFmt w:val="bullet"/>
      <w:lvlText w:val="o"/>
      <w:lvlJc w:val="left"/>
      <w:pPr>
        <w:ind w:left="5617" w:hanging="360"/>
      </w:pPr>
      <w:rPr>
        <w:rFonts w:ascii="Courier New" w:hAnsi="Courier New" w:cs="Courier New" w:hint="default"/>
      </w:rPr>
    </w:lvl>
    <w:lvl w:ilvl="8" w:tplc="ABB494CA" w:tentative="1">
      <w:start w:val="1"/>
      <w:numFmt w:val="bullet"/>
      <w:lvlText w:val=""/>
      <w:lvlJc w:val="left"/>
      <w:pPr>
        <w:ind w:left="6337" w:hanging="360"/>
      </w:pPr>
      <w:rPr>
        <w:rFonts w:ascii="Wingdings" w:hAnsi="Wingdings" w:hint="default"/>
      </w:rPr>
    </w:lvl>
  </w:abstractNum>
  <w:abstractNum w:abstractNumId="11" w15:restartNumberingAfterBreak="0">
    <w:nsid w:val="336F5F96"/>
    <w:multiLevelType w:val="hybridMultilevel"/>
    <w:tmpl w:val="809C68DC"/>
    <w:lvl w:ilvl="0" w:tplc="A4C24440">
      <w:numFmt w:val="bullet"/>
      <w:lvlText w:val=""/>
      <w:lvlJc w:val="left"/>
      <w:pPr>
        <w:ind w:left="720" w:hanging="360"/>
      </w:pPr>
      <w:rPr>
        <w:rFonts w:ascii="Symbol" w:eastAsiaTheme="minorHAnsi" w:hAnsi="Symbol" w:cs="Arial" w:hint="default"/>
      </w:rPr>
    </w:lvl>
    <w:lvl w:ilvl="1" w:tplc="ACD284B0" w:tentative="1">
      <w:start w:val="1"/>
      <w:numFmt w:val="bullet"/>
      <w:lvlText w:val="o"/>
      <w:lvlJc w:val="left"/>
      <w:pPr>
        <w:ind w:left="1440" w:hanging="360"/>
      </w:pPr>
      <w:rPr>
        <w:rFonts w:ascii="Courier New" w:hAnsi="Courier New" w:cs="Courier New" w:hint="default"/>
      </w:rPr>
    </w:lvl>
    <w:lvl w:ilvl="2" w:tplc="EB5A8E10" w:tentative="1">
      <w:start w:val="1"/>
      <w:numFmt w:val="bullet"/>
      <w:lvlText w:val=""/>
      <w:lvlJc w:val="left"/>
      <w:pPr>
        <w:ind w:left="2160" w:hanging="360"/>
      </w:pPr>
      <w:rPr>
        <w:rFonts w:ascii="Wingdings" w:hAnsi="Wingdings" w:hint="default"/>
      </w:rPr>
    </w:lvl>
    <w:lvl w:ilvl="3" w:tplc="6736F0EC" w:tentative="1">
      <w:start w:val="1"/>
      <w:numFmt w:val="bullet"/>
      <w:lvlText w:val=""/>
      <w:lvlJc w:val="left"/>
      <w:pPr>
        <w:ind w:left="2880" w:hanging="360"/>
      </w:pPr>
      <w:rPr>
        <w:rFonts w:ascii="Symbol" w:hAnsi="Symbol" w:hint="default"/>
      </w:rPr>
    </w:lvl>
    <w:lvl w:ilvl="4" w:tplc="18DE8096" w:tentative="1">
      <w:start w:val="1"/>
      <w:numFmt w:val="bullet"/>
      <w:lvlText w:val="o"/>
      <w:lvlJc w:val="left"/>
      <w:pPr>
        <w:ind w:left="3600" w:hanging="360"/>
      </w:pPr>
      <w:rPr>
        <w:rFonts w:ascii="Courier New" w:hAnsi="Courier New" w:cs="Courier New" w:hint="default"/>
      </w:rPr>
    </w:lvl>
    <w:lvl w:ilvl="5" w:tplc="9A6468D2" w:tentative="1">
      <w:start w:val="1"/>
      <w:numFmt w:val="bullet"/>
      <w:lvlText w:val=""/>
      <w:lvlJc w:val="left"/>
      <w:pPr>
        <w:ind w:left="4320" w:hanging="360"/>
      </w:pPr>
      <w:rPr>
        <w:rFonts w:ascii="Wingdings" w:hAnsi="Wingdings" w:hint="default"/>
      </w:rPr>
    </w:lvl>
    <w:lvl w:ilvl="6" w:tplc="C4B26294" w:tentative="1">
      <w:start w:val="1"/>
      <w:numFmt w:val="bullet"/>
      <w:lvlText w:val=""/>
      <w:lvlJc w:val="left"/>
      <w:pPr>
        <w:ind w:left="5040" w:hanging="360"/>
      </w:pPr>
      <w:rPr>
        <w:rFonts w:ascii="Symbol" w:hAnsi="Symbol" w:hint="default"/>
      </w:rPr>
    </w:lvl>
    <w:lvl w:ilvl="7" w:tplc="67D6D318" w:tentative="1">
      <w:start w:val="1"/>
      <w:numFmt w:val="bullet"/>
      <w:lvlText w:val="o"/>
      <w:lvlJc w:val="left"/>
      <w:pPr>
        <w:ind w:left="5760" w:hanging="360"/>
      </w:pPr>
      <w:rPr>
        <w:rFonts w:ascii="Courier New" w:hAnsi="Courier New" w:cs="Courier New" w:hint="default"/>
      </w:rPr>
    </w:lvl>
    <w:lvl w:ilvl="8" w:tplc="DE4A5ADC" w:tentative="1">
      <w:start w:val="1"/>
      <w:numFmt w:val="bullet"/>
      <w:lvlText w:val=""/>
      <w:lvlJc w:val="left"/>
      <w:pPr>
        <w:ind w:left="6480" w:hanging="360"/>
      </w:pPr>
      <w:rPr>
        <w:rFonts w:ascii="Wingdings" w:hAnsi="Wingdings" w:hint="default"/>
      </w:rPr>
    </w:lvl>
  </w:abstractNum>
  <w:abstractNum w:abstractNumId="12" w15:restartNumberingAfterBreak="0">
    <w:nsid w:val="3FD6457B"/>
    <w:multiLevelType w:val="hybridMultilevel"/>
    <w:tmpl w:val="344EDB6C"/>
    <w:lvl w:ilvl="0" w:tplc="A2ECCAC4">
      <w:start w:val="1"/>
      <w:numFmt w:val="bullet"/>
      <w:lvlText w:val=""/>
      <w:lvlPicBulletId w:val="0"/>
      <w:lvlJc w:val="left"/>
      <w:pPr>
        <w:ind w:left="360" w:hanging="360"/>
      </w:pPr>
      <w:rPr>
        <w:rFonts w:ascii="Symbol" w:hAnsi="Symbol" w:hint="default"/>
        <w:b/>
        <w:bCs/>
        <w:i w:val="0"/>
        <w:iCs w:val="0"/>
        <w:color w:val="auto"/>
        <w:position w:val="-6"/>
        <w:sz w:val="40"/>
        <w:szCs w:val="32"/>
      </w:rPr>
    </w:lvl>
    <w:lvl w:ilvl="1" w:tplc="44D61148" w:tentative="1">
      <w:start w:val="1"/>
      <w:numFmt w:val="bullet"/>
      <w:lvlText w:val="o"/>
      <w:lvlJc w:val="left"/>
      <w:pPr>
        <w:ind w:left="1080" w:hanging="360"/>
      </w:pPr>
      <w:rPr>
        <w:rFonts w:ascii="Courier New" w:hAnsi="Courier New" w:cs="Courier New" w:hint="default"/>
      </w:rPr>
    </w:lvl>
    <w:lvl w:ilvl="2" w:tplc="5B847204" w:tentative="1">
      <w:start w:val="1"/>
      <w:numFmt w:val="bullet"/>
      <w:lvlText w:val=""/>
      <w:lvlJc w:val="left"/>
      <w:pPr>
        <w:ind w:left="1800" w:hanging="360"/>
      </w:pPr>
      <w:rPr>
        <w:rFonts w:ascii="Wingdings" w:hAnsi="Wingdings" w:hint="default"/>
      </w:rPr>
    </w:lvl>
    <w:lvl w:ilvl="3" w:tplc="710C587E" w:tentative="1">
      <w:start w:val="1"/>
      <w:numFmt w:val="bullet"/>
      <w:lvlText w:val=""/>
      <w:lvlJc w:val="left"/>
      <w:pPr>
        <w:ind w:left="2520" w:hanging="360"/>
      </w:pPr>
      <w:rPr>
        <w:rFonts w:ascii="Symbol" w:hAnsi="Symbol" w:hint="default"/>
      </w:rPr>
    </w:lvl>
    <w:lvl w:ilvl="4" w:tplc="5AB07DCA" w:tentative="1">
      <w:start w:val="1"/>
      <w:numFmt w:val="bullet"/>
      <w:lvlText w:val="o"/>
      <w:lvlJc w:val="left"/>
      <w:pPr>
        <w:ind w:left="3240" w:hanging="360"/>
      </w:pPr>
      <w:rPr>
        <w:rFonts w:ascii="Courier New" w:hAnsi="Courier New" w:cs="Courier New" w:hint="default"/>
      </w:rPr>
    </w:lvl>
    <w:lvl w:ilvl="5" w:tplc="1FC06992" w:tentative="1">
      <w:start w:val="1"/>
      <w:numFmt w:val="bullet"/>
      <w:lvlText w:val=""/>
      <w:lvlJc w:val="left"/>
      <w:pPr>
        <w:ind w:left="3960" w:hanging="360"/>
      </w:pPr>
      <w:rPr>
        <w:rFonts w:ascii="Wingdings" w:hAnsi="Wingdings" w:hint="default"/>
      </w:rPr>
    </w:lvl>
    <w:lvl w:ilvl="6" w:tplc="629A2792" w:tentative="1">
      <w:start w:val="1"/>
      <w:numFmt w:val="bullet"/>
      <w:lvlText w:val=""/>
      <w:lvlJc w:val="left"/>
      <w:pPr>
        <w:ind w:left="4680" w:hanging="360"/>
      </w:pPr>
      <w:rPr>
        <w:rFonts w:ascii="Symbol" w:hAnsi="Symbol" w:hint="default"/>
      </w:rPr>
    </w:lvl>
    <w:lvl w:ilvl="7" w:tplc="904E6C4A" w:tentative="1">
      <w:start w:val="1"/>
      <w:numFmt w:val="bullet"/>
      <w:lvlText w:val="o"/>
      <w:lvlJc w:val="left"/>
      <w:pPr>
        <w:ind w:left="5400" w:hanging="360"/>
      </w:pPr>
      <w:rPr>
        <w:rFonts w:ascii="Courier New" w:hAnsi="Courier New" w:cs="Courier New" w:hint="default"/>
      </w:rPr>
    </w:lvl>
    <w:lvl w:ilvl="8" w:tplc="B494FF34" w:tentative="1">
      <w:start w:val="1"/>
      <w:numFmt w:val="bullet"/>
      <w:lvlText w:val=""/>
      <w:lvlJc w:val="left"/>
      <w:pPr>
        <w:ind w:left="6120" w:hanging="360"/>
      </w:pPr>
      <w:rPr>
        <w:rFonts w:ascii="Wingdings" w:hAnsi="Wingdings" w:hint="default"/>
      </w:rPr>
    </w:lvl>
  </w:abstractNum>
  <w:abstractNum w:abstractNumId="13" w15:restartNumberingAfterBreak="0">
    <w:nsid w:val="41BD2C9C"/>
    <w:multiLevelType w:val="hybridMultilevel"/>
    <w:tmpl w:val="5218ECC6"/>
    <w:lvl w:ilvl="0" w:tplc="B1741B8A">
      <w:start w:val="1"/>
      <w:numFmt w:val="bullet"/>
      <w:lvlText w:val=""/>
      <w:lvlJc w:val="left"/>
      <w:pPr>
        <w:ind w:left="577" w:hanging="360"/>
      </w:pPr>
      <w:rPr>
        <w:rFonts w:ascii="Symbol" w:hAnsi="Symbol" w:cs="Symbol" w:hint="default"/>
        <w:b/>
        <w:bCs/>
        <w:color w:val="FF0000"/>
        <w:sz w:val="28"/>
        <w:lang w:bidi="he-IL"/>
      </w:rPr>
    </w:lvl>
    <w:lvl w:ilvl="1" w:tplc="F7E21DEC" w:tentative="1">
      <w:start w:val="1"/>
      <w:numFmt w:val="bullet"/>
      <w:lvlText w:val="o"/>
      <w:lvlJc w:val="left"/>
      <w:pPr>
        <w:ind w:left="1297" w:hanging="360"/>
      </w:pPr>
      <w:rPr>
        <w:rFonts w:ascii="Courier New" w:hAnsi="Courier New" w:cs="Courier New" w:hint="default"/>
      </w:rPr>
    </w:lvl>
    <w:lvl w:ilvl="2" w:tplc="31A4B4AC" w:tentative="1">
      <w:start w:val="1"/>
      <w:numFmt w:val="bullet"/>
      <w:lvlText w:val=""/>
      <w:lvlJc w:val="left"/>
      <w:pPr>
        <w:ind w:left="2017" w:hanging="360"/>
      </w:pPr>
      <w:rPr>
        <w:rFonts w:ascii="Wingdings" w:hAnsi="Wingdings" w:hint="default"/>
      </w:rPr>
    </w:lvl>
    <w:lvl w:ilvl="3" w:tplc="B5F025A8" w:tentative="1">
      <w:start w:val="1"/>
      <w:numFmt w:val="bullet"/>
      <w:lvlText w:val=""/>
      <w:lvlJc w:val="left"/>
      <w:pPr>
        <w:ind w:left="2737" w:hanging="360"/>
      </w:pPr>
      <w:rPr>
        <w:rFonts w:ascii="Symbol" w:hAnsi="Symbol" w:hint="default"/>
      </w:rPr>
    </w:lvl>
    <w:lvl w:ilvl="4" w:tplc="29F03330" w:tentative="1">
      <w:start w:val="1"/>
      <w:numFmt w:val="bullet"/>
      <w:lvlText w:val="o"/>
      <w:lvlJc w:val="left"/>
      <w:pPr>
        <w:ind w:left="3457" w:hanging="360"/>
      </w:pPr>
      <w:rPr>
        <w:rFonts w:ascii="Courier New" w:hAnsi="Courier New" w:cs="Courier New" w:hint="default"/>
      </w:rPr>
    </w:lvl>
    <w:lvl w:ilvl="5" w:tplc="02F6FC6C" w:tentative="1">
      <w:start w:val="1"/>
      <w:numFmt w:val="bullet"/>
      <w:lvlText w:val=""/>
      <w:lvlJc w:val="left"/>
      <w:pPr>
        <w:ind w:left="4177" w:hanging="360"/>
      </w:pPr>
      <w:rPr>
        <w:rFonts w:ascii="Wingdings" w:hAnsi="Wingdings" w:hint="default"/>
      </w:rPr>
    </w:lvl>
    <w:lvl w:ilvl="6" w:tplc="689CB112" w:tentative="1">
      <w:start w:val="1"/>
      <w:numFmt w:val="bullet"/>
      <w:lvlText w:val=""/>
      <w:lvlJc w:val="left"/>
      <w:pPr>
        <w:ind w:left="4897" w:hanging="360"/>
      </w:pPr>
      <w:rPr>
        <w:rFonts w:ascii="Symbol" w:hAnsi="Symbol" w:hint="default"/>
      </w:rPr>
    </w:lvl>
    <w:lvl w:ilvl="7" w:tplc="AB80D634" w:tentative="1">
      <w:start w:val="1"/>
      <w:numFmt w:val="bullet"/>
      <w:lvlText w:val="o"/>
      <w:lvlJc w:val="left"/>
      <w:pPr>
        <w:ind w:left="5617" w:hanging="360"/>
      </w:pPr>
      <w:rPr>
        <w:rFonts w:ascii="Courier New" w:hAnsi="Courier New" w:cs="Courier New" w:hint="default"/>
      </w:rPr>
    </w:lvl>
    <w:lvl w:ilvl="8" w:tplc="4656DD3C" w:tentative="1">
      <w:start w:val="1"/>
      <w:numFmt w:val="bullet"/>
      <w:lvlText w:val=""/>
      <w:lvlJc w:val="left"/>
      <w:pPr>
        <w:ind w:left="6337" w:hanging="360"/>
      </w:pPr>
      <w:rPr>
        <w:rFonts w:ascii="Wingdings" w:hAnsi="Wingdings" w:hint="default"/>
      </w:rPr>
    </w:lvl>
  </w:abstractNum>
  <w:abstractNum w:abstractNumId="14" w15:restartNumberingAfterBreak="0">
    <w:nsid w:val="440A75F8"/>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5" w15:restartNumberingAfterBreak="0">
    <w:nsid w:val="48163A6D"/>
    <w:multiLevelType w:val="hybridMultilevel"/>
    <w:tmpl w:val="1EA2A616"/>
    <w:lvl w:ilvl="0" w:tplc="9C447B92">
      <w:start w:val="1"/>
      <w:numFmt w:val="bullet"/>
      <w:lvlText w:val=""/>
      <w:lvlJc w:val="left"/>
      <w:pPr>
        <w:ind w:left="720" w:hanging="360"/>
      </w:pPr>
      <w:rPr>
        <w:rFonts w:ascii="Symbol" w:hAnsi="Symbol" w:hint="default"/>
      </w:rPr>
    </w:lvl>
    <w:lvl w:ilvl="1" w:tplc="313C25D6" w:tentative="1">
      <w:start w:val="1"/>
      <w:numFmt w:val="bullet"/>
      <w:lvlText w:val="o"/>
      <w:lvlJc w:val="left"/>
      <w:pPr>
        <w:ind w:left="1440" w:hanging="360"/>
      </w:pPr>
      <w:rPr>
        <w:rFonts w:ascii="Courier New" w:hAnsi="Courier New" w:cs="Courier New" w:hint="default"/>
      </w:rPr>
    </w:lvl>
    <w:lvl w:ilvl="2" w:tplc="F9222616" w:tentative="1">
      <w:start w:val="1"/>
      <w:numFmt w:val="bullet"/>
      <w:lvlText w:val=""/>
      <w:lvlJc w:val="left"/>
      <w:pPr>
        <w:ind w:left="2160" w:hanging="360"/>
      </w:pPr>
      <w:rPr>
        <w:rFonts w:ascii="Wingdings" w:hAnsi="Wingdings" w:hint="default"/>
      </w:rPr>
    </w:lvl>
    <w:lvl w:ilvl="3" w:tplc="9754DCE4" w:tentative="1">
      <w:start w:val="1"/>
      <w:numFmt w:val="bullet"/>
      <w:lvlText w:val=""/>
      <w:lvlJc w:val="left"/>
      <w:pPr>
        <w:ind w:left="2880" w:hanging="360"/>
      </w:pPr>
      <w:rPr>
        <w:rFonts w:ascii="Symbol" w:hAnsi="Symbol" w:hint="default"/>
      </w:rPr>
    </w:lvl>
    <w:lvl w:ilvl="4" w:tplc="AFD28A5C" w:tentative="1">
      <w:start w:val="1"/>
      <w:numFmt w:val="bullet"/>
      <w:lvlText w:val="o"/>
      <w:lvlJc w:val="left"/>
      <w:pPr>
        <w:ind w:left="3600" w:hanging="360"/>
      </w:pPr>
      <w:rPr>
        <w:rFonts w:ascii="Courier New" w:hAnsi="Courier New" w:cs="Courier New" w:hint="default"/>
      </w:rPr>
    </w:lvl>
    <w:lvl w:ilvl="5" w:tplc="4D7AA3BE" w:tentative="1">
      <w:start w:val="1"/>
      <w:numFmt w:val="bullet"/>
      <w:lvlText w:val=""/>
      <w:lvlJc w:val="left"/>
      <w:pPr>
        <w:ind w:left="4320" w:hanging="360"/>
      </w:pPr>
      <w:rPr>
        <w:rFonts w:ascii="Wingdings" w:hAnsi="Wingdings" w:hint="default"/>
      </w:rPr>
    </w:lvl>
    <w:lvl w:ilvl="6" w:tplc="5C5A6272" w:tentative="1">
      <w:start w:val="1"/>
      <w:numFmt w:val="bullet"/>
      <w:lvlText w:val=""/>
      <w:lvlJc w:val="left"/>
      <w:pPr>
        <w:ind w:left="5040" w:hanging="360"/>
      </w:pPr>
      <w:rPr>
        <w:rFonts w:ascii="Symbol" w:hAnsi="Symbol" w:hint="default"/>
      </w:rPr>
    </w:lvl>
    <w:lvl w:ilvl="7" w:tplc="1D709800" w:tentative="1">
      <w:start w:val="1"/>
      <w:numFmt w:val="bullet"/>
      <w:lvlText w:val="o"/>
      <w:lvlJc w:val="left"/>
      <w:pPr>
        <w:ind w:left="5760" w:hanging="360"/>
      </w:pPr>
      <w:rPr>
        <w:rFonts w:ascii="Courier New" w:hAnsi="Courier New" w:cs="Courier New" w:hint="default"/>
      </w:rPr>
    </w:lvl>
    <w:lvl w:ilvl="8" w:tplc="DD3AB07E" w:tentative="1">
      <w:start w:val="1"/>
      <w:numFmt w:val="bullet"/>
      <w:lvlText w:val=""/>
      <w:lvlJc w:val="left"/>
      <w:pPr>
        <w:ind w:left="6480" w:hanging="360"/>
      </w:pPr>
      <w:rPr>
        <w:rFonts w:ascii="Wingdings" w:hAnsi="Wingdings" w:hint="default"/>
      </w:rPr>
    </w:lvl>
  </w:abstractNum>
  <w:abstractNum w:abstractNumId="16" w15:restartNumberingAfterBreak="0">
    <w:nsid w:val="4DB1541D"/>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7" w15:restartNumberingAfterBreak="0">
    <w:nsid w:val="53AA799B"/>
    <w:multiLevelType w:val="hybridMultilevel"/>
    <w:tmpl w:val="D4508EC8"/>
    <w:lvl w:ilvl="0" w:tplc="5B1A5A26">
      <w:start w:val="1"/>
      <w:numFmt w:val="bullet"/>
      <w:lvlText w:val=""/>
      <w:lvlJc w:val="left"/>
      <w:pPr>
        <w:ind w:left="720" w:hanging="360"/>
      </w:pPr>
      <w:rPr>
        <w:rFonts w:ascii="Symbol" w:hAnsi="Symbol" w:hint="default"/>
      </w:rPr>
    </w:lvl>
    <w:lvl w:ilvl="1" w:tplc="FD2068A4" w:tentative="1">
      <w:start w:val="1"/>
      <w:numFmt w:val="bullet"/>
      <w:lvlText w:val="o"/>
      <w:lvlJc w:val="left"/>
      <w:pPr>
        <w:ind w:left="1440" w:hanging="360"/>
      </w:pPr>
      <w:rPr>
        <w:rFonts w:ascii="Courier New" w:hAnsi="Courier New" w:cs="Courier New" w:hint="default"/>
      </w:rPr>
    </w:lvl>
    <w:lvl w:ilvl="2" w:tplc="DF86C080" w:tentative="1">
      <w:start w:val="1"/>
      <w:numFmt w:val="bullet"/>
      <w:lvlText w:val=""/>
      <w:lvlJc w:val="left"/>
      <w:pPr>
        <w:ind w:left="2160" w:hanging="360"/>
      </w:pPr>
      <w:rPr>
        <w:rFonts w:ascii="Wingdings" w:hAnsi="Wingdings" w:hint="default"/>
      </w:rPr>
    </w:lvl>
    <w:lvl w:ilvl="3" w:tplc="81CCD548" w:tentative="1">
      <w:start w:val="1"/>
      <w:numFmt w:val="bullet"/>
      <w:lvlText w:val=""/>
      <w:lvlJc w:val="left"/>
      <w:pPr>
        <w:ind w:left="2880" w:hanging="360"/>
      </w:pPr>
      <w:rPr>
        <w:rFonts w:ascii="Symbol" w:hAnsi="Symbol" w:hint="default"/>
      </w:rPr>
    </w:lvl>
    <w:lvl w:ilvl="4" w:tplc="DE8E666E" w:tentative="1">
      <w:start w:val="1"/>
      <w:numFmt w:val="bullet"/>
      <w:lvlText w:val="o"/>
      <w:lvlJc w:val="left"/>
      <w:pPr>
        <w:ind w:left="3600" w:hanging="360"/>
      </w:pPr>
      <w:rPr>
        <w:rFonts w:ascii="Courier New" w:hAnsi="Courier New" w:cs="Courier New" w:hint="default"/>
      </w:rPr>
    </w:lvl>
    <w:lvl w:ilvl="5" w:tplc="0128D27E" w:tentative="1">
      <w:start w:val="1"/>
      <w:numFmt w:val="bullet"/>
      <w:lvlText w:val=""/>
      <w:lvlJc w:val="left"/>
      <w:pPr>
        <w:ind w:left="4320" w:hanging="360"/>
      </w:pPr>
      <w:rPr>
        <w:rFonts w:ascii="Wingdings" w:hAnsi="Wingdings" w:hint="default"/>
      </w:rPr>
    </w:lvl>
    <w:lvl w:ilvl="6" w:tplc="BAEC7434" w:tentative="1">
      <w:start w:val="1"/>
      <w:numFmt w:val="bullet"/>
      <w:lvlText w:val=""/>
      <w:lvlJc w:val="left"/>
      <w:pPr>
        <w:ind w:left="5040" w:hanging="360"/>
      </w:pPr>
      <w:rPr>
        <w:rFonts w:ascii="Symbol" w:hAnsi="Symbol" w:hint="default"/>
      </w:rPr>
    </w:lvl>
    <w:lvl w:ilvl="7" w:tplc="5E88129E" w:tentative="1">
      <w:start w:val="1"/>
      <w:numFmt w:val="bullet"/>
      <w:lvlText w:val="o"/>
      <w:lvlJc w:val="left"/>
      <w:pPr>
        <w:ind w:left="5760" w:hanging="360"/>
      </w:pPr>
      <w:rPr>
        <w:rFonts w:ascii="Courier New" w:hAnsi="Courier New" w:cs="Courier New" w:hint="default"/>
      </w:rPr>
    </w:lvl>
    <w:lvl w:ilvl="8" w:tplc="9CE2376A" w:tentative="1">
      <w:start w:val="1"/>
      <w:numFmt w:val="bullet"/>
      <w:lvlText w:val=""/>
      <w:lvlJc w:val="left"/>
      <w:pPr>
        <w:ind w:left="6480" w:hanging="360"/>
      </w:pPr>
      <w:rPr>
        <w:rFonts w:ascii="Wingdings" w:hAnsi="Wingdings" w:hint="default"/>
      </w:rPr>
    </w:lvl>
  </w:abstractNum>
  <w:abstractNum w:abstractNumId="18" w15:restartNumberingAfterBreak="0">
    <w:nsid w:val="54FA3C21"/>
    <w:multiLevelType w:val="hybridMultilevel"/>
    <w:tmpl w:val="03D68ED4"/>
    <w:lvl w:ilvl="0" w:tplc="BA1C51A0">
      <w:start w:val="1"/>
      <w:numFmt w:val="bullet"/>
      <w:lvlText w:val=""/>
      <w:lvlJc w:val="left"/>
      <w:pPr>
        <w:ind w:left="672" w:hanging="360"/>
      </w:pPr>
      <w:rPr>
        <w:rFonts w:ascii="Symbol" w:hAnsi="Symbol" w:cs="Symbol" w:hint="default"/>
        <w:b/>
        <w:bCs/>
        <w:color w:val="FF0000"/>
        <w:szCs w:val="28"/>
      </w:rPr>
    </w:lvl>
    <w:lvl w:ilvl="1" w:tplc="C3B6BE1C" w:tentative="1">
      <w:start w:val="1"/>
      <w:numFmt w:val="bullet"/>
      <w:lvlText w:val="o"/>
      <w:lvlJc w:val="left"/>
      <w:pPr>
        <w:ind w:left="1392" w:hanging="360"/>
      </w:pPr>
      <w:rPr>
        <w:rFonts w:ascii="Courier New" w:hAnsi="Courier New" w:cs="Courier New" w:hint="default"/>
      </w:rPr>
    </w:lvl>
    <w:lvl w:ilvl="2" w:tplc="E780C7E0" w:tentative="1">
      <w:start w:val="1"/>
      <w:numFmt w:val="bullet"/>
      <w:lvlText w:val=""/>
      <w:lvlJc w:val="left"/>
      <w:pPr>
        <w:ind w:left="2112" w:hanging="360"/>
      </w:pPr>
      <w:rPr>
        <w:rFonts w:ascii="Wingdings" w:hAnsi="Wingdings" w:hint="default"/>
      </w:rPr>
    </w:lvl>
    <w:lvl w:ilvl="3" w:tplc="602E2E00" w:tentative="1">
      <w:start w:val="1"/>
      <w:numFmt w:val="bullet"/>
      <w:lvlText w:val=""/>
      <w:lvlJc w:val="left"/>
      <w:pPr>
        <w:ind w:left="2832" w:hanging="360"/>
      </w:pPr>
      <w:rPr>
        <w:rFonts w:ascii="Symbol" w:hAnsi="Symbol" w:hint="default"/>
      </w:rPr>
    </w:lvl>
    <w:lvl w:ilvl="4" w:tplc="22B83908" w:tentative="1">
      <w:start w:val="1"/>
      <w:numFmt w:val="bullet"/>
      <w:lvlText w:val="o"/>
      <w:lvlJc w:val="left"/>
      <w:pPr>
        <w:ind w:left="3552" w:hanging="360"/>
      </w:pPr>
      <w:rPr>
        <w:rFonts w:ascii="Courier New" w:hAnsi="Courier New" w:cs="Courier New" w:hint="default"/>
      </w:rPr>
    </w:lvl>
    <w:lvl w:ilvl="5" w:tplc="3F342560" w:tentative="1">
      <w:start w:val="1"/>
      <w:numFmt w:val="bullet"/>
      <w:lvlText w:val=""/>
      <w:lvlJc w:val="left"/>
      <w:pPr>
        <w:ind w:left="4272" w:hanging="360"/>
      </w:pPr>
      <w:rPr>
        <w:rFonts w:ascii="Wingdings" w:hAnsi="Wingdings" w:hint="default"/>
      </w:rPr>
    </w:lvl>
    <w:lvl w:ilvl="6" w:tplc="4E183FBA" w:tentative="1">
      <w:start w:val="1"/>
      <w:numFmt w:val="bullet"/>
      <w:lvlText w:val=""/>
      <w:lvlJc w:val="left"/>
      <w:pPr>
        <w:ind w:left="4992" w:hanging="360"/>
      </w:pPr>
      <w:rPr>
        <w:rFonts w:ascii="Symbol" w:hAnsi="Symbol" w:hint="default"/>
      </w:rPr>
    </w:lvl>
    <w:lvl w:ilvl="7" w:tplc="10061CF8" w:tentative="1">
      <w:start w:val="1"/>
      <w:numFmt w:val="bullet"/>
      <w:lvlText w:val="o"/>
      <w:lvlJc w:val="left"/>
      <w:pPr>
        <w:ind w:left="5712" w:hanging="360"/>
      </w:pPr>
      <w:rPr>
        <w:rFonts w:ascii="Courier New" w:hAnsi="Courier New" w:cs="Courier New" w:hint="default"/>
      </w:rPr>
    </w:lvl>
    <w:lvl w:ilvl="8" w:tplc="B3E6FCE8" w:tentative="1">
      <w:start w:val="1"/>
      <w:numFmt w:val="bullet"/>
      <w:lvlText w:val=""/>
      <w:lvlJc w:val="left"/>
      <w:pPr>
        <w:ind w:left="6432" w:hanging="360"/>
      </w:pPr>
      <w:rPr>
        <w:rFonts w:ascii="Wingdings" w:hAnsi="Wingdings" w:hint="default"/>
      </w:rPr>
    </w:lvl>
  </w:abstractNum>
  <w:abstractNum w:abstractNumId="19" w15:restartNumberingAfterBreak="0">
    <w:nsid w:val="6079445E"/>
    <w:multiLevelType w:val="hybridMultilevel"/>
    <w:tmpl w:val="01E0535A"/>
    <w:lvl w:ilvl="0" w:tplc="E4925E2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plc="527E3E16" w:tentative="1">
      <w:start w:val="1"/>
      <w:numFmt w:val="bullet"/>
      <w:lvlText w:val="o"/>
      <w:lvlJc w:val="left"/>
      <w:pPr>
        <w:ind w:left="1080" w:hanging="360"/>
      </w:pPr>
      <w:rPr>
        <w:rFonts w:ascii="Courier New" w:hAnsi="Courier New" w:cs="Courier New" w:hint="default"/>
      </w:rPr>
    </w:lvl>
    <w:lvl w:ilvl="2" w:tplc="3D0AFB6C" w:tentative="1">
      <w:start w:val="1"/>
      <w:numFmt w:val="bullet"/>
      <w:lvlText w:val=""/>
      <w:lvlJc w:val="left"/>
      <w:pPr>
        <w:ind w:left="1800" w:hanging="360"/>
      </w:pPr>
      <w:rPr>
        <w:rFonts w:ascii="Wingdings" w:hAnsi="Wingdings" w:hint="default"/>
      </w:rPr>
    </w:lvl>
    <w:lvl w:ilvl="3" w:tplc="25E08D8E" w:tentative="1">
      <w:start w:val="1"/>
      <w:numFmt w:val="bullet"/>
      <w:lvlText w:val=""/>
      <w:lvlJc w:val="left"/>
      <w:pPr>
        <w:ind w:left="2520" w:hanging="360"/>
      </w:pPr>
      <w:rPr>
        <w:rFonts w:ascii="Symbol" w:hAnsi="Symbol" w:hint="default"/>
      </w:rPr>
    </w:lvl>
    <w:lvl w:ilvl="4" w:tplc="FA6217AC" w:tentative="1">
      <w:start w:val="1"/>
      <w:numFmt w:val="bullet"/>
      <w:lvlText w:val="o"/>
      <w:lvlJc w:val="left"/>
      <w:pPr>
        <w:ind w:left="3240" w:hanging="360"/>
      </w:pPr>
      <w:rPr>
        <w:rFonts w:ascii="Courier New" w:hAnsi="Courier New" w:cs="Courier New" w:hint="default"/>
      </w:rPr>
    </w:lvl>
    <w:lvl w:ilvl="5" w:tplc="840A1BC8" w:tentative="1">
      <w:start w:val="1"/>
      <w:numFmt w:val="bullet"/>
      <w:lvlText w:val=""/>
      <w:lvlJc w:val="left"/>
      <w:pPr>
        <w:ind w:left="3960" w:hanging="360"/>
      </w:pPr>
      <w:rPr>
        <w:rFonts w:ascii="Wingdings" w:hAnsi="Wingdings" w:hint="default"/>
      </w:rPr>
    </w:lvl>
    <w:lvl w:ilvl="6" w:tplc="2E6413B6" w:tentative="1">
      <w:start w:val="1"/>
      <w:numFmt w:val="bullet"/>
      <w:lvlText w:val=""/>
      <w:lvlJc w:val="left"/>
      <w:pPr>
        <w:ind w:left="4680" w:hanging="360"/>
      </w:pPr>
      <w:rPr>
        <w:rFonts w:ascii="Symbol" w:hAnsi="Symbol" w:hint="default"/>
      </w:rPr>
    </w:lvl>
    <w:lvl w:ilvl="7" w:tplc="8ED06A34" w:tentative="1">
      <w:start w:val="1"/>
      <w:numFmt w:val="bullet"/>
      <w:lvlText w:val="o"/>
      <w:lvlJc w:val="left"/>
      <w:pPr>
        <w:ind w:left="5400" w:hanging="360"/>
      </w:pPr>
      <w:rPr>
        <w:rFonts w:ascii="Courier New" w:hAnsi="Courier New" w:cs="Courier New" w:hint="default"/>
      </w:rPr>
    </w:lvl>
    <w:lvl w:ilvl="8" w:tplc="CE58C06E" w:tentative="1">
      <w:start w:val="1"/>
      <w:numFmt w:val="bullet"/>
      <w:lvlText w:val=""/>
      <w:lvlJc w:val="left"/>
      <w:pPr>
        <w:ind w:left="6120" w:hanging="360"/>
      </w:pPr>
      <w:rPr>
        <w:rFonts w:ascii="Wingdings" w:hAnsi="Wingdings" w:hint="default"/>
      </w:rPr>
    </w:lvl>
  </w:abstractNum>
  <w:abstractNum w:abstractNumId="20" w15:restartNumberingAfterBreak="0">
    <w:nsid w:val="63590C76"/>
    <w:multiLevelType w:val="hybridMultilevel"/>
    <w:tmpl w:val="63E0E626"/>
    <w:lvl w:ilvl="0" w:tplc="2362C6EE">
      <w:start w:val="1"/>
      <w:numFmt w:val="bullet"/>
      <w:lvlText w:val=""/>
      <w:lvlJc w:val="left"/>
      <w:pPr>
        <w:ind w:left="577" w:hanging="360"/>
      </w:pPr>
      <w:rPr>
        <w:rFonts w:ascii="Symbol" w:hAnsi="Symbol" w:cs="Symbol" w:hint="default"/>
        <w:b/>
        <w:bCs/>
        <w:color w:val="FF0000"/>
        <w:szCs w:val="28"/>
      </w:rPr>
    </w:lvl>
    <w:lvl w:ilvl="1" w:tplc="4E50A4BA" w:tentative="1">
      <w:start w:val="1"/>
      <w:numFmt w:val="bullet"/>
      <w:lvlText w:val="o"/>
      <w:lvlJc w:val="left"/>
      <w:pPr>
        <w:ind w:left="1297" w:hanging="360"/>
      </w:pPr>
      <w:rPr>
        <w:rFonts w:ascii="Courier New" w:hAnsi="Courier New" w:cs="Courier New" w:hint="default"/>
      </w:rPr>
    </w:lvl>
    <w:lvl w:ilvl="2" w:tplc="0AE6752E" w:tentative="1">
      <w:start w:val="1"/>
      <w:numFmt w:val="bullet"/>
      <w:lvlText w:val=""/>
      <w:lvlJc w:val="left"/>
      <w:pPr>
        <w:ind w:left="2017" w:hanging="360"/>
      </w:pPr>
      <w:rPr>
        <w:rFonts w:ascii="Wingdings" w:hAnsi="Wingdings" w:hint="default"/>
      </w:rPr>
    </w:lvl>
    <w:lvl w:ilvl="3" w:tplc="FC3C3BA8" w:tentative="1">
      <w:start w:val="1"/>
      <w:numFmt w:val="bullet"/>
      <w:lvlText w:val=""/>
      <w:lvlJc w:val="left"/>
      <w:pPr>
        <w:ind w:left="2737" w:hanging="360"/>
      </w:pPr>
      <w:rPr>
        <w:rFonts w:ascii="Symbol" w:hAnsi="Symbol" w:hint="default"/>
      </w:rPr>
    </w:lvl>
    <w:lvl w:ilvl="4" w:tplc="12EE93DC" w:tentative="1">
      <w:start w:val="1"/>
      <w:numFmt w:val="bullet"/>
      <w:lvlText w:val="o"/>
      <w:lvlJc w:val="left"/>
      <w:pPr>
        <w:ind w:left="3457" w:hanging="360"/>
      </w:pPr>
      <w:rPr>
        <w:rFonts w:ascii="Courier New" w:hAnsi="Courier New" w:cs="Courier New" w:hint="default"/>
      </w:rPr>
    </w:lvl>
    <w:lvl w:ilvl="5" w:tplc="F71C9036" w:tentative="1">
      <w:start w:val="1"/>
      <w:numFmt w:val="bullet"/>
      <w:lvlText w:val=""/>
      <w:lvlJc w:val="left"/>
      <w:pPr>
        <w:ind w:left="4177" w:hanging="360"/>
      </w:pPr>
      <w:rPr>
        <w:rFonts w:ascii="Wingdings" w:hAnsi="Wingdings" w:hint="default"/>
      </w:rPr>
    </w:lvl>
    <w:lvl w:ilvl="6" w:tplc="ED92C2E0" w:tentative="1">
      <w:start w:val="1"/>
      <w:numFmt w:val="bullet"/>
      <w:lvlText w:val=""/>
      <w:lvlJc w:val="left"/>
      <w:pPr>
        <w:ind w:left="4897" w:hanging="360"/>
      </w:pPr>
      <w:rPr>
        <w:rFonts w:ascii="Symbol" w:hAnsi="Symbol" w:hint="default"/>
      </w:rPr>
    </w:lvl>
    <w:lvl w:ilvl="7" w:tplc="ADEE3880" w:tentative="1">
      <w:start w:val="1"/>
      <w:numFmt w:val="bullet"/>
      <w:lvlText w:val="o"/>
      <w:lvlJc w:val="left"/>
      <w:pPr>
        <w:ind w:left="5617" w:hanging="360"/>
      </w:pPr>
      <w:rPr>
        <w:rFonts w:ascii="Courier New" w:hAnsi="Courier New" w:cs="Courier New" w:hint="default"/>
      </w:rPr>
    </w:lvl>
    <w:lvl w:ilvl="8" w:tplc="E236D4A4" w:tentative="1">
      <w:start w:val="1"/>
      <w:numFmt w:val="bullet"/>
      <w:lvlText w:val=""/>
      <w:lvlJc w:val="left"/>
      <w:pPr>
        <w:ind w:left="6337" w:hanging="360"/>
      </w:pPr>
      <w:rPr>
        <w:rFonts w:ascii="Wingdings" w:hAnsi="Wingdings" w:hint="default"/>
      </w:rPr>
    </w:lvl>
  </w:abstractNum>
  <w:abstractNum w:abstractNumId="21" w15:restartNumberingAfterBreak="0">
    <w:nsid w:val="6699458C"/>
    <w:multiLevelType w:val="hybridMultilevel"/>
    <w:tmpl w:val="B9E2BA98"/>
    <w:lvl w:ilvl="0" w:tplc="2CBEB8AE">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A161964" w:tentative="1">
      <w:start w:val="1"/>
      <w:numFmt w:val="bullet"/>
      <w:lvlText w:val="o"/>
      <w:lvlJc w:val="left"/>
      <w:pPr>
        <w:ind w:left="1080" w:hanging="360"/>
      </w:pPr>
      <w:rPr>
        <w:rFonts w:ascii="Courier New" w:hAnsi="Courier New" w:cs="Courier New" w:hint="default"/>
      </w:rPr>
    </w:lvl>
    <w:lvl w:ilvl="2" w:tplc="795E8F8E" w:tentative="1">
      <w:start w:val="1"/>
      <w:numFmt w:val="bullet"/>
      <w:lvlText w:val=""/>
      <w:lvlJc w:val="left"/>
      <w:pPr>
        <w:ind w:left="1800" w:hanging="360"/>
      </w:pPr>
      <w:rPr>
        <w:rFonts w:ascii="Wingdings" w:hAnsi="Wingdings" w:hint="default"/>
      </w:rPr>
    </w:lvl>
    <w:lvl w:ilvl="3" w:tplc="C068024A" w:tentative="1">
      <w:start w:val="1"/>
      <w:numFmt w:val="bullet"/>
      <w:lvlText w:val=""/>
      <w:lvlJc w:val="left"/>
      <w:pPr>
        <w:ind w:left="2520" w:hanging="360"/>
      </w:pPr>
      <w:rPr>
        <w:rFonts w:ascii="Symbol" w:hAnsi="Symbol" w:hint="default"/>
      </w:rPr>
    </w:lvl>
    <w:lvl w:ilvl="4" w:tplc="2522028C" w:tentative="1">
      <w:start w:val="1"/>
      <w:numFmt w:val="bullet"/>
      <w:lvlText w:val="o"/>
      <w:lvlJc w:val="left"/>
      <w:pPr>
        <w:ind w:left="3240" w:hanging="360"/>
      </w:pPr>
      <w:rPr>
        <w:rFonts w:ascii="Courier New" w:hAnsi="Courier New" w:cs="Courier New" w:hint="default"/>
      </w:rPr>
    </w:lvl>
    <w:lvl w:ilvl="5" w:tplc="238C0792" w:tentative="1">
      <w:start w:val="1"/>
      <w:numFmt w:val="bullet"/>
      <w:lvlText w:val=""/>
      <w:lvlJc w:val="left"/>
      <w:pPr>
        <w:ind w:left="3960" w:hanging="360"/>
      </w:pPr>
      <w:rPr>
        <w:rFonts w:ascii="Wingdings" w:hAnsi="Wingdings" w:hint="default"/>
      </w:rPr>
    </w:lvl>
    <w:lvl w:ilvl="6" w:tplc="E1D2E132" w:tentative="1">
      <w:start w:val="1"/>
      <w:numFmt w:val="bullet"/>
      <w:lvlText w:val=""/>
      <w:lvlJc w:val="left"/>
      <w:pPr>
        <w:ind w:left="4680" w:hanging="360"/>
      </w:pPr>
      <w:rPr>
        <w:rFonts w:ascii="Symbol" w:hAnsi="Symbol" w:hint="default"/>
      </w:rPr>
    </w:lvl>
    <w:lvl w:ilvl="7" w:tplc="D1262EE0" w:tentative="1">
      <w:start w:val="1"/>
      <w:numFmt w:val="bullet"/>
      <w:lvlText w:val="o"/>
      <w:lvlJc w:val="left"/>
      <w:pPr>
        <w:ind w:left="5400" w:hanging="360"/>
      </w:pPr>
      <w:rPr>
        <w:rFonts w:ascii="Courier New" w:hAnsi="Courier New" w:cs="Courier New" w:hint="default"/>
      </w:rPr>
    </w:lvl>
    <w:lvl w:ilvl="8" w:tplc="C64027CC" w:tentative="1">
      <w:start w:val="1"/>
      <w:numFmt w:val="bullet"/>
      <w:lvlText w:val=""/>
      <w:lvlJc w:val="left"/>
      <w:pPr>
        <w:ind w:left="6120" w:hanging="360"/>
      </w:pPr>
      <w:rPr>
        <w:rFonts w:ascii="Wingdings" w:hAnsi="Wingdings" w:hint="default"/>
      </w:rPr>
    </w:lvl>
  </w:abstractNum>
  <w:abstractNum w:abstractNumId="22" w15:restartNumberingAfterBreak="0">
    <w:nsid w:val="67D35D20"/>
    <w:multiLevelType w:val="hybridMultilevel"/>
    <w:tmpl w:val="C0AE448A"/>
    <w:lvl w:ilvl="0" w:tplc="66D0C78E">
      <w:start w:val="1"/>
      <w:numFmt w:val="bullet"/>
      <w:lvlText w:val=""/>
      <w:lvlJc w:val="left"/>
      <w:pPr>
        <w:ind w:left="1080" w:hanging="360"/>
      </w:pPr>
      <w:rPr>
        <w:rFonts w:ascii="Symbol" w:hAnsi="Symbol" w:cs="Symbol" w:hint="default"/>
        <w:b/>
        <w:bCs/>
        <w:color w:val="FF0000"/>
        <w:sz w:val="28"/>
        <w:szCs w:val="28"/>
      </w:rPr>
    </w:lvl>
    <w:lvl w:ilvl="1" w:tplc="2174A22E" w:tentative="1">
      <w:start w:val="1"/>
      <w:numFmt w:val="bullet"/>
      <w:lvlText w:val="o"/>
      <w:lvlJc w:val="left"/>
      <w:pPr>
        <w:ind w:left="1800" w:hanging="360"/>
      </w:pPr>
      <w:rPr>
        <w:rFonts w:ascii="Courier New" w:hAnsi="Courier New" w:cs="Courier New" w:hint="default"/>
      </w:rPr>
    </w:lvl>
    <w:lvl w:ilvl="2" w:tplc="4FF27EAC" w:tentative="1">
      <w:start w:val="1"/>
      <w:numFmt w:val="bullet"/>
      <w:lvlText w:val=""/>
      <w:lvlJc w:val="left"/>
      <w:pPr>
        <w:ind w:left="2520" w:hanging="360"/>
      </w:pPr>
      <w:rPr>
        <w:rFonts w:ascii="Wingdings" w:hAnsi="Wingdings" w:hint="default"/>
      </w:rPr>
    </w:lvl>
    <w:lvl w:ilvl="3" w:tplc="2F2E594E" w:tentative="1">
      <w:start w:val="1"/>
      <w:numFmt w:val="bullet"/>
      <w:lvlText w:val=""/>
      <w:lvlJc w:val="left"/>
      <w:pPr>
        <w:ind w:left="3240" w:hanging="360"/>
      </w:pPr>
      <w:rPr>
        <w:rFonts w:ascii="Symbol" w:hAnsi="Symbol" w:hint="default"/>
      </w:rPr>
    </w:lvl>
    <w:lvl w:ilvl="4" w:tplc="5C021646" w:tentative="1">
      <w:start w:val="1"/>
      <w:numFmt w:val="bullet"/>
      <w:lvlText w:val="o"/>
      <w:lvlJc w:val="left"/>
      <w:pPr>
        <w:ind w:left="3960" w:hanging="360"/>
      </w:pPr>
      <w:rPr>
        <w:rFonts w:ascii="Courier New" w:hAnsi="Courier New" w:cs="Courier New" w:hint="default"/>
      </w:rPr>
    </w:lvl>
    <w:lvl w:ilvl="5" w:tplc="F89052C4" w:tentative="1">
      <w:start w:val="1"/>
      <w:numFmt w:val="bullet"/>
      <w:lvlText w:val=""/>
      <w:lvlJc w:val="left"/>
      <w:pPr>
        <w:ind w:left="4680" w:hanging="360"/>
      </w:pPr>
      <w:rPr>
        <w:rFonts w:ascii="Wingdings" w:hAnsi="Wingdings" w:hint="default"/>
      </w:rPr>
    </w:lvl>
    <w:lvl w:ilvl="6" w:tplc="A906DABC" w:tentative="1">
      <w:start w:val="1"/>
      <w:numFmt w:val="bullet"/>
      <w:lvlText w:val=""/>
      <w:lvlJc w:val="left"/>
      <w:pPr>
        <w:ind w:left="5400" w:hanging="360"/>
      </w:pPr>
      <w:rPr>
        <w:rFonts w:ascii="Symbol" w:hAnsi="Symbol" w:hint="default"/>
      </w:rPr>
    </w:lvl>
    <w:lvl w:ilvl="7" w:tplc="FCA02F0E" w:tentative="1">
      <w:start w:val="1"/>
      <w:numFmt w:val="bullet"/>
      <w:lvlText w:val="o"/>
      <w:lvlJc w:val="left"/>
      <w:pPr>
        <w:ind w:left="6120" w:hanging="360"/>
      </w:pPr>
      <w:rPr>
        <w:rFonts w:ascii="Courier New" w:hAnsi="Courier New" w:cs="Courier New" w:hint="default"/>
      </w:rPr>
    </w:lvl>
    <w:lvl w:ilvl="8" w:tplc="8A92AE2A" w:tentative="1">
      <w:start w:val="1"/>
      <w:numFmt w:val="bullet"/>
      <w:lvlText w:val=""/>
      <w:lvlJc w:val="left"/>
      <w:pPr>
        <w:ind w:left="6840" w:hanging="360"/>
      </w:pPr>
      <w:rPr>
        <w:rFonts w:ascii="Wingdings" w:hAnsi="Wingdings" w:hint="default"/>
      </w:rPr>
    </w:lvl>
  </w:abstractNum>
  <w:abstractNum w:abstractNumId="23" w15:restartNumberingAfterBreak="0">
    <w:nsid w:val="6A737A05"/>
    <w:multiLevelType w:val="hybridMultilevel"/>
    <w:tmpl w:val="AB70605A"/>
    <w:lvl w:ilvl="0" w:tplc="C9EE243E">
      <w:start w:val="1"/>
      <w:numFmt w:val="bullet"/>
      <w:lvlText w:val=""/>
      <w:lvlJc w:val="left"/>
      <w:pPr>
        <w:ind w:left="720" w:hanging="360"/>
      </w:pPr>
      <w:rPr>
        <w:rFonts w:ascii="Wingdings 2" w:hAnsi="Wingdings 2" w:hint="default"/>
      </w:rPr>
    </w:lvl>
    <w:lvl w:ilvl="1" w:tplc="CA1C2A1C">
      <w:start w:val="1"/>
      <w:numFmt w:val="bullet"/>
      <w:lvlText w:val=""/>
      <w:lvlJc w:val="left"/>
      <w:pPr>
        <w:ind w:left="357" w:hanging="360"/>
      </w:pPr>
      <w:rPr>
        <w:rFonts w:ascii="Wingdings 2" w:hAnsi="Wingdings 2" w:hint="default"/>
      </w:rPr>
    </w:lvl>
    <w:lvl w:ilvl="2" w:tplc="CA56E370">
      <w:start w:val="1"/>
      <w:numFmt w:val="bullet"/>
      <w:lvlText w:val=""/>
      <w:lvlJc w:val="left"/>
      <w:pPr>
        <w:ind w:left="1077" w:hanging="360"/>
      </w:pPr>
      <w:rPr>
        <w:rFonts w:ascii="Wingdings" w:hAnsi="Wingdings" w:hint="default"/>
      </w:rPr>
    </w:lvl>
    <w:lvl w:ilvl="3" w:tplc="F53CAE6E" w:tentative="1">
      <w:start w:val="1"/>
      <w:numFmt w:val="bullet"/>
      <w:lvlText w:val=""/>
      <w:lvlJc w:val="left"/>
      <w:pPr>
        <w:ind w:left="1797" w:hanging="360"/>
      </w:pPr>
      <w:rPr>
        <w:rFonts w:ascii="Symbol" w:hAnsi="Symbol" w:hint="default"/>
      </w:rPr>
    </w:lvl>
    <w:lvl w:ilvl="4" w:tplc="4F144564" w:tentative="1">
      <w:start w:val="1"/>
      <w:numFmt w:val="bullet"/>
      <w:lvlText w:val="o"/>
      <w:lvlJc w:val="left"/>
      <w:pPr>
        <w:ind w:left="2517" w:hanging="360"/>
      </w:pPr>
      <w:rPr>
        <w:rFonts w:ascii="Courier New" w:hAnsi="Courier New" w:cs="Courier New" w:hint="default"/>
      </w:rPr>
    </w:lvl>
    <w:lvl w:ilvl="5" w:tplc="6D500EDC" w:tentative="1">
      <w:start w:val="1"/>
      <w:numFmt w:val="bullet"/>
      <w:lvlText w:val=""/>
      <w:lvlJc w:val="left"/>
      <w:pPr>
        <w:ind w:left="3237" w:hanging="360"/>
      </w:pPr>
      <w:rPr>
        <w:rFonts w:ascii="Wingdings" w:hAnsi="Wingdings" w:hint="default"/>
      </w:rPr>
    </w:lvl>
    <w:lvl w:ilvl="6" w:tplc="81841716" w:tentative="1">
      <w:start w:val="1"/>
      <w:numFmt w:val="bullet"/>
      <w:lvlText w:val=""/>
      <w:lvlJc w:val="left"/>
      <w:pPr>
        <w:ind w:left="3957" w:hanging="360"/>
      </w:pPr>
      <w:rPr>
        <w:rFonts w:ascii="Symbol" w:hAnsi="Symbol" w:hint="default"/>
      </w:rPr>
    </w:lvl>
    <w:lvl w:ilvl="7" w:tplc="FFDC3D04" w:tentative="1">
      <w:start w:val="1"/>
      <w:numFmt w:val="bullet"/>
      <w:lvlText w:val="o"/>
      <w:lvlJc w:val="left"/>
      <w:pPr>
        <w:ind w:left="4677" w:hanging="360"/>
      </w:pPr>
      <w:rPr>
        <w:rFonts w:ascii="Courier New" w:hAnsi="Courier New" w:cs="Courier New" w:hint="default"/>
      </w:rPr>
    </w:lvl>
    <w:lvl w:ilvl="8" w:tplc="326CC916" w:tentative="1">
      <w:start w:val="1"/>
      <w:numFmt w:val="bullet"/>
      <w:lvlText w:val=""/>
      <w:lvlJc w:val="left"/>
      <w:pPr>
        <w:ind w:left="5397" w:hanging="360"/>
      </w:pPr>
      <w:rPr>
        <w:rFonts w:ascii="Wingdings" w:hAnsi="Wingdings" w:hint="default"/>
      </w:rPr>
    </w:lvl>
  </w:abstractNum>
  <w:abstractNum w:abstractNumId="24" w15:restartNumberingAfterBreak="0">
    <w:nsid w:val="6C7B6A02"/>
    <w:multiLevelType w:val="hybridMultilevel"/>
    <w:tmpl w:val="3B381E46"/>
    <w:lvl w:ilvl="0" w:tplc="CA886D50">
      <w:start w:val="1"/>
      <w:numFmt w:val="bullet"/>
      <w:lvlText w:val=""/>
      <w:lvlJc w:val="left"/>
      <w:pPr>
        <w:ind w:left="720" w:hanging="360"/>
      </w:pPr>
      <w:rPr>
        <w:rFonts w:ascii="Symbol" w:hAnsi="Symbol" w:hint="default"/>
      </w:rPr>
    </w:lvl>
    <w:lvl w:ilvl="1" w:tplc="FB14F480" w:tentative="1">
      <w:start w:val="1"/>
      <w:numFmt w:val="bullet"/>
      <w:lvlText w:val="o"/>
      <w:lvlJc w:val="left"/>
      <w:pPr>
        <w:ind w:left="1440" w:hanging="360"/>
      </w:pPr>
      <w:rPr>
        <w:rFonts w:ascii="Courier New" w:hAnsi="Courier New" w:cs="Courier New" w:hint="default"/>
      </w:rPr>
    </w:lvl>
    <w:lvl w:ilvl="2" w:tplc="60540CAC" w:tentative="1">
      <w:start w:val="1"/>
      <w:numFmt w:val="bullet"/>
      <w:lvlText w:val=""/>
      <w:lvlJc w:val="left"/>
      <w:pPr>
        <w:ind w:left="2160" w:hanging="360"/>
      </w:pPr>
      <w:rPr>
        <w:rFonts w:ascii="Wingdings" w:hAnsi="Wingdings" w:hint="default"/>
      </w:rPr>
    </w:lvl>
    <w:lvl w:ilvl="3" w:tplc="6BD6525E" w:tentative="1">
      <w:start w:val="1"/>
      <w:numFmt w:val="bullet"/>
      <w:lvlText w:val=""/>
      <w:lvlJc w:val="left"/>
      <w:pPr>
        <w:ind w:left="2880" w:hanging="360"/>
      </w:pPr>
      <w:rPr>
        <w:rFonts w:ascii="Symbol" w:hAnsi="Symbol" w:hint="default"/>
      </w:rPr>
    </w:lvl>
    <w:lvl w:ilvl="4" w:tplc="5BC62CCA" w:tentative="1">
      <w:start w:val="1"/>
      <w:numFmt w:val="bullet"/>
      <w:lvlText w:val="o"/>
      <w:lvlJc w:val="left"/>
      <w:pPr>
        <w:ind w:left="3600" w:hanging="360"/>
      </w:pPr>
      <w:rPr>
        <w:rFonts w:ascii="Courier New" w:hAnsi="Courier New" w:cs="Courier New" w:hint="default"/>
      </w:rPr>
    </w:lvl>
    <w:lvl w:ilvl="5" w:tplc="9EB2C2EE" w:tentative="1">
      <w:start w:val="1"/>
      <w:numFmt w:val="bullet"/>
      <w:lvlText w:val=""/>
      <w:lvlJc w:val="left"/>
      <w:pPr>
        <w:ind w:left="4320" w:hanging="360"/>
      </w:pPr>
      <w:rPr>
        <w:rFonts w:ascii="Wingdings" w:hAnsi="Wingdings" w:hint="default"/>
      </w:rPr>
    </w:lvl>
    <w:lvl w:ilvl="6" w:tplc="DE723ECA" w:tentative="1">
      <w:start w:val="1"/>
      <w:numFmt w:val="bullet"/>
      <w:lvlText w:val=""/>
      <w:lvlJc w:val="left"/>
      <w:pPr>
        <w:ind w:left="5040" w:hanging="360"/>
      </w:pPr>
      <w:rPr>
        <w:rFonts w:ascii="Symbol" w:hAnsi="Symbol" w:hint="default"/>
      </w:rPr>
    </w:lvl>
    <w:lvl w:ilvl="7" w:tplc="38EAEF62" w:tentative="1">
      <w:start w:val="1"/>
      <w:numFmt w:val="bullet"/>
      <w:lvlText w:val="o"/>
      <w:lvlJc w:val="left"/>
      <w:pPr>
        <w:ind w:left="5760" w:hanging="360"/>
      </w:pPr>
      <w:rPr>
        <w:rFonts w:ascii="Courier New" w:hAnsi="Courier New" w:cs="Courier New" w:hint="default"/>
      </w:rPr>
    </w:lvl>
    <w:lvl w:ilvl="8" w:tplc="482E6224" w:tentative="1">
      <w:start w:val="1"/>
      <w:numFmt w:val="bullet"/>
      <w:lvlText w:val=""/>
      <w:lvlJc w:val="left"/>
      <w:pPr>
        <w:ind w:left="6480" w:hanging="360"/>
      </w:pPr>
      <w:rPr>
        <w:rFonts w:ascii="Wingdings" w:hAnsi="Wingdings" w:hint="default"/>
      </w:rPr>
    </w:lvl>
  </w:abstractNum>
  <w:abstractNum w:abstractNumId="25" w15:restartNumberingAfterBreak="0">
    <w:nsid w:val="6EFE54BE"/>
    <w:multiLevelType w:val="hybridMultilevel"/>
    <w:tmpl w:val="81AC363A"/>
    <w:lvl w:ilvl="0" w:tplc="BAEC98B0">
      <w:start w:val="1"/>
      <w:numFmt w:val="bullet"/>
      <w:lvlText w:val=""/>
      <w:lvlJc w:val="left"/>
      <w:pPr>
        <w:ind w:left="720" w:hanging="360"/>
      </w:pPr>
      <w:rPr>
        <w:rFonts w:ascii="Symbol" w:hAnsi="Symbol" w:hint="default"/>
      </w:rPr>
    </w:lvl>
    <w:lvl w:ilvl="1" w:tplc="4628CD18" w:tentative="1">
      <w:start w:val="1"/>
      <w:numFmt w:val="bullet"/>
      <w:lvlText w:val="o"/>
      <w:lvlJc w:val="left"/>
      <w:pPr>
        <w:ind w:left="1440" w:hanging="360"/>
      </w:pPr>
      <w:rPr>
        <w:rFonts w:ascii="Courier New" w:hAnsi="Courier New" w:cs="Courier New" w:hint="default"/>
      </w:rPr>
    </w:lvl>
    <w:lvl w:ilvl="2" w:tplc="C2EA258C" w:tentative="1">
      <w:start w:val="1"/>
      <w:numFmt w:val="bullet"/>
      <w:lvlText w:val=""/>
      <w:lvlJc w:val="left"/>
      <w:pPr>
        <w:ind w:left="2160" w:hanging="360"/>
      </w:pPr>
      <w:rPr>
        <w:rFonts w:ascii="Wingdings" w:hAnsi="Wingdings" w:hint="default"/>
      </w:rPr>
    </w:lvl>
    <w:lvl w:ilvl="3" w:tplc="C4300A8E" w:tentative="1">
      <w:start w:val="1"/>
      <w:numFmt w:val="bullet"/>
      <w:lvlText w:val=""/>
      <w:lvlJc w:val="left"/>
      <w:pPr>
        <w:ind w:left="2880" w:hanging="360"/>
      </w:pPr>
      <w:rPr>
        <w:rFonts w:ascii="Symbol" w:hAnsi="Symbol" w:hint="default"/>
      </w:rPr>
    </w:lvl>
    <w:lvl w:ilvl="4" w:tplc="2B9438B6" w:tentative="1">
      <w:start w:val="1"/>
      <w:numFmt w:val="bullet"/>
      <w:lvlText w:val="o"/>
      <w:lvlJc w:val="left"/>
      <w:pPr>
        <w:ind w:left="3600" w:hanging="360"/>
      </w:pPr>
      <w:rPr>
        <w:rFonts w:ascii="Courier New" w:hAnsi="Courier New" w:cs="Courier New" w:hint="default"/>
      </w:rPr>
    </w:lvl>
    <w:lvl w:ilvl="5" w:tplc="127EAD8C" w:tentative="1">
      <w:start w:val="1"/>
      <w:numFmt w:val="bullet"/>
      <w:lvlText w:val=""/>
      <w:lvlJc w:val="left"/>
      <w:pPr>
        <w:ind w:left="4320" w:hanging="360"/>
      </w:pPr>
      <w:rPr>
        <w:rFonts w:ascii="Wingdings" w:hAnsi="Wingdings" w:hint="default"/>
      </w:rPr>
    </w:lvl>
    <w:lvl w:ilvl="6" w:tplc="8224FD3E" w:tentative="1">
      <w:start w:val="1"/>
      <w:numFmt w:val="bullet"/>
      <w:lvlText w:val=""/>
      <w:lvlJc w:val="left"/>
      <w:pPr>
        <w:ind w:left="5040" w:hanging="360"/>
      </w:pPr>
      <w:rPr>
        <w:rFonts w:ascii="Symbol" w:hAnsi="Symbol" w:hint="default"/>
      </w:rPr>
    </w:lvl>
    <w:lvl w:ilvl="7" w:tplc="E46A353A" w:tentative="1">
      <w:start w:val="1"/>
      <w:numFmt w:val="bullet"/>
      <w:lvlText w:val="o"/>
      <w:lvlJc w:val="left"/>
      <w:pPr>
        <w:ind w:left="5760" w:hanging="360"/>
      </w:pPr>
      <w:rPr>
        <w:rFonts w:ascii="Courier New" w:hAnsi="Courier New" w:cs="Courier New" w:hint="default"/>
      </w:rPr>
    </w:lvl>
    <w:lvl w:ilvl="8" w:tplc="7F5A2478" w:tentative="1">
      <w:start w:val="1"/>
      <w:numFmt w:val="bullet"/>
      <w:lvlText w:val=""/>
      <w:lvlJc w:val="left"/>
      <w:pPr>
        <w:ind w:left="6480" w:hanging="360"/>
      </w:pPr>
      <w:rPr>
        <w:rFonts w:ascii="Wingdings" w:hAnsi="Wingdings" w:hint="default"/>
      </w:rPr>
    </w:lvl>
  </w:abstractNum>
  <w:abstractNum w:abstractNumId="26" w15:restartNumberingAfterBreak="0">
    <w:nsid w:val="70E125B4"/>
    <w:multiLevelType w:val="hybridMultilevel"/>
    <w:tmpl w:val="EEDE58FE"/>
    <w:lvl w:ilvl="0" w:tplc="522E069E">
      <w:start w:val="1"/>
      <w:numFmt w:val="decimal"/>
      <w:lvlText w:val="%1."/>
      <w:lvlJc w:val="left"/>
      <w:pPr>
        <w:ind w:left="720" w:hanging="360"/>
      </w:pPr>
      <w:rPr>
        <w:rFonts w:hint="default"/>
      </w:rPr>
    </w:lvl>
    <w:lvl w:ilvl="1" w:tplc="211A48E2">
      <w:start w:val="1"/>
      <w:numFmt w:val="lowerLetter"/>
      <w:lvlText w:val="%2."/>
      <w:lvlJc w:val="left"/>
      <w:pPr>
        <w:ind w:left="1440" w:hanging="360"/>
      </w:pPr>
    </w:lvl>
    <w:lvl w:ilvl="2" w:tplc="8FA88392" w:tentative="1">
      <w:start w:val="1"/>
      <w:numFmt w:val="lowerRoman"/>
      <w:lvlText w:val="%3."/>
      <w:lvlJc w:val="right"/>
      <w:pPr>
        <w:ind w:left="2160" w:hanging="180"/>
      </w:pPr>
    </w:lvl>
    <w:lvl w:ilvl="3" w:tplc="0EB4663C" w:tentative="1">
      <w:start w:val="1"/>
      <w:numFmt w:val="decimal"/>
      <w:lvlText w:val="%4."/>
      <w:lvlJc w:val="left"/>
      <w:pPr>
        <w:ind w:left="2880" w:hanging="360"/>
      </w:pPr>
    </w:lvl>
    <w:lvl w:ilvl="4" w:tplc="944CBCAA" w:tentative="1">
      <w:start w:val="1"/>
      <w:numFmt w:val="lowerLetter"/>
      <w:lvlText w:val="%5."/>
      <w:lvlJc w:val="left"/>
      <w:pPr>
        <w:ind w:left="3600" w:hanging="360"/>
      </w:pPr>
    </w:lvl>
    <w:lvl w:ilvl="5" w:tplc="7AC2DE8C" w:tentative="1">
      <w:start w:val="1"/>
      <w:numFmt w:val="lowerRoman"/>
      <w:lvlText w:val="%6."/>
      <w:lvlJc w:val="right"/>
      <w:pPr>
        <w:ind w:left="4320" w:hanging="180"/>
      </w:pPr>
    </w:lvl>
    <w:lvl w:ilvl="6" w:tplc="5C966EE0" w:tentative="1">
      <w:start w:val="1"/>
      <w:numFmt w:val="decimal"/>
      <w:lvlText w:val="%7."/>
      <w:lvlJc w:val="left"/>
      <w:pPr>
        <w:ind w:left="5040" w:hanging="360"/>
      </w:pPr>
    </w:lvl>
    <w:lvl w:ilvl="7" w:tplc="10F62100" w:tentative="1">
      <w:start w:val="1"/>
      <w:numFmt w:val="lowerLetter"/>
      <w:lvlText w:val="%8."/>
      <w:lvlJc w:val="left"/>
      <w:pPr>
        <w:ind w:left="5760" w:hanging="360"/>
      </w:pPr>
    </w:lvl>
    <w:lvl w:ilvl="8" w:tplc="88D835B6" w:tentative="1">
      <w:start w:val="1"/>
      <w:numFmt w:val="lowerRoman"/>
      <w:lvlText w:val="%9."/>
      <w:lvlJc w:val="right"/>
      <w:pPr>
        <w:ind w:left="6480" w:hanging="180"/>
      </w:pPr>
    </w:lvl>
  </w:abstractNum>
  <w:abstractNum w:abstractNumId="27" w15:restartNumberingAfterBreak="0">
    <w:nsid w:val="7FF36E21"/>
    <w:multiLevelType w:val="hybridMultilevel"/>
    <w:tmpl w:val="EBA6D94E"/>
    <w:lvl w:ilvl="0" w:tplc="50427238">
      <w:start w:val="1"/>
      <w:numFmt w:val="bullet"/>
      <w:lvlText w:val=""/>
      <w:lvlJc w:val="left"/>
      <w:pPr>
        <w:ind w:left="720" w:hanging="360"/>
      </w:pPr>
      <w:rPr>
        <w:rFonts w:ascii="Symbol" w:hAnsi="Symbol" w:hint="default"/>
      </w:rPr>
    </w:lvl>
    <w:lvl w:ilvl="1" w:tplc="6472CE80" w:tentative="1">
      <w:start w:val="1"/>
      <w:numFmt w:val="bullet"/>
      <w:lvlText w:val="o"/>
      <w:lvlJc w:val="left"/>
      <w:pPr>
        <w:ind w:left="1440" w:hanging="360"/>
      </w:pPr>
      <w:rPr>
        <w:rFonts w:ascii="Courier New" w:hAnsi="Courier New" w:cs="Courier New" w:hint="default"/>
      </w:rPr>
    </w:lvl>
    <w:lvl w:ilvl="2" w:tplc="92DA4A8E" w:tentative="1">
      <w:start w:val="1"/>
      <w:numFmt w:val="bullet"/>
      <w:lvlText w:val=""/>
      <w:lvlJc w:val="left"/>
      <w:pPr>
        <w:ind w:left="2160" w:hanging="360"/>
      </w:pPr>
      <w:rPr>
        <w:rFonts w:ascii="Wingdings" w:hAnsi="Wingdings" w:hint="default"/>
      </w:rPr>
    </w:lvl>
    <w:lvl w:ilvl="3" w:tplc="AC8AC5BC" w:tentative="1">
      <w:start w:val="1"/>
      <w:numFmt w:val="bullet"/>
      <w:lvlText w:val=""/>
      <w:lvlJc w:val="left"/>
      <w:pPr>
        <w:ind w:left="2880" w:hanging="360"/>
      </w:pPr>
      <w:rPr>
        <w:rFonts w:ascii="Symbol" w:hAnsi="Symbol" w:hint="default"/>
      </w:rPr>
    </w:lvl>
    <w:lvl w:ilvl="4" w:tplc="33BCFF36" w:tentative="1">
      <w:start w:val="1"/>
      <w:numFmt w:val="bullet"/>
      <w:lvlText w:val="o"/>
      <w:lvlJc w:val="left"/>
      <w:pPr>
        <w:ind w:left="3600" w:hanging="360"/>
      </w:pPr>
      <w:rPr>
        <w:rFonts w:ascii="Courier New" w:hAnsi="Courier New" w:cs="Courier New" w:hint="default"/>
      </w:rPr>
    </w:lvl>
    <w:lvl w:ilvl="5" w:tplc="5E160220" w:tentative="1">
      <w:start w:val="1"/>
      <w:numFmt w:val="bullet"/>
      <w:lvlText w:val=""/>
      <w:lvlJc w:val="left"/>
      <w:pPr>
        <w:ind w:left="4320" w:hanging="360"/>
      </w:pPr>
      <w:rPr>
        <w:rFonts w:ascii="Wingdings" w:hAnsi="Wingdings" w:hint="default"/>
      </w:rPr>
    </w:lvl>
    <w:lvl w:ilvl="6" w:tplc="08CCFD9E" w:tentative="1">
      <w:start w:val="1"/>
      <w:numFmt w:val="bullet"/>
      <w:lvlText w:val=""/>
      <w:lvlJc w:val="left"/>
      <w:pPr>
        <w:ind w:left="5040" w:hanging="360"/>
      </w:pPr>
      <w:rPr>
        <w:rFonts w:ascii="Symbol" w:hAnsi="Symbol" w:hint="default"/>
      </w:rPr>
    </w:lvl>
    <w:lvl w:ilvl="7" w:tplc="1D42EA60" w:tentative="1">
      <w:start w:val="1"/>
      <w:numFmt w:val="bullet"/>
      <w:lvlText w:val="o"/>
      <w:lvlJc w:val="left"/>
      <w:pPr>
        <w:ind w:left="5760" w:hanging="360"/>
      </w:pPr>
      <w:rPr>
        <w:rFonts w:ascii="Courier New" w:hAnsi="Courier New" w:cs="Courier New" w:hint="default"/>
      </w:rPr>
    </w:lvl>
    <w:lvl w:ilvl="8" w:tplc="06A0AB8C" w:tentative="1">
      <w:start w:val="1"/>
      <w:numFmt w:val="bullet"/>
      <w:lvlText w:val=""/>
      <w:lvlJc w:val="left"/>
      <w:pPr>
        <w:ind w:left="6480" w:hanging="360"/>
      </w:pPr>
      <w:rPr>
        <w:rFonts w:ascii="Wingdings" w:hAnsi="Wingdings" w:hint="default"/>
      </w:rPr>
    </w:lvl>
  </w:abstractNum>
  <w:num w:numId="1" w16cid:durableId="372121701">
    <w:abstractNumId w:val="8"/>
  </w:num>
  <w:num w:numId="2" w16cid:durableId="1854341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880904">
    <w:abstractNumId w:val="2"/>
  </w:num>
  <w:num w:numId="4" w16cid:durableId="1148016623">
    <w:abstractNumId w:val="4"/>
  </w:num>
  <w:num w:numId="5" w16cid:durableId="1267271952">
    <w:abstractNumId w:val="0"/>
  </w:num>
  <w:num w:numId="6" w16cid:durableId="393622809">
    <w:abstractNumId w:val="24"/>
  </w:num>
  <w:num w:numId="7" w16cid:durableId="383408040">
    <w:abstractNumId w:val="25"/>
  </w:num>
  <w:num w:numId="8" w16cid:durableId="2023818982">
    <w:abstractNumId w:val="15"/>
  </w:num>
  <w:num w:numId="9" w16cid:durableId="1184394104">
    <w:abstractNumId w:val="27"/>
  </w:num>
  <w:num w:numId="10" w16cid:durableId="1337920672">
    <w:abstractNumId w:val="3"/>
  </w:num>
  <w:num w:numId="11" w16cid:durableId="1914120241">
    <w:abstractNumId w:val="17"/>
  </w:num>
  <w:num w:numId="12" w16cid:durableId="1196962396">
    <w:abstractNumId w:val="11"/>
  </w:num>
  <w:num w:numId="13" w16cid:durableId="84957701">
    <w:abstractNumId w:val="7"/>
  </w:num>
  <w:num w:numId="14" w16cid:durableId="1488401882">
    <w:abstractNumId w:val="26"/>
  </w:num>
  <w:num w:numId="15" w16cid:durableId="1750955853">
    <w:abstractNumId w:val="23"/>
  </w:num>
  <w:num w:numId="16" w16cid:durableId="378363689">
    <w:abstractNumId w:val="9"/>
  </w:num>
  <w:num w:numId="17" w16cid:durableId="1956784626">
    <w:abstractNumId w:val="5"/>
  </w:num>
  <w:num w:numId="18" w16cid:durableId="2092265115">
    <w:abstractNumId w:val="16"/>
  </w:num>
  <w:num w:numId="19" w16cid:durableId="1568346137">
    <w:abstractNumId w:val="14"/>
  </w:num>
  <w:num w:numId="20" w16cid:durableId="618688751">
    <w:abstractNumId w:val="12"/>
  </w:num>
  <w:num w:numId="21" w16cid:durableId="75632742">
    <w:abstractNumId w:val="21"/>
  </w:num>
  <w:num w:numId="22" w16cid:durableId="65610131">
    <w:abstractNumId w:val="1"/>
  </w:num>
  <w:num w:numId="23" w16cid:durableId="2083791286">
    <w:abstractNumId w:val="19"/>
  </w:num>
  <w:num w:numId="24" w16cid:durableId="1595673588">
    <w:abstractNumId w:val="10"/>
  </w:num>
  <w:num w:numId="25" w16cid:durableId="1696998398">
    <w:abstractNumId w:val="20"/>
  </w:num>
  <w:num w:numId="26" w16cid:durableId="1997295025">
    <w:abstractNumId w:val="22"/>
  </w:num>
  <w:num w:numId="27" w16cid:durableId="1378627165">
    <w:abstractNumId w:val="13"/>
  </w:num>
  <w:num w:numId="28" w16cid:durableId="317467784">
    <w:abstractNumId w:val="18"/>
  </w:num>
  <w:num w:numId="29" w16cid:durableId="2051687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SortMethod w:val="0000"/>
  <w:documentProtection w:edit="trackedChanges" w:enforcement="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ivug" w:val="1"/>
    <w:docVar w:name="space" w:val="True"/>
  </w:docVars>
  <w:rsids>
    <w:rsidRoot w:val="00517F82"/>
    <w:rsid w:val="00003ABE"/>
    <w:rsid w:val="00003B77"/>
    <w:rsid w:val="000055E8"/>
    <w:rsid w:val="0000583E"/>
    <w:rsid w:val="00010790"/>
    <w:rsid w:val="00011F9C"/>
    <w:rsid w:val="00014812"/>
    <w:rsid w:val="00014926"/>
    <w:rsid w:val="0001735B"/>
    <w:rsid w:val="0002137B"/>
    <w:rsid w:val="00024AFF"/>
    <w:rsid w:val="00027F1D"/>
    <w:rsid w:val="00032A5D"/>
    <w:rsid w:val="00032B31"/>
    <w:rsid w:val="00033AE8"/>
    <w:rsid w:val="000414A0"/>
    <w:rsid w:val="00042837"/>
    <w:rsid w:val="000429F4"/>
    <w:rsid w:val="000501A4"/>
    <w:rsid w:val="000532AA"/>
    <w:rsid w:val="000563C6"/>
    <w:rsid w:val="00060CAA"/>
    <w:rsid w:val="000641FD"/>
    <w:rsid w:val="00065678"/>
    <w:rsid w:val="00067052"/>
    <w:rsid w:val="00067AEC"/>
    <w:rsid w:val="00070F69"/>
    <w:rsid w:val="00072492"/>
    <w:rsid w:val="0007658A"/>
    <w:rsid w:val="0008170D"/>
    <w:rsid w:val="00087088"/>
    <w:rsid w:val="00093AB4"/>
    <w:rsid w:val="0009616B"/>
    <w:rsid w:val="00097A0B"/>
    <w:rsid w:val="00097CB7"/>
    <w:rsid w:val="000A67AF"/>
    <w:rsid w:val="000B08AC"/>
    <w:rsid w:val="000B1102"/>
    <w:rsid w:val="000B32FE"/>
    <w:rsid w:val="000B4314"/>
    <w:rsid w:val="000B5A39"/>
    <w:rsid w:val="000B6AE0"/>
    <w:rsid w:val="000B7136"/>
    <w:rsid w:val="000B7786"/>
    <w:rsid w:val="000C2FDE"/>
    <w:rsid w:val="000C367B"/>
    <w:rsid w:val="000C3C82"/>
    <w:rsid w:val="000C4458"/>
    <w:rsid w:val="000C7459"/>
    <w:rsid w:val="000C77F5"/>
    <w:rsid w:val="000D0D3C"/>
    <w:rsid w:val="000D43A7"/>
    <w:rsid w:val="000D661D"/>
    <w:rsid w:val="000E013E"/>
    <w:rsid w:val="000E4300"/>
    <w:rsid w:val="000E56DF"/>
    <w:rsid w:val="000E7587"/>
    <w:rsid w:val="000F0047"/>
    <w:rsid w:val="000F0D07"/>
    <w:rsid w:val="000F7725"/>
    <w:rsid w:val="00101D0F"/>
    <w:rsid w:val="0010549D"/>
    <w:rsid w:val="00105E42"/>
    <w:rsid w:val="00106216"/>
    <w:rsid w:val="00113E28"/>
    <w:rsid w:val="00113F8C"/>
    <w:rsid w:val="001141DD"/>
    <w:rsid w:val="00114242"/>
    <w:rsid w:val="00114325"/>
    <w:rsid w:val="00114EE1"/>
    <w:rsid w:val="0012071E"/>
    <w:rsid w:val="00123353"/>
    <w:rsid w:val="001248ED"/>
    <w:rsid w:val="00127478"/>
    <w:rsid w:val="00130028"/>
    <w:rsid w:val="001319BC"/>
    <w:rsid w:val="00132397"/>
    <w:rsid w:val="00132685"/>
    <w:rsid w:val="00134859"/>
    <w:rsid w:val="00134B43"/>
    <w:rsid w:val="00135563"/>
    <w:rsid w:val="001401A9"/>
    <w:rsid w:val="001408DA"/>
    <w:rsid w:val="001424CF"/>
    <w:rsid w:val="001443B7"/>
    <w:rsid w:val="001465B8"/>
    <w:rsid w:val="0016404D"/>
    <w:rsid w:val="00166477"/>
    <w:rsid w:val="00171B0A"/>
    <w:rsid w:val="001730B0"/>
    <w:rsid w:val="00181FE6"/>
    <w:rsid w:val="00181FEF"/>
    <w:rsid w:val="00182CE1"/>
    <w:rsid w:val="00184658"/>
    <w:rsid w:val="00185740"/>
    <w:rsid w:val="00190212"/>
    <w:rsid w:val="001922D3"/>
    <w:rsid w:val="00192976"/>
    <w:rsid w:val="00193F15"/>
    <w:rsid w:val="001960B4"/>
    <w:rsid w:val="001A0882"/>
    <w:rsid w:val="001A0906"/>
    <w:rsid w:val="001A1814"/>
    <w:rsid w:val="001A4428"/>
    <w:rsid w:val="001A613C"/>
    <w:rsid w:val="001B2821"/>
    <w:rsid w:val="001B5657"/>
    <w:rsid w:val="001B647C"/>
    <w:rsid w:val="001B7EA4"/>
    <w:rsid w:val="001C057E"/>
    <w:rsid w:val="001C0D5F"/>
    <w:rsid w:val="001C41CB"/>
    <w:rsid w:val="001C7CBE"/>
    <w:rsid w:val="001D3198"/>
    <w:rsid w:val="001D3D53"/>
    <w:rsid w:val="001D4EB4"/>
    <w:rsid w:val="001E6C3F"/>
    <w:rsid w:val="001F4066"/>
    <w:rsid w:val="0020215D"/>
    <w:rsid w:val="00203604"/>
    <w:rsid w:val="0020642E"/>
    <w:rsid w:val="002064F7"/>
    <w:rsid w:val="00206E16"/>
    <w:rsid w:val="00214968"/>
    <w:rsid w:val="0022038B"/>
    <w:rsid w:val="00220459"/>
    <w:rsid w:val="00223009"/>
    <w:rsid w:val="00224F71"/>
    <w:rsid w:val="002367C3"/>
    <w:rsid w:val="00236CC3"/>
    <w:rsid w:val="00240887"/>
    <w:rsid w:val="00241B1D"/>
    <w:rsid w:val="00243612"/>
    <w:rsid w:val="002516A7"/>
    <w:rsid w:val="002523AB"/>
    <w:rsid w:val="002529EC"/>
    <w:rsid w:val="00254384"/>
    <w:rsid w:val="002616AF"/>
    <w:rsid w:val="002617CF"/>
    <w:rsid w:val="00261FF3"/>
    <w:rsid w:val="0026222C"/>
    <w:rsid w:val="00263521"/>
    <w:rsid w:val="00267565"/>
    <w:rsid w:val="00292D19"/>
    <w:rsid w:val="002A6A57"/>
    <w:rsid w:val="002A7D21"/>
    <w:rsid w:val="002B0369"/>
    <w:rsid w:val="002B13C8"/>
    <w:rsid w:val="002B650C"/>
    <w:rsid w:val="002C1EE0"/>
    <w:rsid w:val="002C1FAA"/>
    <w:rsid w:val="002C4139"/>
    <w:rsid w:val="002C562F"/>
    <w:rsid w:val="002C5903"/>
    <w:rsid w:val="002D0419"/>
    <w:rsid w:val="002D0D3B"/>
    <w:rsid w:val="002D716F"/>
    <w:rsid w:val="002E5BEC"/>
    <w:rsid w:val="002F0D71"/>
    <w:rsid w:val="00301153"/>
    <w:rsid w:val="0030155D"/>
    <w:rsid w:val="003116F7"/>
    <w:rsid w:val="003119C3"/>
    <w:rsid w:val="00323027"/>
    <w:rsid w:val="0032440E"/>
    <w:rsid w:val="00326690"/>
    <w:rsid w:val="00333723"/>
    <w:rsid w:val="003341F5"/>
    <w:rsid w:val="00337E44"/>
    <w:rsid w:val="003413B4"/>
    <w:rsid w:val="003423C9"/>
    <w:rsid w:val="00344E54"/>
    <w:rsid w:val="00345295"/>
    <w:rsid w:val="00347457"/>
    <w:rsid w:val="00347B81"/>
    <w:rsid w:val="0035257C"/>
    <w:rsid w:val="0035300C"/>
    <w:rsid w:val="003537FD"/>
    <w:rsid w:val="0035421D"/>
    <w:rsid w:val="003637AB"/>
    <w:rsid w:val="0037263C"/>
    <w:rsid w:val="0037370B"/>
    <w:rsid w:val="00373DEF"/>
    <w:rsid w:val="00374B93"/>
    <w:rsid w:val="0037533A"/>
    <w:rsid w:val="00375FC1"/>
    <w:rsid w:val="0037752E"/>
    <w:rsid w:val="00380052"/>
    <w:rsid w:val="00383C01"/>
    <w:rsid w:val="00384843"/>
    <w:rsid w:val="00391478"/>
    <w:rsid w:val="00397596"/>
    <w:rsid w:val="003A2868"/>
    <w:rsid w:val="003A3086"/>
    <w:rsid w:val="003A3953"/>
    <w:rsid w:val="003A532F"/>
    <w:rsid w:val="003A7313"/>
    <w:rsid w:val="003B0115"/>
    <w:rsid w:val="003B17EE"/>
    <w:rsid w:val="003B2D24"/>
    <w:rsid w:val="003B5C3A"/>
    <w:rsid w:val="003B6239"/>
    <w:rsid w:val="003C1377"/>
    <w:rsid w:val="003C4AEE"/>
    <w:rsid w:val="003C751D"/>
    <w:rsid w:val="003D4ACB"/>
    <w:rsid w:val="003E2FC3"/>
    <w:rsid w:val="003E58C2"/>
    <w:rsid w:val="003F0F96"/>
    <w:rsid w:val="004006D3"/>
    <w:rsid w:val="0041073D"/>
    <w:rsid w:val="0042647A"/>
    <w:rsid w:val="004315E6"/>
    <w:rsid w:val="0043269E"/>
    <w:rsid w:val="004367CC"/>
    <w:rsid w:val="0044437C"/>
    <w:rsid w:val="004516D7"/>
    <w:rsid w:val="0045327B"/>
    <w:rsid w:val="0046264C"/>
    <w:rsid w:val="004710EF"/>
    <w:rsid w:val="00471B3B"/>
    <w:rsid w:val="00472C6D"/>
    <w:rsid w:val="004735F0"/>
    <w:rsid w:val="00474B94"/>
    <w:rsid w:val="00476843"/>
    <w:rsid w:val="004779AA"/>
    <w:rsid w:val="00481EB6"/>
    <w:rsid w:val="00490855"/>
    <w:rsid w:val="00491A50"/>
    <w:rsid w:val="00492D23"/>
    <w:rsid w:val="00496355"/>
    <w:rsid w:val="004979DF"/>
    <w:rsid w:val="00497B75"/>
    <w:rsid w:val="004A018B"/>
    <w:rsid w:val="004A0385"/>
    <w:rsid w:val="004A26E1"/>
    <w:rsid w:val="004A7E82"/>
    <w:rsid w:val="004B4E2F"/>
    <w:rsid w:val="004B5BAB"/>
    <w:rsid w:val="004B6D56"/>
    <w:rsid w:val="004B6D93"/>
    <w:rsid w:val="004B77D6"/>
    <w:rsid w:val="004C2414"/>
    <w:rsid w:val="004C2A52"/>
    <w:rsid w:val="004C30B4"/>
    <w:rsid w:val="004C3D18"/>
    <w:rsid w:val="004C7D9F"/>
    <w:rsid w:val="004D101A"/>
    <w:rsid w:val="004D6432"/>
    <w:rsid w:val="004E3A4C"/>
    <w:rsid w:val="004E6386"/>
    <w:rsid w:val="004E6CB4"/>
    <w:rsid w:val="004F19B3"/>
    <w:rsid w:val="004F1A55"/>
    <w:rsid w:val="004F2382"/>
    <w:rsid w:val="004F6664"/>
    <w:rsid w:val="004F7F17"/>
    <w:rsid w:val="00500436"/>
    <w:rsid w:val="005006C5"/>
    <w:rsid w:val="005034CD"/>
    <w:rsid w:val="00503CA2"/>
    <w:rsid w:val="005045BF"/>
    <w:rsid w:val="005113BB"/>
    <w:rsid w:val="00511C0B"/>
    <w:rsid w:val="00515A1F"/>
    <w:rsid w:val="00517F82"/>
    <w:rsid w:val="00526E30"/>
    <w:rsid w:val="00531D6D"/>
    <w:rsid w:val="0053314D"/>
    <w:rsid w:val="00535B0F"/>
    <w:rsid w:val="00541214"/>
    <w:rsid w:val="00542DB7"/>
    <w:rsid w:val="00545B96"/>
    <w:rsid w:val="00547546"/>
    <w:rsid w:val="00551B42"/>
    <w:rsid w:val="0055442A"/>
    <w:rsid w:val="005558C1"/>
    <w:rsid w:val="00555F2C"/>
    <w:rsid w:val="00562EFD"/>
    <w:rsid w:val="00563B86"/>
    <w:rsid w:val="005675DB"/>
    <w:rsid w:val="00573A35"/>
    <w:rsid w:val="00574579"/>
    <w:rsid w:val="005749A8"/>
    <w:rsid w:val="00575621"/>
    <w:rsid w:val="005769AB"/>
    <w:rsid w:val="005775A7"/>
    <w:rsid w:val="00580050"/>
    <w:rsid w:val="00580C5C"/>
    <w:rsid w:val="0058598A"/>
    <w:rsid w:val="00585A72"/>
    <w:rsid w:val="00587415"/>
    <w:rsid w:val="00596277"/>
    <w:rsid w:val="005A021D"/>
    <w:rsid w:val="005A25DF"/>
    <w:rsid w:val="005A2A5B"/>
    <w:rsid w:val="005A75AE"/>
    <w:rsid w:val="005B5050"/>
    <w:rsid w:val="005B5221"/>
    <w:rsid w:val="005C33D2"/>
    <w:rsid w:val="005C352D"/>
    <w:rsid w:val="005D749F"/>
    <w:rsid w:val="005E0568"/>
    <w:rsid w:val="005E22FB"/>
    <w:rsid w:val="005F066A"/>
    <w:rsid w:val="006021AA"/>
    <w:rsid w:val="0060290E"/>
    <w:rsid w:val="006303DB"/>
    <w:rsid w:val="00634DAD"/>
    <w:rsid w:val="006371D1"/>
    <w:rsid w:val="00637738"/>
    <w:rsid w:val="00642862"/>
    <w:rsid w:val="00643584"/>
    <w:rsid w:val="006450DB"/>
    <w:rsid w:val="006457EB"/>
    <w:rsid w:val="00652513"/>
    <w:rsid w:val="006531CB"/>
    <w:rsid w:val="00654A94"/>
    <w:rsid w:val="00654D81"/>
    <w:rsid w:val="00655999"/>
    <w:rsid w:val="0065607E"/>
    <w:rsid w:val="006616D7"/>
    <w:rsid w:val="00663619"/>
    <w:rsid w:val="00664D16"/>
    <w:rsid w:val="006A464E"/>
    <w:rsid w:val="006A5AD8"/>
    <w:rsid w:val="006A6BDA"/>
    <w:rsid w:val="006A6D5D"/>
    <w:rsid w:val="006A7026"/>
    <w:rsid w:val="006C1C30"/>
    <w:rsid w:val="006C1CFF"/>
    <w:rsid w:val="006C2574"/>
    <w:rsid w:val="006C3E1B"/>
    <w:rsid w:val="006C4A1F"/>
    <w:rsid w:val="006C5513"/>
    <w:rsid w:val="006D4161"/>
    <w:rsid w:val="006D5B60"/>
    <w:rsid w:val="006D695A"/>
    <w:rsid w:val="006D786C"/>
    <w:rsid w:val="006E5410"/>
    <w:rsid w:val="006E6FAE"/>
    <w:rsid w:val="006E777D"/>
    <w:rsid w:val="006F0FD5"/>
    <w:rsid w:val="006F285F"/>
    <w:rsid w:val="006F2F37"/>
    <w:rsid w:val="006F6E7A"/>
    <w:rsid w:val="006F7812"/>
    <w:rsid w:val="007012AD"/>
    <w:rsid w:val="00707790"/>
    <w:rsid w:val="007145DF"/>
    <w:rsid w:val="00715E78"/>
    <w:rsid w:val="00717318"/>
    <w:rsid w:val="00720C15"/>
    <w:rsid w:val="0072219B"/>
    <w:rsid w:val="00723F9A"/>
    <w:rsid w:val="00726961"/>
    <w:rsid w:val="00730383"/>
    <w:rsid w:val="00732727"/>
    <w:rsid w:val="00735DB2"/>
    <w:rsid w:val="00744267"/>
    <w:rsid w:val="007474F0"/>
    <w:rsid w:val="00750053"/>
    <w:rsid w:val="00753ADE"/>
    <w:rsid w:val="00763A3E"/>
    <w:rsid w:val="0077182B"/>
    <w:rsid w:val="0077183C"/>
    <w:rsid w:val="00773F61"/>
    <w:rsid w:val="00774D9A"/>
    <w:rsid w:val="007813C5"/>
    <w:rsid w:val="0078141D"/>
    <w:rsid w:val="007A24AE"/>
    <w:rsid w:val="007A2721"/>
    <w:rsid w:val="007A4E31"/>
    <w:rsid w:val="007A4EBD"/>
    <w:rsid w:val="007B112B"/>
    <w:rsid w:val="007B19B3"/>
    <w:rsid w:val="007B5B26"/>
    <w:rsid w:val="007B691A"/>
    <w:rsid w:val="007C1FF6"/>
    <w:rsid w:val="007D61B8"/>
    <w:rsid w:val="007E3190"/>
    <w:rsid w:val="007E6A5A"/>
    <w:rsid w:val="007F4FCF"/>
    <w:rsid w:val="007F52B3"/>
    <w:rsid w:val="007F7FF2"/>
    <w:rsid w:val="008004E2"/>
    <w:rsid w:val="0080170D"/>
    <w:rsid w:val="00801A65"/>
    <w:rsid w:val="00805B42"/>
    <w:rsid w:val="008102AD"/>
    <w:rsid w:val="00821017"/>
    <w:rsid w:val="0083070C"/>
    <w:rsid w:val="00834906"/>
    <w:rsid w:val="00837997"/>
    <w:rsid w:val="00841BD3"/>
    <w:rsid w:val="00841D3B"/>
    <w:rsid w:val="00844311"/>
    <w:rsid w:val="0085193F"/>
    <w:rsid w:val="0085273B"/>
    <w:rsid w:val="00863880"/>
    <w:rsid w:val="00865A3B"/>
    <w:rsid w:val="00867FC5"/>
    <w:rsid w:val="00870FFB"/>
    <w:rsid w:val="00872436"/>
    <w:rsid w:val="00872A16"/>
    <w:rsid w:val="00877C09"/>
    <w:rsid w:val="008815DE"/>
    <w:rsid w:val="00882450"/>
    <w:rsid w:val="00884126"/>
    <w:rsid w:val="00884274"/>
    <w:rsid w:val="00892A80"/>
    <w:rsid w:val="00892F80"/>
    <w:rsid w:val="00894050"/>
    <w:rsid w:val="00894167"/>
    <w:rsid w:val="00896E36"/>
    <w:rsid w:val="00897188"/>
    <w:rsid w:val="008B0F9D"/>
    <w:rsid w:val="008B4F41"/>
    <w:rsid w:val="008C6F75"/>
    <w:rsid w:val="008D0A66"/>
    <w:rsid w:val="008D17C9"/>
    <w:rsid w:val="008D33A1"/>
    <w:rsid w:val="008D411B"/>
    <w:rsid w:val="008D5066"/>
    <w:rsid w:val="008E0E01"/>
    <w:rsid w:val="008E302D"/>
    <w:rsid w:val="008E7147"/>
    <w:rsid w:val="008E7935"/>
    <w:rsid w:val="008E7F63"/>
    <w:rsid w:val="008F2D4E"/>
    <w:rsid w:val="008F4B7F"/>
    <w:rsid w:val="008F512B"/>
    <w:rsid w:val="008F6505"/>
    <w:rsid w:val="009015B2"/>
    <w:rsid w:val="00905F27"/>
    <w:rsid w:val="00906E90"/>
    <w:rsid w:val="0090740C"/>
    <w:rsid w:val="009074F6"/>
    <w:rsid w:val="00907759"/>
    <w:rsid w:val="0091051D"/>
    <w:rsid w:val="00911A78"/>
    <w:rsid w:val="00913A15"/>
    <w:rsid w:val="00913B52"/>
    <w:rsid w:val="00916EF5"/>
    <w:rsid w:val="00916F2C"/>
    <w:rsid w:val="00917E8B"/>
    <w:rsid w:val="00922243"/>
    <w:rsid w:val="0093628B"/>
    <w:rsid w:val="00936F84"/>
    <w:rsid w:val="009371CD"/>
    <w:rsid w:val="00940851"/>
    <w:rsid w:val="00953BEB"/>
    <w:rsid w:val="0095416F"/>
    <w:rsid w:val="009546A2"/>
    <w:rsid w:val="00961AC0"/>
    <w:rsid w:val="00961C4E"/>
    <w:rsid w:val="00964924"/>
    <w:rsid w:val="009679D9"/>
    <w:rsid w:val="0097440D"/>
    <w:rsid w:val="00975030"/>
    <w:rsid w:val="009800CB"/>
    <w:rsid w:val="0098222F"/>
    <w:rsid w:val="00990625"/>
    <w:rsid w:val="0099221C"/>
    <w:rsid w:val="00993482"/>
    <w:rsid w:val="009934B8"/>
    <w:rsid w:val="0099741C"/>
    <w:rsid w:val="009A027E"/>
    <w:rsid w:val="009A1B54"/>
    <w:rsid w:val="009A49DA"/>
    <w:rsid w:val="009A6160"/>
    <w:rsid w:val="009B1900"/>
    <w:rsid w:val="009B4FCE"/>
    <w:rsid w:val="009B7C7F"/>
    <w:rsid w:val="009C2E25"/>
    <w:rsid w:val="009C3FAF"/>
    <w:rsid w:val="009C68E2"/>
    <w:rsid w:val="009D261D"/>
    <w:rsid w:val="009D2F6D"/>
    <w:rsid w:val="009D73F5"/>
    <w:rsid w:val="009E1A3F"/>
    <w:rsid w:val="009F0BD3"/>
    <w:rsid w:val="009F1504"/>
    <w:rsid w:val="009F1C60"/>
    <w:rsid w:val="009F1EE7"/>
    <w:rsid w:val="00A13500"/>
    <w:rsid w:val="00A25951"/>
    <w:rsid w:val="00A2625E"/>
    <w:rsid w:val="00A356C7"/>
    <w:rsid w:val="00A362BD"/>
    <w:rsid w:val="00A404BA"/>
    <w:rsid w:val="00A40679"/>
    <w:rsid w:val="00A4279A"/>
    <w:rsid w:val="00A44CBF"/>
    <w:rsid w:val="00A46CBC"/>
    <w:rsid w:val="00A4734B"/>
    <w:rsid w:val="00A4769A"/>
    <w:rsid w:val="00A61AD5"/>
    <w:rsid w:val="00A62976"/>
    <w:rsid w:val="00A64597"/>
    <w:rsid w:val="00A73038"/>
    <w:rsid w:val="00A740EE"/>
    <w:rsid w:val="00A76C99"/>
    <w:rsid w:val="00A81609"/>
    <w:rsid w:val="00A81BDB"/>
    <w:rsid w:val="00A81EBE"/>
    <w:rsid w:val="00A95D1A"/>
    <w:rsid w:val="00AA13DD"/>
    <w:rsid w:val="00AA2D4D"/>
    <w:rsid w:val="00AA48DB"/>
    <w:rsid w:val="00AA4B98"/>
    <w:rsid w:val="00AA7A8B"/>
    <w:rsid w:val="00AB1978"/>
    <w:rsid w:val="00AC206B"/>
    <w:rsid w:val="00AC4E66"/>
    <w:rsid w:val="00AC59BD"/>
    <w:rsid w:val="00AC6B95"/>
    <w:rsid w:val="00AD2D9C"/>
    <w:rsid w:val="00AD716A"/>
    <w:rsid w:val="00AE1CBF"/>
    <w:rsid w:val="00AE4E0D"/>
    <w:rsid w:val="00AE668F"/>
    <w:rsid w:val="00AE717B"/>
    <w:rsid w:val="00AE7F13"/>
    <w:rsid w:val="00AF3113"/>
    <w:rsid w:val="00AF5045"/>
    <w:rsid w:val="00B00E5C"/>
    <w:rsid w:val="00B147F9"/>
    <w:rsid w:val="00B16122"/>
    <w:rsid w:val="00B166C8"/>
    <w:rsid w:val="00B16ED5"/>
    <w:rsid w:val="00B21AF1"/>
    <w:rsid w:val="00B256D7"/>
    <w:rsid w:val="00B27556"/>
    <w:rsid w:val="00B32FB0"/>
    <w:rsid w:val="00B402A1"/>
    <w:rsid w:val="00B42DB3"/>
    <w:rsid w:val="00B446B8"/>
    <w:rsid w:val="00B50EB8"/>
    <w:rsid w:val="00B5131A"/>
    <w:rsid w:val="00B61C7C"/>
    <w:rsid w:val="00B62DD1"/>
    <w:rsid w:val="00B63450"/>
    <w:rsid w:val="00B64676"/>
    <w:rsid w:val="00B664D9"/>
    <w:rsid w:val="00B666B9"/>
    <w:rsid w:val="00B67C2A"/>
    <w:rsid w:val="00B749B8"/>
    <w:rsid w:val="00B76DC1"/>
    <w:rsid w:val="00B862C0"/>
    <w:rsid w:val="00B86E7B"/>
    <w:rsid w:val="00B9062C"/>
    <w:rsid w:val="00B95117"/>
    <w:rsid w:val="00BA1BC3"/>
    <w:rsid w:val="00BA2300"/>
    <w:rsid w:val="00BA4A76"/>
    <w:rsid w:val="00BC03A0"/>
    <w:rsid w:val="00BC2363"/>
    <w:rsid w:val="00BD122B"/>
    <w:rsid w:val="00BD2467"/>
    <w:rsid w:val="00BD708D"/>
    <w:rsid w:val="00BD7CA3"/>
    <w:rsid w:val="00BE195F"/>
    <w:rsid w:val="00BE2DD8"/>
    <w:rsid w:val="00BE606B"/>
    <w:rsid w:val="00BE6754"/>
    <w:rsid w:val="00BE676B"/>
    <w:rsid w:val="00BF6A5E"/>
    <w:rsid w:val="00C016B2"/>
    <w:rsid w:val="00C03B1E"/>
    <w:rsid w:val="00C12C54"/>
    <w:rsid w:val="00C13A9C"/>
    <w:rsid w:val="00C20B25"/>
    <w:rsid w:val="00C2305A"/>
    <w:rsid w:val="00C23628"/>
    <w:rsid w:val="00C23CC9"/>
    <w:rsid w:val="00C3094E"/>
    <w:rsid w:val="00C30B3D"/>
    <w:rsid w:val="00C319DC"/>
    <w:rsid w:val="00C33AE2"/>
    <w:rsid w:val="00C419C0"/>
    <w:rsid w:val="00C42BD9"/>
    <w:rsid w:val="00C5000C"/>
    <w:rsid w:val="00C50AFF"/>
    <w:rsid w:val="00C51752"/>
    <w:rsid w:val="00C53400"/>
    <w:rsid w:val="00C724FC"/>
    <w:rsid w:val="00C75BA5"/>
    <w:rsid w:val="00C75BD5"/>
    <w:rsid w:val="00C8096C"/>
    <w:rsid w:val="00C80D59"/>
    <w:rsid w:val="00C8100B"/>
    <w:rsid w:val="00C82DD3"/>
    <w:rsid w:val="00C83236"/>
    <w:rsid w:val="00C8480A"/>
    <w:rsid w:val="00C856F6"/>
    <w:rsid w:val="00C950A0"/>
    <w:rsid w:val="00C96C4E"/>
    <w:rsid w:val="00C977D7"/>
    <w:rsid w:val="00CA21D2"/>
    <w:rsid w:val="00CA21DE"/>
    <w:rsid w:val="00CA41D2"/>
    <w:rsid w:val="00CA4F20"/>
    <w:rsid w:val="00CA5AF3"/>
    <w:rsid w:val="00CA631E"/>
    <w:rsid w:val="00CB20AD"/>
    <w:rsid w:val="00CB2B2B"/>
    <w:rsid w:val="00CB38C2"/>
    <w:rsid w:val="00CC1137"/>
    <w:rsid w:val="00CC1820"/>
    <w:rsid w:val="00CC3C92"/>
    <w:rsid w:val="00CC6931"/>
    <w:rsid w:val="00CD3E92"/>
    <w:rsid w:val="00CD4967"/>
    <w:rsid w:val="00CD6C38"/>
    <w:rsid w:val="00CD6C3A"/>
    <w:rsid w:val="00CE3962"/>
    <w:rsid w:val="00CE4158"/>
    <w:rsid w:val="00CF24F7"/>
    <w:rsid w:val="00CF2E1C"/>
    <w:rsid w:val="00CF4EB2"/>
    <w:rsid w:val="00D1243A"/>
    <w:rsid w:val="00D16371"/>
    <w:rsid w:val="00D22748"/>
    <w:rsid w:val="00D22AFC"/>
    <w:rsid w:val="00D2381E"/>
    <w:rsid w:val="00D23877"/>
    <w:rsid w:val="00D23BB4"/>
    <w:rsid w:val="00D25F57"/>
    <w:rsid w:val="00D26918"/>
    <w:rsid w:val="00D32B08"/>
    <w:rsid w:val="00D32C7D"/>
    <w:rsid w:val="00D3662F"/>
    <w:rsid w:val="00D37121"/>
    <w:rsid w:val="00D42732"/>
    <w:rsid w:val="00D45993"/>
    <w:rsid w:val="00D47827"/>
    <w:rsid w:val="00D50F6B"/>
    <w:rsid w:val="00D554AA"/>
    <w:rsid w:val="00D64CFF"/>
    <w:rsid w:val="00D65DFC"/>
    <w:rsid w:val="00D779F7"/>
    <w:rsid w:val="00D77BFD"/>
    <w:rsid w:val="00D80672"/>
    <w:rsid w:val="00D80B2D"/>
    <w:rsid w:val="00D82BCB"/>
    <w:rsid w:val="00D83BEA"/>
    <w:rsid w:val="00D84CBA"/>
    <w:rsid w:val="00D87542"/>
    <w:rsid w:val="00D8790D"/>
    <w:rsid w:val="00D916F2"/>
    <w:rsid w:val="00D92FE4"/>
    <w:rsid w:val="00D95C20"/>
    <w:rsid w:val="00D97144"/>
    <w:rsid w:val="00D97C16"/>
    <w:rsid w:val="00DA0E0E"/>
    <w:rsid w:val="00DA4ACE"/>
    <w:rsid w:val="00DA7879"/>
    <w:rsid w:val="00DC2A4C"/>
    <w:rsid w:val="00DC36D6"/>
    <w:rsid w:val="00DC6DD3"/>
    <w:rsid w:val="00DE1DAB"/>
    <w:rsid w:val="00DE20A2"/>
    <w:rsid w:val="00DE219C"/>
    <w:rsid w:val="00DF069B"/>
    <w:rsid w:val="00DF0B89"/>
    <w:rsid w:val="00E07C5C"/>
    <w:rsid w:val="00E07CF0"/>
    <w:rsid w:val="00E13C19"/>
    <w:rsid w:val="00E177E7"/>
    <w:rsid w:val="00E17991"/>
    <w:rsid w:val="00E204A8"/>
    <w:rsid w:val="00E21C92"/>
    <w:rsid w:val="00E35682"/>
    <w:rsid w:val="00E37E1D"/>
    <w:rsid w:val="00E37F06"/>
    <w:rsid w:val="00E406E2"/>
    <w:rsid w:val="00E43E13"/>
    <w:rsid w:val="00E44E34"/>
    <w:rsid w:val="00E45F78"/>
    <w:rsid w:val="00E46EA3"/>
    <w:rsid w:val="00E5078D"/>
    <w:rsid w:val="00E50D1C"/>
    <w:rsid w:val="00E5178A"/>
    <w:rsid w:val="00E51C1B"/>
    <w:rsid w:val="00E52FBF"/>
    <w:rsid w:val="00E5320F"/>
    <w:rsid w:val="00E53DA7"/>
    <w:rsid w:val="00E544D0"/>
    <w:rsid w:val="00E66888"/>
    <w:rsid w:val="00E67F15"/>
    <w:rsid w:val="00E73432"/>
    <w:rsid w:val="00E765F8"/>
    <w:rsid w:val="00E80F85"/>
    <w:rsid w:val="00E82F95"/>
    <w:rsid w:val="00E842E1"/>
    <w:rsid w:val="00E84BAC"/>
    <w:rsid w:val="00E8519A"/>
    <w:rsid w:val="00E870B2"/>
    <w:rsid w:val="00E95791"/>
    <w:rsid w:val="00EA67F3"/>
    <w:rsid w:val="00EB1B54"/>
    <w:rsid w:val="00EB4F55"/>
    <w:rsid w:val="00EB7047"/>
    <w:rsid w:val="00EC3C87"/>
    <w:rsid w:val="00EC6B44"/>
    <w:rsid w:val="00ED402A"/>
    <w:rsid w:val="00EE3536"/>
    <w:rsid w:val="00EE37A3"/>
    <w:rsid w:val="00EE453A"/>
    <w:rsid w:val="00EF4D31"/>
    <w:rsid w:val="00F06E2A"/>
    <w:rsid w:val="00F23462"/>
    <w:rsid w:val="00F2508A"/>
    <w:rsid w:val="00F30EE3"/>
    <w:rsid w:val="00F33A39"/>
    <w:rsid w:val="00F355F4"/>
    <w:rsid w:val="00F407A2"/>
    <w:rsid w:val="00F4385E"/>
    <w:rsid w:val="00F451ED"/>
    <w:rsid w:val="00F52DEE"/>
    <w:rsid w:val="00F53370"/>
    <w:rsid w:val="00F54795"/>
    <w:rsid w:val="00F55D71"/>
    <w:rsid w:val="00F61566"/>
    <w:rsid w:val="00F627EB"/>
    <w:rsid w:val="00F641E7"/>
    <w:rsid w:val="00F66FBE"/>
    <w:rsid w:val="00F72471"/>
    <w:rsid w:val="00F7516F"/>
    <w:rsid w:val="00F75A10"/>
    <w:rsid w:val="00F766E8"/>
    <w:rsid w:val="00F77276"/>
    <w:rsid w:val="00F7736D"/>
    <w:rsid w:val="00F81082"/>
    <w:rsid w:val="00F81B56"/>
    <w:rsid w:val="00F82C84"/>
    <w:rsid w:val="00F83ADE"/>
    <w:rsid w:val="00F859A8"/>
    <w:rsid w:val="00F91BCD"/>
    <w:rsid w:val="00F95EFE"/>
    <w:rsid w:val="00F965EE"/>
    <w:rsid w:val="00FA1A30"/>
    <w:rsid w:val="00FA2A88"/>
    <w:rsid w:val="00FA74BE"/>
    <w:rsid w:val="00FB352B"/>
    <w:rsid w:val="00FB3F26"/>
    <w:rsid w:val="00FB604E"/>
    <w:rsid w:val="00FC0742"/>
    <w:rsid w:val="00FC1390"/>
    <w:rsid w:val="00FC3213"/>
    <w:rsid w:val="00FC464E"/>
    <w:rsid w:val="00FC48C6"/>
    <w:rsid w:val="00FD0F06"/>
    <w:rsid w:val="00FD24CC"/>
    <w:rsid w:val="00FD2EE8"/>
    <w:rsid w:val="00FD473A"/>
    <w:rsid w:val="00FD6CC9"/>
    <w:rsid w:val="00FE3121"/>
    <w:rsid w:val="00FF1D8F"/>
    <w:rsid w:val="00FF5E54"/>
    <w:rsid w:val="00FF65E7"/>
    <w:rsid w:val="00FF71B5"/>
    <w:rsid w:val="00FF7E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407C"/>
  <w15:docId w15:val="{88EFA5F0-BAEA-4212-BE96-3D75247C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1A4"/>
    <w:pPr>
      <w:bidi/>
      <w:spacing w:line="312" w:lineRule="auto"/>
      <w:jc w:val="both"/>
    </w:pPr>
    <w:rPr>
      <w:szCs w:val="24"/>
    </w:rPr>
  </w:style>
  <w:style w:type="paragraph" w:styleId="1">
    <w:name w:val="heading 1"/>
    <w:basedOn w:val="a"/>
    <w:next w:val="a"/>
    <w:link w:val="10"/>
    <w:uiPriority w:val="1"/>
    <w:qFormat/>
    <w:rsid w:val="000501A4"/>
    <w:pPr>
      <w:keepNext/>
      <w:keepLines/>
      <w:jc w:val="center"/>
      <w:outlineLvl w:val="0"/>
    </w:pPr>
    <w:rPr>
      <w:rFonts w:eastAsia="Times New Roman"/>
      <w:bCs/>
      <w:szCs w:val="36"/>
      <w:u w:val="single"/>
    </w:rPr>
  </w:style>
  <w:style w:type="paragraph" w:styleId="2">
    <w:name w:val="heading 2"/>
    <w:basedOn w:val="a"/>
    <w:next w:val="a"/>
    <w:link w:val="20"/>
    <w:uiPriority w:val="1"/>
    <w:qFormat/>
    <w:rsid w:val="000501A4"/>
    <w:pPr>
      <w:keepNext/>
      <w:keepLines/>
      <w:spacing w:before="480"/>
      <w:jc w:val="center"/>
      <w:outlineLvl w:val="1"/>
    </w:pPr>
    <w:rPr>
      <w:rFonts w:eastAsia="Times New Roman"/>
      <w:bCs/>
      <w:szCs w:val="32"/>
    </w:rPr>
  </w:style>
  <w:style w:type="paragraph" w:styleId="3">
    <w:name w:val="heading 3"/>
    <w:basedOn w:val="a"/>
    <w:next w:val="a"/>
    <w:link w:val="30"/>
    <w:uiPriority w:val="1"/>
    <w:qFormat/>
    <w:rsid w:val="006D786C"/>
    <w:pPr>
      <w:keepNext/>
      <w:keepLines/>
      <w:spacing w:before="120"/>
      <w:outlineLvl w:val="2"/>
    </w:pPr>
    <w:rPr>
      <w:rFonts w:eastAsia="Times New Roman"/>
      <w:bCs/>
      <w:szCs w:val="28"/>
      <w:u w:val="single"/>
    </w:rPr>
  </w:style>
  <w:style w:type="paragraph" w:styleId="4">
    <w:name w:val="heading 4"/>
    <w:basedOn w:val="a"/>
    <w:next w:val="a"/>
    <w:link w:val="40"/>
    <w:uiPriority w:val="1"/>
    <w:qFormat/>
    <w:rsid w:val="006D786C"/>
    <w:pPr>
      <w:keepNext/>
      <w:keepLines/>
      <w:spacing w:before="120"/>
      <w:outlineLvl w:val="3"/>
    </w:pPr>
    <w:rPr>
      <w:rFonts w:eastAsia="Times New Roman"/>
      <w:bCs/>
      <w:szCs w:val="26"/>
    </w:rPr>
  </w:style>
  <w:style w:type="paragraph" w:styleId="5">
    <w:name w:val="heading 5"/>
    <w:basedOn w:val="a"/>
    <w:next w:val="a"/>
    <w:link w:val="50"/>
    <w:uiPriority w:val="1"/>
    <w:qFormat/>
    <w:rsid w:val="000501A4"/>
    <w:pPr>
      <w:keepNext/>
      <w:keepLines/>
      <w:outlineLvl w:val="4"/>
    </w:pPr>
    <w:rPr>
      <w:rFonts w:eastAsia="Times New Roman"/>
      <w:bCs/>
      <w:spacing w:val="40"/>
    </w:rPr>
  </w:style>
  <w:style w:type="paragraph" w:styleId="6">
    <w:name w:val="heading 6"/>
    <w:basedOn w:val="a"/>
    <w:next w:val="a"/>
    <w:link w:val="60"/>
    <w:uiPriority w:val="9"/>
    <w:qFormat/>
    <w:rsid w:val="000501A4"/>
    <w:pPr>
      <w:keepNext/>
      <w:keepLines/>
      <w:outlineLvl w:val="5"/>
    </w:pPr>
    <w:rPr>
      <w:rFonts w:eastAsia="Times New Roman"/>
      <w:spacing w:val="40"/>
    </w:rPr>
  </w:style>
  <w:style w:type="paragraph" w:styleId="7">
    <w:name w:val="heading 7"/>
    <w:basedOn w:val="a"/>
    <w:next w:val="a"/>
    <w:link w:val="70"/>
    <w:uiPriority w:val="1"/>
    <w:qFormat/>
    <w:rsid w:val="000501A4"/>
    <w:pPr>
      <w:keepNext/>
      <w:keepLines/>
      <w:outlineLvl w:val="6"/>
    </w:pPr>
    <w:rPr>
      <w:rFonts w:eastAsia="Times New Roman"/>
      <w:bCs/>
      <w:spacing w:val="40"/>
    </w:rPr>
  </w:style>
  <w:style w:type="paragraph" w:styleId="8">
    <w:name w:val="heading 8"/>
    <w:basedOn w:val="a"/>
    <w:next w:val="a"/>
    <w:link w:val="80"/>
    <w:uiPriority w:val="1"/>
    <w:qFormat/>
    <w:rsid w:val="000501A4"/>
    <w:pPr>
      <w:keepNext/>
      <w:keepLines/>
      <w:outlineLvl w:val="7"/>
    </w:pPr>
    <w:rPr>
      <w:rFonts w:eastAsia="Times New Roman"/>
      <w:spacing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uiPriority w:val="1"/>
    <w:rsid w:val="000501A4"/>
    <w:rPr>
      <w:rFonts w:eastAsia="Times New Roman"/>
      <w:bCs/>
      <w:szCs w:val="36"/>
      <w:u w:val="single"/>
    </w:rPr>
  </w:style>
  <w:style w:type="character" w:customStyle="1" w:styleId="20">
    <w:name w:val="כותרת 2 תו"/>
    <w:link w:val="2"/>
    <w:uiPriority w:val="1"/>
    <w:rsid w:val="000501A4"/>
    <w:rPr>
      <w:rFonts w:eastAsia="Times New Roman"/>
      <w:bCs/>
      <w:szCs w:val="32"/>
    </w:rPr>
  </w:style>
  <w:style w:type="character" w:customStyle="1" w:styleId="30">
    <w:name w:val="כותרת 3 תו"/>
    <w:link w:val="3"/>
    <w:uiPriority w:val="1"/>
    <w:rsid w:val="006D786C"/>
    <w:rPr>
      <w:rFonts w:eastAsia="Times New Roman"/>
      <w:bCs/>
      <w:szCs w:val="28"/>
      <w:u w:val="single"/>
    </w:rPr>
  </w:style>
  <w:style w:type="character" w:customStyle="1" w:styleId="40">
    <w:name w:val="כותרת 4 תו"/>
    <w:link w:val="4"/>
    <w:uiPriority w:val="1"/>
    <w:rsid w:val="006D786C"/>
    <w:rPr>
      <w:rFonts w:eastAsia="Times New Roman"/>
      <w:bCs/>
      <w:szCs w:val="26"/>
    </w:rPr>
  </w:style>
  <w:style w:type="character" w:customStyle="1" w:styleId="50">
    <w:name w:val="כותרת 5 תו"/>
    <w:link w:val="5"/>
    <w:uiPriority w:val="1"/>
    <w:rsid w:val="000501A4"/>
    <w:rPr>
      <w:rFonts w:eastAsia="Times New Roman"/>
      <w:bCs/>
      <w:spacing w:val="40"/>
    </w:rPr>
  </w:style>
  <w:style w:type="character" w:customStyle="1" w:styleId="60">
    <w:name w:val="כותרת 6 תו"/>
    <w:link w:val="6"/>
    <w:uiPriority w:val="9"/>
    <w:rsid w:val="000501A4"/>
    <w:rPr>
      <w:rFonts w:eastAsia="Times New Roman"/>
      <w:spacing w:val="40"/>
    </w:rPr>
  </w:style>
  <w:style w:type="character" w:customStyle="1" w:styleId="70">
    <w:name w:val="כותרת 7 תו"/>
    <w:link w:val="7"/>
    <w:uiPriority w:val="1"/>
    <w:rsid w:val="000501A4"/>
    <w:rPr>
      <w:rFonts w:eastAsia="Times New Roman"/>
      <w:bCs/>
      <w:spacing w:val="40"/>
    </w:rPr>
  </w:style>
  <w:style w:type="character" w:customStyle="1" w:styleId="80">
    <w:name w:val="כותרת 8 תו"/>
    <w:link w:val="8"/>
    <w:uiPriority w:val="1"/>
    <w:rsid w:val="000501A4"/>
    <w:rPr>
      <w:rFonts w:eastAsia="Times New Roman"/>
      <w:spacing w:val="40"/>
    </w:rPr>
  </w:style>
  <w:style w:type="paragraph" w:customStyle="1" w:styleId="a3">
    <w:name w:val="נבנצאל"/>
    <w:basedOn w:val="a"/>
    <w:next w:val="a"/>
    <w:link w:val="a4"/>
    <w:uiPriority w:val="99"/>
    <w:rsid w:val="000501A4"/>
    <w:pPr>
      <w:ind w:left="-567"/>
    </w:pPr>
    <w:rPr>
      <w:szCs w:val="20"/>
    </w:rPr>
  </w:style>
  <w:style w:type="character" w:customStyle="1" w:styleId="a4">
    <w:name w:val="נבנצאל תו"/>
    <w:link w:val="a3"/>
    <w:uiPriority w:val="99"/>
    <w:rsid w:val="000501A4"/>
    <w:rPr>
      <w:szCs w:val="20"/>
    </w:rPr>
  </w:style>
  <w:style w:type="paragraph" w:styleId="a5">
    <w:name w:val="header"/>
    <w:basedOn w:val="a"/>
    <w:link w:val="a6"/>
    <w:uiPriority w:val="99"/>
    <w:unhideWhenUsed/>
    <w:rsid w:val="000501A4"/>
    <w:pPr>
      <w:tabs>
        <w:tab w:val="center" w:pos="4153"/>
        <w:tab w:val="right" w:pos="8306"/>
      </w:tabs>
      <w:spacing w:line="240" w:lineRule="auto"/>
    </w:pPr>
  </w:style>
  <w:style w:type="character" w:customStyle="1" w:styleId="a6">
    <w:name w:val="כותרת עליונה תו"/>
    <w:basedOn w:val="a0"/>
    <w:link w:val="a5"/>
    <w:uiPriority w:val="99"/>
    <w:rsid w:val="000501A4"/>
  </w:style>
  <w:style w:type="paragraph" w:styleId="a7">
    <w:name w:val="footer"/>
    <w:basedOn w:val="a"/>
    <w:link w:val="a8"/>
    <w:uiPriority w:val="99"/>
    <w:unhideWhenUsed/>
    <w:rsid w:val="000501A4"/>
    <w:pPr>
      <w:tabs>
        <w:tab w:val="center" w:pos="4153"/>
        <w:tab w:val="right" w:pos="8306"/>
      </w:tabs>
      <w:spacing w:line="240" w:lineRule="auto"/>
    </w:pPr>
  </w:style>
  <w:style w:type="character" w:customStyle="1" w:styleId="a8">
    <w:name w:val="כותרת תחתונה תו"/>
    <w:basedOn w:val="a0"/>
    <w:link w:val="a7"/>
    <w:uiPriority w:val="99"/>
    <w:rsid w:val="000501A4"/>
  </w:style>
  <w:style w:type="paragraph" w:styleId="a9">
    <w:name w:val="Date"/>
    <w:basedOn w:val="a"/>
    <w:next w:val="a"/>
    <w:link w:val="aa"/>
    <w:uiPriority w:val="99"/>
    <w:unhideWhenUsed/>
    <w:rsid w:val="000501A4"/>
    <w:pPr>
      <w:spacing w:before="120" w:line="240" w:lineRule="auto"/>
    </w:pPr>
  </w:style>
  <w:style w:type="character" w:customStyle="1" w:styleId="aa">
    <w:name w:val="תאריך תו"/>
    <w:basedOn w:val="a0"/>
    <w:link w:val="a9"/>
    <w:uiPriority w:val="99"/>
    <w:rsid w:val="000501A4"/>
  </w:style>
  <w:style w:type="paragraph" w:styleId="ab">
    <w:name w:val="footnote text"/>
    <w:aliases w:val="Char,F1,FOOTNOTES,Footnote Text - Sharp,Footnote Text - Sharp Char,Footnote Text - Sharp Char Char,Footnote Text Char Char Char Char Char,Footnote reference,Sharp - Footnote Text,Sharp - Footnote Text1 Char,fn,footnote text,single space"/>
    <w:basedOn w:val="a"/>
    <w:link w:val="ac"/>
    <w:uiPriority w:val="99"/>
    <w:rsid w:val="00574579"/>
    <w:pPr>
      <w:spacing w:line="240" w:lineRule="auto"/>
      <w:ind w:left="720" w:hanging="720"/>
    </w:pPr>
    <w:rPr>
      <w:szCs w:val="20"/>
    </w:rPr>
  </w:style>
  <w:style w:type="character" w:customStyle="1" w:styleId="ac">
    <w:name w:val="טקסט הערת שוליים תו"/>
    <w:aliases w:val="Char תו,F1 תו,FOOTNOTES תו,Footnote Text - Sharp תו,Footnote Text - Sharp Char תו,Footnote Text - Sharp Char Char תו,Footnote Text Char Char Char Char Char תו,Footnote reference תו,Sharp - Footnote Text תו,fn תו,footnote text תו"/>
    <w:link w:val="ab"/>
    <w:uiPriority w:val="99"/>
    <w:rsid w:val="00574579"/>
    <w:rPr>
      <w:szCs w:val="20"/>
    </w:rPr>
  </w:style>
  <w:style w:type="character" w:styleId="ad">
    <w:name w:val="footnote reference"/>
    <w:aliases w:val="Footnote Referenc,Footnote Reference_0,Footnote Reference_0_0,Footnote Reference_0_0_0,Footnote Reference_0_0_0_0,Footnote Reference_1,Footnote Reference_2,Footnote Reference_3,Footnote Reference_3_0,Footnote Reference_4,Footnote text"/>
    <w:uiPriority w:val="99"/>
    <w:unhideWhenUsed/>
    <w:rsid w:val="000501A4"/>
    <w:rPr>
      <w:vertAlign w:val="superscript"/>
    </w:rPr>
  </w:style>
  <w:style w:type="paragraph" w:styleId="ae">
    <w:name w:val="Balloon Text"/>
    <w:basedOn w:val="a"/>
    <w:link w:val="af"/>
    <w:uiPriority w:val="99"/>
    <w:unhideWhenUsed/>
    <w:rsid w:val="00067AEC"/>
    <w:pPr>
      <w:spacing w:line="240" w:lineRule="auto"/>
    </w:pPr>
    <w:rPr>
      <w:rFonts w:ascii="Tahoma" w:hAnsi="Tahoma" w:cs="Tahoma"/>
      <w:sz w:val="18"/>
      <w:szCs w:val="18"/>
    </w:rPr>
  </w:style>
  <w:style w:type="character" w:customStyle="1" w:styleId="af">
    <w:name w:val="טקסט בלונים תו"/>
    <w:link w:val="ae"/>
    <w:uiPriority w:val="99"/>
    <w:rsid w:val="00067AEC"/>
    <w:rPr>
      <w:rFonts w:ascii="Tahoma" w:hAnsi="Tahoma" w:cs="Tahoma"/>
      <w:sz w:val="18"/>
      <w:szCs w:val="18"/>
    </w:rPr>
  </w:style>
  <w:style w:type="paragraph" w:styleId="af0">
    <w:name w:val="List Paragraph"/>
    <w:basedOn w:val="a"/>
    <w:link w:val="af1"/>
    <w:uiPriority w:val="34"/>
    <w:qFormat/>
    <w:rsid w:val="0008170D"/>
    <w:pPr>
      <w:ind w:left="720"/>
      <w:contextualSpacing/>
    </w:pPr>
  </w:style>
  <w:style w:type="character" w:styleId="af2">
    <w:name w:val="annotation reference"/>
    <w:basedOn w:val="a0"/>
    <w:uiPriority w:val="99"/>
    <w:semiHidden/>
    <w:unhideWhenUsed/>
    <w:rsid w:val="006C3E1B"/>
    <w:rPr>
      <w:sz w:val="16"/>
      <w:szCs w:val="16"/>
    </w:rPr>
  </w:style>
  <w:style w:type="paragraph" w:styleId="af3">
    <w:name w:val="annotation text"/>
    <w:basedOn w:val="a"/>
    <w:link w:val="af4"/>
    <w:uiPriority w:val="99"/>
    <w:unhideWhenUsed/>
    <w:rsid w:val="006C3E1B"/>
    <w:pPr>
      <w:spacing w:line="240" w:lineRule="auto"/>
    </w:pPr>
    <w:rPr>
      <w:szCs w:val="20"/>
    </w:rPr>
  </w:style>
  <w:style w:type="character" w:customStyle="1" w:styleId="af4">
    <w:name w:val="טקסט הערה תו"/>
    <w:basedOn w:val="a0"/>
    <w:link w:val="af3"/>
    <w:uiPriority w:val="99"/>
    <w:rsid w:val="006C3E1B"/>
  </w:style>
  <w:style w:type="paragraph" w:styleId="af5">
    <w:name w:val="annotation subject"/>
    <w:basedOn w:val="af3"/>
    <w:next w:val="af3"/>
    <w:link w:val="af6"/>
    <w:uiPriority w:val="99"/>
    <w:semiHidden/>
    <w:unhideWhenUsed/>
    <w:rsid w:val="006C3E1B"/>
    <w:rPr>
      <w:b/>
      <w:bCs/>
    </w:rPr>
  </w:style>
  <w:style w:type="character" w:customStyle="1" w:styleId="af6">
    <w:name w:val="נושא הערה תו"/>
    <w:basedOn w:val="af4"/>
    <w:link w:val="af5"/>
    <w:uiPriority w:val="99"/>
    <w:semiHidden/>
    <w:rsid w:val="006C3E1B"/>
    <w:rPr>
      <w:b/>
      <w:bCs/>
    </w:rPr>
  </w:style>
  <w:style w:type="table" w:styleId="af7">
    <w:name w:val="Table Grid"/>
    <w:basedOn w:val="a1"/>
    <w:uiPriority w:val="59"/>
    <w:rsid w:val="0077182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0055E8"/>
    <w:rPr>
      <w:color w:val="0563C1" w:themeColor="hyperlink"/>
      <w:u w:val="single"/>
    </w:rPr>
  </w:style>
  <w:style w:type="table" w:customStyle="1" w:styleId="11">
    <w:name w:val="רשת טבלה1"/>
    <w:basedOn w:val="a1"/>
    <w:next w:val="af7"/>
    <w:uiPriority w:val="59"/>
    <w:rsid w:val="00292D19"/>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
    <w:name w:val="73א הערות שוליים"/>
    <w:basedOn w:val="ab"/>
    <w:link w:val="730"/>
    <w:qFormat/>
    <w:rsid w:val="00292D19"/>
    <w:pPr>
      <w:keepLines/>
      <w:spacing w:after="60" w:line="220" w:lineRule="exact"/>
      <w:ind w:left="397" w:hanging="397"/>
    </w:pPr>
    <w:rPr>
      <w:rFonts w:ascii="Tahoma" w:hAnsi="Tahoma" w:cs="Tahoma"/>
      <w:color w:val="0D0D0D"/>
      <w:sz w:val="14"/>
      <w:szCs w:val="14"/>
    </w:rPr>
  </w:style>
  <w:style w:type="character" w:customStyle="1" w:styleId="730">
    <w:name w:val="73א הערות שוליים תו"/>
    <w:basedOn w:val="a0"/>
    <w:link w:val="73"/>
    <w:rsid w:val="00292D19"/>
    <w:rPr>
      <w:rFonts w:ascii="Tahoma" w:hAnsi="Tahoma" w:cs="Tahoma"/>
      <w:color w:val="0D0D0D"/>
      <w:sz w:val="14"/>
      <w:szCs w:val="14"/>
    </w:rPr>
  </w:style>
  <w:style w:type="table" w:customStyle="1" w:styleId="21">
    <w:name w:val="רשת טבלה2"/>
    <w:basedOn w:val="a1"/>
    <w:next w:val="af7"/>
    <w:uiPriority w:val="59"/>
    <w:rsid w:val="00BD7CA3"/>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1"/>
    <w:next w:val="af7"/>
    <w:uiPriority w:val="59"/>
    <w:rsid w:val="00C96C4E"/>
    <w:pPr>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71ג הערות שוליים"/>
    <w:basedOn w:val="ab"/>
    <w:link w:val="71Char"/>
    <w:qFormat/>
    <w:rsid w:val="00C96C4E"/>
    <w:pPr>
      <w:keepNext/>
      <w:keepLines/>
      <w:spacing w:after="60" w:line="220" w:lineRule="exact"/>
      <w:ind w:left="397" w:hanging="397"/>
    </w:pPr>
    <w:rPr>
      <w:rFonts w:ascii="Tahoma" w:eastAsia="Tw Cen MT" w:hAnsi="Tahoma" w:cs="Tahoma"/>
      <w:color w:val="0D0D0D"/>
      <w:sz w:val="14"/>
      <w:szCs w:val="14"/>
    </w:rPr>
  </w:style>
  <w:style w:type="character" w:customStyle="1" w:styleId="71Char">
    <w:name w:val="71ג הערות שוליים Char"/>
    <w:basedOn w:val="a0"/>
    <w:link w:val="71"/>
    <w:rsid w:val="00C96C4E"/>
    <w:rPr>
      <w:rFonts w:ascii="Tahoma" w:eastAsia="Tw Cen MT" w:hAnsi="Tahoma" w:cs="Tahoma"/>
      <w:color w:val="0D0D0D"/>
      <w:sz w:val="14"/>
      <w:szCs w:val="14"/>
    </w:rPr>
  </w:style>
  <w:style w:type="numbering" w:customStyle="1" w:styleId="12">
    <w:name w:val="ללא רשימה1"/>
    <w:next w:val="a2"/>
    <w:uiPriority w:val="99"/>
    <w:semiHidden/>
    <w:unhideWhenUsed/>
    <w:rsid w:val="00236CC3"/>
  </w:style>
  <w:style w:type="character" w:styleId="FollowedHyperlink">
    <w:name w:val="FollowedHyperlink"/>
    <w:basedOn w:val="a0"/>
    <w:uiPriority w:val="99"/>
    <w:semiHidden/>
    <w:unhideWhenUsed/>
    <w:rsid w:val="00236CC3"/>
    <w:rPr>
      <w:color w:val="954F72" w:themeColor="followedHyperlink"/>
      <w:u w:val="single"/>
    </w:rPr>
  </w:style>
  <w:style w:type="table" w:customStyle="1" w:styleId="41">
    <w:name w:val="רשת טבלה4"/>
    <w:basedOn w:val="a1"/>
    <w:next w:val="af7"/>
    <w:uiPriority w:val="59"/>
    <w:rsid w:val="00236C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236CC3"/>
    <w:rPr>
      <w:color w:val="605E5C"/>
      <w:shd w:val="clear" w:color="auto" w:fill="E1DFDD"/>
    </w:rPr>
  </w:style>
  <w:style w:type="paragraph" w:customStyle="1" w:styleId="p00">
    <w:name w:val="p00"/>
    <w:basedOn w:val="a"/>
    <w:rsid w:val="00236CC3"/>
    <w:pPr>
      <w:bidi w:val="0"/>
      <w:spacing w:before="100" w:beforeAutospacing="1" w:after="100" w:afterAutospacing="1" w:line="240" w:lineRule="auto"/>
      <w:jc w:val="left"/>
    </w:pPr>
    <w:rPr>
      <w:rFonts w:eastAsia="Times New Roman" w:cs="Times New Roman"/>
      <w:sz w:val="24"/>
    </w:rPr>
  </w:style>
  <w:style w:type="character" w:customStyle="1" w:styleId="af1">
    <w:name w:val="פיסקת רשימה תו"/>
    <w:link w:val="af0"/>
    <w:uiPriority w:val="34"/>
    <w:locked/>
    <w:rsid w:val="00236CC3"/>
    <w:rPr>
      <w:szCs w:val="24"/>
    </w:rPr>
  </w:style>
  <w:style w:type="table" w:customStyle="1" w:styleId="110">
    <w:name w:val="רשת טבלה11"/>
    <w:basedOn w:val="a1"/>
    <w:next w:val="af7"/>
    <w:uiPriority w:val="59"/>
    <w:rsid w:val="00236C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רשת טבלה21"/>
    <w:basedOn w:val="a1"/>
    <w:next w:val="af7"/>
    <w:uiPriority w:val="59"/>
    <w:rsid w:val="00236CC3"/>
    <w:pPr>
      <w:jc w:val="both"/>
    </w:pPr>
    <w:rPr>
      <w:rFonts w:eastAsia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1">
    <w:name w:val="73א כותרת לבנה בתוך תבנית אדומה בתקציר"/>
    <w:basedOn w:val="a"/>
    <w:link w:val="732"/>
    <w:qFormat/>
    <w:rsid w:val="00236CC3"/>
    <w:pPr>
      <w:keepNext/>
      <w:keepLines/>
      <w:spacing w:line="240" w:lineRule="atLeast"/>
      <w:ind w:left="170" w:right="113"/>
      <w:jc w:val="left"/>
    </w:pPr>
    <w:rPr>
      <w:rFonts w:ascii="Tahoma" w:eastAsiaTheme="minorHAnsi" w:hAnsi="Tahoma" w:cs="Tahoma"/>
      <w:b/>
      <w:bCs/>
      <w:color w:val="FFFFFF" w:themeColor="background1"/>
      <w:sz w:val="22"/>
      <w:szCs w:val="22"/>
    </w:rPr>
  </w:style>
  <w:style w:type="character" w:customStyle="1" w:styleId="732">
    <w:name w:val="73א כותרת לבנה בתוך תבנית אדומה בתקציר תו"/>
    <w:basedOn w:val="a0"/>
    <w:link w:val="731"/>
    <w:rsid w:val="00236CC3"/>
    <w:rPr>
      <w:rFonts w:ascii="Tahoma" w:eastAsiaTheme="minorHAnsi" w:hAnsi="Tahoma" w:cs="Tahoma"/>
      <w:b/>
      <w:bCs/>
      <w:color w:val="FFFFFF" w:themeColor="background1"/>
      <w:sz w:val="22"/>
      <w:szCs w:val="22"/>
    </w:rPr>
  </w:style>
  <w:style w:type="paragraph" w:styleId="af9">
    <w:name w:val="Title"/>
    <w:basedOn w:val="a"/>
    <w:next w:val="a"/>
    <w:link w:val="afa"/>
    <w:uiPriority w:val="10"/>
    <w:rsid w:val="00DC2A4C"/>
    <w:pPr>
      <w:spacing w:line="240" w:lineRule="auto"/>
      <w:contextualSpacing/>
    </w:pPr>
    <w:rPr>
      <w:rFonts w:asciiTheme="majorHAnsi" w:eastAsiaTheme="majorEastAsia" w:hAnsiTheme="majorHAnsi" w:cstheme="majorBidi"/>
      <w:spacing w:val="-10"/>
      <w:kern w:val="28"/>
      <w:sz w:val="56"/>
      <w:szCs w:val="56"/>
    </w:rPr>
  </w:style>
  <w:style w:type="character" w:customStyle="1" w:styleId="afa">
    <w:name w:val="כותרת טקסט תו"/>
    <w:basedOn w:val="a0"/>
    <w:link w:val="af9"/>
    <w:uiPriority w:val="10"/>
    <w:rsid w:val="00DC2A4C"/>
    <w:rPr>
      <w:rFonts w:asciiTheme="majorHAnsi" w:eastAsiaTheme="majorEastAsia" w:hAnsiTheme="majorHAnsi" w:cstheme="majorBidi"/>
      <w:spacing w:val="-10"/>
      <w:kern w:val="28"/>
      <w:sz w:val="56"/>
      <w:szCs w:val="56"/>
    </w:rPr>
  </w:style>
  <w:style w:type="paragraph" w:styleId="TOC1">
    <w:name w:val="toc 1"/>
    <w:basedOn w:val="a"/>
    <w:next w:val="a"/>
    <w:autoRedefine/>
    <w:uiPriority w:val="39"/>
    <w:unhideWhenUsed/>
    <w:rsid w:val="00DC2A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vdocd2app.mevaker.nlb/D2/?docbase=NM_PRD&amp;locateId=0b0bc09b843fb23f" TargetMode="External"/><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mevaker.gov.i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pages/driving_licence_categories?chapterIndex=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76A1B-5CED-4331-9756-6EF1B0FDD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23895</Words>
  <Characters>119476</Characters>
  <Application>Microsoft Office Word</Application>
  <DocSecurity>0</DocSecurity>
  <Lines>995</Lines>
  <Paragraphs>286</Paragraphs>
  <ScaleCrop>false</ScaleCrop>
  <Company/>
  <LinksUpToDate>false</LinksUpToDate>
  <CharactersWithSpaces>143085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Yitzhak Brandwein</cp:lastModifiedBy>
  <cp:revision>1</cp:revision>
  <dcterms:created xsi:type="dcterms:W3CDTF">2024-10-31T09:08:00Z</dcterms:created>
  <dcterms:modified xsi:type="dcterms:W3CDTF">2024-10-31T09:08:00Z</dcterms:modified>
</cp:coreProperties>
</file>