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8.0 -->
  <w:background w:color="ffffff">
    <v:background id="_x0000_s1025" filled="t"/>
  </w:background>
  <w:body>
    <w:bookmarkStart w:id="0" w:name="_Hlk63775048"/>
    <w:bookmarkEnd w:id="0"/>
    <w:p w:rsidR="008B2E28" w:rsidP="001F3363" w14:paraId="1815C0C8" w14:textId="14E4D38B">
      <w:pPr>
        <w:rPr>
          <w:rtl/>
        </w:rPr>
      </w:pPr>
      <w:r>
        <w:rPr>
          <w:noProof/>
        </w:rPr>
        <mc:AlternateContent>
          <mc:Choice Requires="wps">
            <w:drawing>
              <wp:anchor distT="0" distB="0" distL="114300" distR="114300" simplePos="0" relativeHeight="251674624" behindDoc="1" locked="0" layoutInCell="1" allowOverlap="1">
                <wp:simplePos x="0" y="0"/>
                <wp:positionH relativeFrom="column">
                  <wp:posOffset>-589915</wp:posOffset>
                </wp:positionH>
                <wp:positionV relativeFrom="paragraph">
                  <wp:posOffset>-243673</wp:posOffset>
                </wp:positionV>
                <wp:extent cx="6721475" cy="0"/>
                <wp:effectExtent l="0" t="0" r="9525" b="12700"/>
                <wp:wrapNone/>
                <wp:docPr id="618" name="Straight Connector 618"/>
                <wp:cNvGraphicFramePr/>
                <a:graphic xmlns:a="http://schemas.openxmlformats.org/drawingml/2006/main">
                  <a:graphicData uri="http://schemas.microsoft.com/office/word/2010/wordprocessingShape">
                    <wps:wsp xmlns:wps="http://schemas.microsoft.com/office/word/2010/wordprocessingShape">
                      <wps:cNvCnPr/>
                      <wps:spPr>
                        <a:xfrm flipH="1">
                          <a:off x="0" y="0"/>
                          <a:ext cx="6721475"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18" o:spid="_x0000_s1026" style="flip:x;mso-height-percent:0;mso-height-relative:margin;mso-width-percent:0;mso-width-relative:margin;mso-wrap-distance-bottom:0;mso-wrap-distance-left:9pt;mso-wrap-distance-right:9pt;mso-wrap-distance-top:0;mso-wrap-style:square;position:absolute;visibility:visible;z-index:-251640832" from="-46.45pt,-19.2pt" to="482.8pt,-19.2pt" strokecolor="white"/>
            </w:pict>
          </mc:Fallback>
        </mc:AlternateContent>
      </w:r>
      <w:r w:rsidR="003C32FE">
        <w:rPr>
          <w:noProof/>
          <w:szCs w:val="18"/>
        </w:rPr>
        <mc:AlternateContent>
          <mc:Choice Requires="wps">
            <w:drawing>
              <wp:anchor distT="0" distB="0" distL="114300" distR="114300" simplePos="0" relativeHeight="251664384" behindDoc="0" locked="0" layoutInCell="1" allowOverlap="1">
                <wp:simplePos x="0" y="0"/>
                <wp:positionH relativeFrom="column">
                  <wp:posOffset>-15163846</wp:posOffset>
                </wp:positionH>
                <wp:positionV relativeFrom="paragraph">
                  <wp:posOffset>-5918996</wp:posOffset>
                </wp:positionV>
                <wp:extent cx="20269200" cy="15478699"/>
                <wp:effectExtent l="0" t="0" r="12700" b="15875"/>
                <wp:wrapNone/>
                <wp:docPr id="11" name="Rectangle 1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20269200" cy="15478699"/>
                        </a:xfrm>
                        <a:prstGeom prst="rect">
                          <a:avLst/>
                        </a:prstGeom>
                        <a:solidFill>
                          <a:srgbClr val="00305F"/>
                        </a:solidFill>
                        <a:ln>
                          <a:solidFill>
                            <a:srgbClr val="00305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1" o:spid="_x0000_s1027" alt="&quot;&quot;" style="width:1596pt;height:1218.8pt;margin-top:-466.05pt;margin-left:-1194pt;mso-height-percent:0;mso-height-relative:margin;mso-width-percent:0;mso-width-relative:margin;mso-wrap-distance-bottom:0;mso-wrap-distance-left:9pt;mso-wrap-distance-right:9pt;mso-wrap-distance-top:0;mso-wrap-style:square;position:absolute;visibility:visible;v-text-anchor:middle;z-index:251665408" fillcolor="#00305f" strokecolor="#00305f" strokeweight="1.25pt"/>
            </w:pict>
          </mc:Fallback>
        </mc:AlternateContent>
      </w:r>
      <w:r w:rsidR="003C32FE">
        <w:rPr>
          <w:rFonts w:hint="cs"/>
          <w:noProof/>
          <w:rtl/>
          <w:lang w:val="he-IL"/>
        </w:rPr>
        <w:drawing>
          <wp:anchor distT="0" distB="0" distL="114300" distR="114300" simplePos="0" relativeHeight="251668480" behindDoc="0" locked="0" layoutInCell="1" allowOverlap="1">
            <wp:simplePos x="0" y="0"/>
            <wp:positionH relativeFrom="column">
              <wp:posOffset>-7113867</wp:posOffset>
            </wp:positionH>
            <wp:positionV relativeFrom="paragraph">
              <wp:posOffset>-4161346</wp:posOffset>
            </wp:positionV>
            <wp:extent cx="474980" cy="177800"/>
            <wp:effectExtent l="0" t="0" r="1270" b="0"/>
            <wp:wrapNone/>
            <wp:docPr id="26" name="Picture 26"/>
            <wp:cNvGraphicFramePr/>
            <a:graphic xmlns:a="http://schemas.openxmlformats.org/drawingml/2006/main">
              <a:graphicData uri="http://schemas.openxmlformats.org/drawingml/2006/picture">
                <pic:pic xmlns:pic="http://schemas.openxmlformats.org/drawingml/2006/picture">
                  <pic:nvPicPr>
                    <pic:cNvPr id="26" name="Picture 956"/>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474980" cy="177800"/>
                    </a:xfrm>
                    <a:prstGeom prst="rect">
                      <a:avLst/>
                    </a:prstGeom>
                  </pic:spPr>
                </pic:pic>
              </a:graphicData>
            </a:graphic>
            <wp14:sizeRelH relativeFrom="margin">
              <wp14:pctWidth>0</wp14:pctWidth>
            </wp14:sizeRelH>
            <wp14:sizeRelV relativeFrom="margin">
              <wp14:pctHeight>0</wp14:pctHeight>
            </wp14:sizeRelV>
          </wp:anchor>
        </w:drawing>
      </w:r>
      <w:r w:rsidR="00F37901">
        <w:softHyphen/>
      </w:r>
      <w:r w:rsidR="00F37901">
        <w:softHyphen/>
      </w:r>
      <w:r w:rsidR="00E668E3">
        <w:rPr>
          <w:rtl/>
        </w:rPr>
        <w:softHyphen/>
      </w:r>
      <w:r w:rsidR="00E668E3">
        <w:rPr>
          <w:rtl/>
        </w:rPr>
        <w:softHyphen/>
      </w:r>
      <w:r w:rsidR="00E668E3">
        <w:rPr>
          <w:rtl/>
        </w:rPr>
        <w:softHyphen/>
      </w:r>
      <w:r w:rsidR="008B694B">
        <w:rPr>
          <w:rtl/>
        </w:rPr>
        <w:tab/>
      </w:r>
    </w:p>
    <w:p w:rsidR="008B694B" w:rsidP="005169B9" w14:paraId="25435DCB" w14:textId="77777777">
      <w:pPr>
        <w:rPr>
          <w:rtl/>
        </w:rPr>
      </w:pPr>
    </w:p>
    <w:p w:rsidR="008B2E28" w:rsidP="008D2388" w14:paraId="09862827" w14:textId="38BAB0E9">
      <w:pPr>
        <w:spacing w:line="240" w:lineRule="atLeast"/>
        <w:jc w:val="center"/>
        <w:rPr>
          <w:rFonts w:ascii="Tahoma" w:hAnsi="Tahoma" w:cs="Tahoma"/>
          <w:sz w:val="22"/>
          <w:szCs w:val="22"/>
          <w:rtl/>
        </w:rPr>
      </w:pPr>
      <w:r w:rsidRPr="0030415A">
        <w:rPr>
          <w:rFonts w:ascii="Tahoma" w:hAnsi="Tahoma" w:cs="Tahoma"/>
          <w:noProof/>
          <w:sz w:val="22"/>
          <w:szCs w:val="22"/>
          <w:rtl/>
        </w:rPr>
        <mc:AlternateContent>
          <mc:Choice Requires="wps">
            <w:drawing>
              <wp:anchor distT="0" distB="0" distL="114300" distR="114300" simplePos="0" relativeHeight="251662336" behindDoc="0" locked="0" layoutInCell="1" allowOverlap="1">
                <wp:simplePos x="0" y="0"/>
                <wp:positionH relativeFrom="column">
                  <wp:posOffset>7165975</wp:posOffset>
                </wp:positionH>
                <wp:positionV relativeFrom="paragraph">
                  <wp:posOffset>281305</wp:posOffset>
                </wp:positionV>
                <wp:extent cx="0" cy="2235835"/>
                <wp:effectExtent l="19050" t="0" r="19050" b="31115"/>
                <wp:wrapNone/>
                <wp:docPr id="16" name="Straight Connector 16"/>
                <wp:cNvGraphicFramePr/>
                <a:graphic xmlns:a="http://schemas.openxmlformats.org/drawingml/2006/main">
                  <a:graphicData uri="http://schemas.microsoft.com/office/word/2010/wordprocessingShape">
                    <wps:wsp xmlns:wps="http://schemas.microsoft.com/office/word/2010/wordprocessingShape">
                      <wps:cNvCnPr/>
                      <wps:spPr>
                        <a:xfrm>
                          <a:off x="0" y="0"/>
                          <a:ext cx="0" cy="2235835"/>
                        </a:xfrm>
                        <a:prstGeom prst="line">
                          <a:avLst/>
                        </a:prstGeom>
                        <a:ln w="444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6" o:spid="_x0000_s1028" style="mso-wrap-distance-bottom:0;mso-wrap-distance-left:9pt;mso-wrap-distance-right:9pt;mso-wrap-distance-top:0;mso-wrap-style:square;position:absolute;visibility:visible;z-index:251663360" from="564.25pt,22.15pt" to="564.25pt,198.2pt" strokecolor="white" strokeweight="3.5pt"/>
            </w:pict>
          </mc:Fallback>
        </mc:AlternateContent>
      </w:r>
    </w:p>
    <w:p w:rsidR="008B2E28" w:rsidP="008D2388" w14:paraId="1061471B" w14:textId="4127C7C1">
      <w:pPr>
        <w:spacing w:line="240" w:lineRule="atLeast"/>
        <w:jc w:val="center"/>
        <w:rPr>
          <w:rFonts w:ascii="Tahoma" w:hAnsi="Tahoma" w:cs="Tahoma"/>
          <w:sz w:val="22"/>
          <w:szCs w:val="22"/>
          <w:rtl/>
        </w:rPr>
      </w:pPr>
    </w:p>
    <w:p w:rsidR="008B2E28" w:rsidP="008D2388" w14:paraId="40B3A360" w14:textId="3F96A396">
      <w:pPr>
        <w:spacing w:line="240" w:lineRule="atLeast"/>
        <w:jc w:val="center"/>
        <w:rPr>
          <w:rFonts w:ascii="Tahoma" w:hAnsi="Tahoma" w:cs="Tahoma"/>
          <w:sz w:val="22"/>
          <w:szCs w:val="22"/>
          <w:rtl/>
        </w:rPr>
      </w:pPr>
    </w:p>
    <w:p w:rsidR="003C32FE" w:rsidRPr="00170230" w:rsidP="003C32FE" w14:paraId="665C333F" w14:textId="7B704871">
      <w:pPr>
        <w:spacing w:line="240" w:lineRule="atLeast"/>
        <w:jc w:val="center"/>
        <w:rPr>
          <w:rFonts w:ascii="Tahoma" w:hAnsi="Tahoma" w:cs="Tahoma"/>
          <w:szCs w:val="18"/>
          <w:rtl/>
        </w:rPr>
      </w:pPr>
    </w:p>
    <w:p w:rsidR="003C32FE" w:rsidP="003C32FE" w14:paraId="7A26D94A" w14:textId="41BA2997">
      <w:pPr>
        <w:spacing w:line="240" w:lineRule="atLeast"/>
        <w:jc w:val="center"/>
        <w:rPr>
          <w:rFonts w:ascii="Tahoma" w:hAnsi="Tahoma" w:cs="Tahoma"/>
          <w:sz w:val="22"/>
          <w:szCs w:val="22"/>
          <w:rtl/>
        </w:rPr>
      </w:pPr>
      <w:r w:rsidRPr="0030415A">
        <w:rPr>
          <w:rFonts w:ascii="Tahoma" w:hAnsi="Tahoma" w:cs="Tahoma"/>
          <w:noProof/>
          <w:sz w:val="22"/>
          <w:szCs w:val="22"/>
          <w:rtl/>
        </w:rPr>
        <mc:AlternateContent>
          <mc:Choice Requires="wps">
            <w:drawing>
              <wp:anchor distT="45720" distB="45720" distL="114300" distR="114300" simplePos="0" relativeHeight="251666432" behindDoc="0" locked="0" layoutInCell="1" allowOverlap="1">
                <wp:simplePos x="0" y="0"/>
                <wp:positionH relativeFrom="column">
                  <wp:posOffset>268605</wp:posOffset>
                </wp:positionH>
                <wp:positionV relativeFrom="paragraph">
                  <wp:posOffset>334645</wp:posOffset>
                </wp:positionV>
                <wp:extent cx="4201160" cy="4273550"/>
                <wp:effectExtent l="0" t="0" r="2540" b="6350"/>
                <wp:wrapSquare wrapText="bothSides"/>
                <wp:docPr id="13" name="Text Box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201160" cy="4273550"/>
                        </a:xfrm>
                        <a:prstGeom prst="rect">
                          <a:avLst/>
                        </a:prstGeom>
                        <a:solidFill>
                          <a:srgbClr val="00305F"/>
                        </a:solidFill>
                        <a:ln w="9525">
                          <a:noFill/>
                          <a:miter lim="800000"/>
                          <a:headEnd/>
                          <a:tailEnd/>
                        </a:ln>
                      </wps:spPr>
                      <wps:txbx>
                        <w:txbxContent>
                          <w:p w:rsidR="00F73EE0" w:rsidP="0052031E" w14:textId="77777777">
                            <w:pPr>
                              <w:ind w:left="2268"/>
                              <w:rPr>
                                <w:rFonts w:ascii="Tahoma" w:hAnsi="Tahoma" w:cs="Tahoma"/>
                                <w:sz w:val="18"/>
                                <w:szCs w:val="18"/>
                                <w:rtl/>
                              </w:rPr>
                            </w:pPr>
                          </w:p>
                          <w:p w:rsidR="00F73EE0" w:rsidP="0052031E" w14:textId="77777777">
                            <w:pPr>
                              <w:ind w:left="2268"/>
                              <w:rPr>
                                <w:rFonts w:ascii="Tahoma" w:hAnsi="Tahoma" w:cs="Tahoma"/>
                                <w:sz w:val="18"/>
                                <w:szCs w:val="18"/>
                                <w:rtl/>
                              </w:rPr>
                            </w:pPr>
                          </w:p>
                          <w:p w:rsidR="008A71D4" w:rsidRPr="0052031E" w:rsidP="008A71D4" w14:textId="66063C76">
                            <w:pPr>
                              <w:pStyle w:val="a26"/>
                              <w:bidi/>
                              <w:rPr>
                                <w:rtl/>
                              </w:rPr>
                            </w:pPr>
                            <w:r w:rsidRPr="004532DC">
                              <w:rPr>
                                <w:rtl/>
                              </w:rPr>
                              <w:t>מבקר המדינה</w:t>
                            </w:r>
                            <w:r w:rsidR="00784B1E">
                              <w:rPr>
                                <w:rFonts w:hint="cs"/>
                                <w:rtl/>
                              </w:rPr>
                              <w:t xml:space="preserve"> -</w:t>
                            </w:r>
                            <w:r w:rsidR="001C3CE8">
                              <w:rPr>
                                <w:rFonts w:hint="cs"/>
                                <w:rtl/>
                              </w:rPr>
                              <w:t xml:space="preserve"> </w:t>
                            </w:r>
                            <w:r w:rsidR="00784B1E">
                              <w:rPr>
                                <w:rFonts w:hint="cs"/>
                                <w:rtl/>
                              </w:rPr>
                              <w:t>דוח מיוחד</w:t>
                            </w:r>
                            <w:r w:rsidRPr="004532DC">
                              <w:rPr>
                                <w:rtl/>
                              </w:rPr>
                              <w:t xml:space="preserve"> | </w:t>
                            </w:r>
                            <w:r w:rsidR="001E2DD8">
                              <w:rPr>
                                <w:rFonts w:hint="cs"/>
                                <w:rtl/>
                              </w:rPr>
                              <w:t>אדר</w:t>
                            </w:r>
                            <w:r w:rsidRPr="004532DC">
                              <w:rPr>
                                <w:rtl/>
                              </w:rPr>
                              <w:t xml:space="preserve"> התשפ"</w:t>
                            </w:r>
                            <w:r w:rsidR="00B66A3F">
                              <w:rPr>
                                <w:rFonts w:hint="cs"/>
                                <w:rtl/>
                              </w:rPr>
                              <w:t>ה</w:t>
                            </w:r>
                            <w:r w:rsidRPr="004532DC">
                              <w:rPr>
                                <w:rtl/>
                              </w:rPr>
                              <w:t xml:space="preserve"> | </w:t>
                            </w:r>
                            <w:r w:rsidR="001E2DD8">
                              <w:rPr>
                                <w:rFonts w:hint="cs"/>
                                <w:rtl/>
                              </w:rPr>
                              <w:t>מרץ</w:t>
                            </w:r>
                            <w:r w:rsidRPr="004532DC">
                              <w:rPr>
                                <w:rtl/>
                              </w:rPr>
                              <w:t xml:space="preserve"> </w:t>
                            </w:r>
                            <w:r w:rsidR="00B66A3F">
                              <w:rPr>
                                <w:rFonts w:hint="cs"/>
                                <w:rtl/>
                              </w:rPr>
                              <w:t>2025</w:t>
                            </w:r>
                            <w:r w:rsidRPr="004532DC">
                              <w:rPr>
                                <w:rtl/>
                              </w:rPr>
                              <w:t xml:space="preserve"> </w:t>
                            </w:r>
                          </w:p>
                          <w:p w:rsidR="00F73EE0" w:rsidP="0052031E" w14:textId="4F5A48BD">
                            <w:pPr>
                              <w:ind w:left="2268"/>
                              <w:rPr>
                                <w:rtl/>
                              </w:rPr>
                            </w:pPr>
                          </w:p>
                          <w:p w:rsidR="00E56721" w:rsidP="0052031E" w14:textId="77777777">
                            <w:pPr>
                              <w:ind w:left="2268"/>
                              <w:rPr>
                                <w:rtl/>
                              </w:rPr>
                            </w:pPr>
                          </w:p>
                          <w:p w:rsidR="00F73EE0" w:rsidP="0052031E" w14:textId="77777777">
                            <w:pPr>
                              <w:ind w:left="2268"/>
                              <w:rPr>
                                <w:rtl/>
                              </w:rPr>
                            </w:pPr>
                          </w:p>
                          <w:p w:rsidR="00C30482" w:rsidRPr="000F5023" w:rsidP="007E7763" w14:textId="250E7F55">
                            <w:pPr>
                              <w:pStyle w:val="a25"/>
                              <w:bidi/>
                              <w:spacing w:before="240"/>
                              <w:rPr>
                                <w:rtl/>
                              </w:rPr>
                            </w:pPr>
                            <w:r w:rsidRPr="00747D5C">
                              <w:rPr>
                                <w:rtl/>
                              </w:rPr>
                              <w:t xml:space="preserve">ניהול זיכיון ים המלח והפיקוח עליו - היבטים בתחומי </w:t>
                            </w:r>
                            <w:r w:rsidRPr="0065207E" w:rsidR="0065207E">
                              <w:rPr>
                                <w:rtl/>
                              </w:rPr>
                              <w:t>הסביבה והמקרקעין</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alt="&quot;&quot;" style="width:330.8pt;height:336.5pt;margin-top:26.35pt;margin-left:21.15pt;mso-height-percent:0;mso-height-relative:margin;mso-width-percent:0;mso-width-relative:margin;mso-wrap-distance-bottom:3.6pt;mso-wrap-distance-left:9pt;mso-wrap-distance-right:9pt;mso-wrap-distance-top:3.6pt;mso-wrap-style:square;position:absolute;visibility:visible;v-text-anchor:top;z-index:251667456" fillcolor="#00305f" stroked="f">
                <v:textbox>
                  <w:txbxContent>
                    <w:p w:rsidR="00F73EE0" w:rsidP="0052031E" w14:paraId="3B790B1A" w14:textId="77777777">
                      <w:pPr>
                        <w:ind w:left="2268"/>
                        <w:rPr>
                          <w:rFonts w:ascii="Tahoma" w:hAnsi="Tahoma" w:cs="Tahoma"/>
                          <w:sz w:val="18"/>
                          <w:szCs w:val="18"/>
                          <w:rtl/>
                        </w:rPr>
                      </w:pPr>
                    </w:p>
                    <w:p w:rsidR="00F73EE0" w:rsidP="0052031E" w14:paraId="01373895" w14:textId="77777777">
                      <w:pPr>
                        <w:ind w:left="2268"/>
                        <w:rPr>
                          <w:rFonts w:ascii="Tahoma" w:hAnsi="Tahoma" w:cs="Tahoma"/>
                          <w:sz w:val="18"/>
                          <w:szCs w:val="18"/>
                          <w:rtl/>
                        </w:rPr>
                      </w:pPr>
                    </w:p>
                    <w:p w:rsidR="008A71D4" w:rsidRPr="0052031E" w:rsidP="008A71D4" w14:paraId="4D13BD96" w14:textId="66063C76">
                      <w:pPr>
                        <w:pStyle w:val="a26"/>
                        <w:bidi/>
                        <w:rPr>
                          <w:rtl/>
                        </w:rPr>
                      </w:pPr>
                      <w:r w:rsidRPr="004532DC">
                        <w:rPr>
                          <w:rtl/>
                        </w:rPr>
                        <w:t>מבקר המדינה</w:t>
                      </w:r>
                      <w:r w:rsidR="00784B1E">
                        <w:rPr>
                          <w:rFonts w:hint="cs"/>
                          <w:rtl/>
                        </w:rPr>
                        <w:t xml:space="preserve"> -</w:t>
                      </w:r>
                      <w:r w:rsidR="001C3CE8">
                        <w:rPr>
                          <w:rFonts w:hint="cs"/>
                          <w:rtl/>
                        </w:rPr>
                        <w:t xml:space="preserve"> </w:t>
                      </w:r>
                      <w:r w:rsidR="00784B1E">
                        <w:rPr>
                          <w:rFonts w:hint="cs"/>
                          <w:rtl/>
                        </w:rPr>
                        <w:t>דוח מיוחד</w:t>
                      </w:r>
                      <w:r w:rsidRPr="004532DC">
                        <w:rPr>
                          <w:rtl/>
                        </w:rPr>
                        <w:t xml:space="preserve"> | </w:t>
                      </w:r>
                      <w:r w:rsidR="001E2DD8">
                        <w:rPr>
                          <w:rFonts w:hint="cs"/>
                          <w:rtl/>
                        </w:rPr>
                        <w:t>אדר</w:t>
                      </w:r>
                      <w:r w:rsidRPr="004532DC">
                        <w:rPr>
                          <w:rtl/>
                        </w:rPr>
                        <w:t xml:space="preserve"> התשפ"</w:t>
                      </w:r>
                      <w:r w:rsidR="00B66A3F">
                        <w:rPr>
                          <w:rFonts w:hint="cs"/>
                          <w:rtl/>
                        </w:rPr>
                        <w:t>ה</w:t>
                      </w:r>
                      <w:r w:rsidRPr="004532DC">
                        <w:rPr>
                          <w:rtl/>
                        </w:rPr>
                        <w:t xml:space="preserve"> | </w:t>
                      </w:r>
                      <w:r w:rsidR="001E2DD8">
                        <w:rPr>
                          <w:rFonts w:hint="cs"/>
                          <w:rtl/>
                        </w:rPr>
                        <w:t>מרץ</w:t>
                      </w:r>
                      <w:r w:rsidRPr="004532DC">
                        <w:rPr>
                          <w:rtl/>
                        </w:rPr>
                        <w:t xml:space="preserve"> </w:t>
                      </w:r>
                      <w:r w:rsidR="00B66A3F">
                        <w:rPr>
                          <w:rFonts w:hint="cs"/>
                          <w:rtl/>
                        </w:rPr>
                        <w:t>2025</w:t>
                      </w:r>
                      <w:r w:rsidRPr="004532DC">
                        <w:rPr>
                          <w:rtl/>
                        </w:rPr>
                        <w:t xml:space="preserve"> </w:t>
                      </w:r>
                    </w:p>
                    <w:p w:rsidR="00F73EE0" w:rsidP="0052031E" w14:paraId="7A4F68DA" w14:textId="4F5A48BD">
                      <w:pPr>
                        <w:ind w:left="2268"/>
                        <w:rPr>
                          <w:rtl/>
                        </w:rPr>
                      </w:pPr>
                    </w:p>
                    <w:p w:rsidR="00E56721" w:rsidP="0052031E" w14:paraId="6A74246D" w14:textId="77777777">
                      <w:pPr>
                        <w:ind w:left="2268"/>
                        <w:rPr>
                          <w:rtl/>
                        </w:rPr>
                      </w:pPr>
                    </w:p>
                    <w:p w:rsidR="00F73EE0" w:rsidP="0052031E" w14:paraId="537675A5" w14:textId="77777777">
                      <w:pPr>
                        <w:ind w:left="2268"/>
                        <w:rPr>
                          <w:rtl/>
                        </w:rPr>
                      </w:pPr>
                    </w:p>
                    <w:p w:rsidR="00C30482" w:rsidRPr="000F5023" w:rsidP="007E7763" w14:paraId="5BE5E625" w14:textId="250E7F55">
                      <w:pPr>
                        <w:pStyle w:val="a25"/>
                        <w:bidi/>
                        <w:spacing w:before="240"/>
                        <w:rPr>
                          <w:rtl/>
                        </w:rPr>
                      </w:pPr>
                      <w:r w:rsidRPr="00747D5C">
                        <w:rPr>
                          <w:rtl/>
                        </w:rPr>
                        <w:t xml:space="preserve">ניהול זיכיון ים המלח והפיקוח עליו - היבטים בתחומי </w:t>
                      </w:r>
                      <w:r w:rsidRPr="0065207E" w:rsidR="0065207E">
                        <w:rPr>
                          <w:rtl/>
                        </w:rPr>
                        <w:t>הסביבה והמקרקעין</w:t>
                      </w:r>
                    </w:p>
                  </w:txbxContent>
                </v:textbox>
                <w10:wrap type="square"/>
              </v:shape>
            </w:pict>
          </mc:Fallback>
        </mc:AlternateContent>
      </w:r>
      <w:r w:rsidR="008A7100">
        <w:rPr>
          <w:rFonts w:ascii="Tahoma" w:hAnsi="Tahoma" w:cs="Tahoma"/>
          <w:noProof/>
          <w:sz w:val="22"/>
          <w:szCs w:val="22"/>
          <w:rtl/>
          <w:lang w:val="he-IL"/>
        </w:rPr>
        <mc:AlternateContent>
          <mc:Choice Requires="wps">
            <w:drawing>
              <wp:anchor distT="0" distB="0" distL="114300" distR="114300" simplePos="0" relativeHeight="251670528" behindDoc="0" locked="0" layoutInCell="1" allowOverlap="1">
                <wp:simplePos x="0" y="0"/>
                <wp:positionH relativeFrom="column">
                  <wp:posOffset>3060116</wp:posOffset>
                </wp:positionH>
                <wp:positionV relativeFrom="paragraph">
                  <wp:posOffset>260243</wp:posOffset>
                </wp:positionV>
                <wp:extent cx="0" cy="4604368"/>
                <wp:effectExtent l="25400" t="0" r="25400" b="31750"/>
                <wp:wrapNone/>
                <wp:docPr id="5" name="Straight Connector 5"/>
                <wp:cNvGraphicFramePr/>
                <a:graphic xmlns:a="http://schemas.openxmlformats.org/drawingml/2006/main">
                  <a:graphicData uri="http://schemas.microsoft.com/office/word/2010/wordprocessingShape">
                    <wps:wsp xmlns:wps="http://schemas.microsoft.com/office/word/2010/wordprocessingShape">
                      <wps:cNvCnPr/>
                      <wps:spPr>
                        <a:xfrm>
                          <a:off x="0" y="0"/>
                          <a:ext cx="0" cy="4604368"/>
                        </a:xfrm>
                        <a:prstGeom prst="line">
                          <a:avLst/>
                        </a:prstGeom>
                        <a:ln w="508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1030" style="mso-height-percent:0;mso-height-relative:margin;mso-width-percent:0;mso-width-relative:margin;mso-wrap-distance-bottom:0;mso-wrap-distance-left:9pt;mso-wrap-distance-right:9pt;mso-wrap-distance-top:0;mso-wrap-style:square;position:absolute;visibility:visible;z-index:251671552" from="240.95pt,20.5pt" to="240.95pt,383.05pt" strokecolor="white" strokeweight="4pt"/>
            </w:pict>
          </mc:Fallback>
        </mc:AlternateContent>
      </w:r>
      <w:r w:rsidR="006E08BF">
        <w:rPr>
          <w:rFonts w:ascii="Tahoma" w:hAnsi="Tahoma" w:cs="Tahoma"/>
          <w:noProof/>
          <w:sz w:val="22"/>
          <w:szCs w:val="22"/>
          <w:rtl/>
          <w:lang w:val="he-IL"/>
        </w:rPr>
        <w:drawing>
          <wp:anchor distT="0" distB="0" distL="114300" distR="114300" simplePos="0" relativeHeight="251669504" behindDoc="0" locked="0" layoutInCell="1" allowOverlap="1">
            <wp:simplePos x="0" y="0"/>
            <wp:positionH relativeFrom="column">
              <wp:posOffset>3257550</wp:posOffset>
            </wp:positionH>
            <wp:positionV relativeFrom="paragraph">
              <wp:posOffset>439420</wp:posOffset>
            </wp:positionV>
            <wp:extent cx="1010285" cy="707390"/>
            <wp:effectExtent l="0" t="0" r="0" b="0"/>
            <wp:wrapSquare wrapText="bothSides"/>
            <wp:docPr id="10" name="Picture 1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010285" cy="707390"/>
                    </a:xfrm>
                    <a:prstGeom prst="rect">
                      <a:avLst/>
                    </a:prstGeom>
                  </pic:spPr>
                </pic:pic>
              </a:graphicData>
            </a:graphic>
            <wp14:sizeRelH relativeFrom="margin">
              <wp14:pctWidth>0</wp14:pctWidth>
            </wp14:sizeRelH>
            <wp14:sizeRelV relativeFrom="margin">
              <wp14:pctHeight>0</wp14:pctHeight>
            </wp14:sizeRelV>
          </wp:anchor>
        </w:drawing>
      </w:r>
    </w:p>
    <w:p w:rsidR="003C32FE" w:rsidP="003C32FE" w14:paraId="3F6AF12E" w14:textId="2F263FC0">
      <w:pPr>
        <w:spacing w:line="240" w:lineRule="atLeast"/>
        <w:jc w:val="center"/>
        <w:rPr>
          <w:rFonts w:ascii="Tahoma" w:hAnsi="Tahoma" w:cs="Tahoma"/>
          <w:sz w:val="22"/>
          <w:szCs w:val="22"/>
          <w:rtl/>
        </w:rPr>
      </w:pPr>
    </w:p>
    <w:p w:rsidR="00E35DF9" w:rsidRPr="00406E80" w:rsidP="008D2388" w14:paraId="5F398D7B" w14:textId="40000E46">
      <w:pPr>
        <w:spacing w:line="240" w:lineRule="atLeast"/>
        <w:jc w:val="center"/>
        <w:rPr>
          <w:rFonts w:ascii="Tahoma" w:hAnsi="Tahoma" w:cs="Tahoma"/>
          <w:color w:val="C6D9F1"/>
          <w:sz w:val="22"/>
          <w:szCs w:val="22"/>
          <w:rtl/>
        </w:rPr>
      </w:pPr>
    </w:p>
    <w:p w:rsidR="008C0B8B" w:rsidP="008D2388" w14:paraId="1D311F15" w14:textId="47FC2C8F">
      <w:pPr>
        <w:spacing w:line="240" w:lineRule="atLeast"/>
        <w:jc w:val="center"/>
        <w:rPr>
          <w:rFonts w:ascii="Tahoma" w:hAnsi="Tahoma" w:cs="Tahoma"/>
          <w:sz w:val="22"/>
          <w:szCs w:val="22"/>
          <w:rtl/>
        </w:rPr>
      </w:pPr>
    </w:p>
    <w:p w:rsidR="008C0B8B" w:rsidP="008D2388" w14:paraId="1AC7C61F" w14:textId="21BB7534">
      <w:pPr>
        <w:spacing w:line="240" w:lineRule="atLeast"/>
        <w:jc w:val="center"/>
        <w:rPr>
          <w:rFonts w:ascii="Tahoma" w:hAnsi="Tahoma" w:cs="Tahoma"/>
          <w:sz w:val="22"/>
          <w:szCs w:val="22"/>
          <w:rtl/>
        </w:rPr>
      </w:pPr>
    </w:p>
    <w:p w:rsidR="00E35DF9" w:rsidP="008D2388" w14:paraId="1081EBD1" w14:textId="4944B6D1">
      <w:pPr>
        <w:spacing w:line="240" w:lineRule="atLeast"/>
        <w:jc w:val="center"/>
        <w:rPr>
          <w:rFonts w:ascii="Tahoma" w:hAnsi="Tahoma" w:cs="Tahoma"/>
          <w:sz w:val="22"/>
          <w:szCs w:val="22"/>
          <w:rtl/>
        </w:rPr>
      </w:pPr>
    </w:p>
    <w:p w:rsidR="00035688" w:rsidP="008D2388" w14:paraId="4090303B" w14:textId="24E90DE2">
      <w:pPr>
        <w:spacing w:line="240" w:lineRule="atLeast"/>
        <w:jc w:val="center"/>
        <w:rPr>
          <w:rFonts w:ascii="Tahoma" w:hAnsi="Tahoma" w:cs="Tahoma"/>
          <w:sz w:val="22"/>
          <w:szCs w:val="22"/>
          <w:rtl/>
        </w:rPr>
        <w:sectPr w:rsidSect="002970CC">
          <w:headerReference w:type="even" r:id="rId12"/>
          <w:headerReference w:type="default" r:id="rId13"/>
          <w:footerReference w:type="even" r:id="rId14"/>
          <w:footerReference w:type="default" r:id="rId15"/>
          <w:headerReference w:type="first" r:id="rId16"/>
          <w:footerReference w:type="first" r:id="rId17"/>
          <w:pgSz w:w="11906" w:h="16838" w:code="9"/>
          <w:pgMar w:top="3062" w:right="2268" w:bottom="2552" w:left="2268" w:header="1134" w:footer="1361" w:gutter="0"/>
          <w:cols w:space="720"/>
          <w:titlePg/>
          <w:bidi/>
          <w:rtlGutter/>
          <w:docGrid w:linePitch="272"/>
        </w:sectPr>
      </w:pPr>
    </w:p>
    <w:p w:rsidR="00BF5BF6" w:rsidP="000E64A1" w14:paraId="67CE1943" w14:textId="6710B917">
      <w:pPr>
        <w:spacing w:line="240" w:lineRule="atLeast"/>
        <w:jc w:val="left"/>
        <w:rPr>
          <w:rFonts w:ascii="Tahoma" w:hAnsi="Tahoma" w:cs="Tahoma"/>
          <w:sz w:val="22"/>
          <w:szCs w:val="22"/>
          <w:rtl/>
        </w:rPr>
      </w:pPr>
      <w:r>
        <w:rPr>
          <w:rFonts w:ascii="Tahoma" w:hAnsi="Tahoma" w:cs="Tahoma"/>
          <w:noProof/>
          <w:sz w:val="22"/>
          <w:szCs w:val="22"/>
          <w:rtl/>
          <w:lang w:val="he-IL"/>
        </w:rPr>
        <mc:AlternateContent>
          <mc:Choice Requires="wps">
            <w:drawing>
              <wp:anchor distT="0" distB="0" distL="114300" distR="114300" simplePos="0" relativeHeight="251699200" behindDoc="0" locked="0" layoutInCell="1" allowOverlap="1">
                <wp:simplePos x="0" y="0"/>
                <wp:positionH relativeFrom="column">
                  <wp:posOffset>3907353</wp:posOffset>
                </wp:positionH>
                <wp:positionV relativeFrom="paragraph">
                  <wp:posOffset>6663128</wp:posOffset>
                </wp:positionV>
                <wp:extent cx="1484963" cy="1543050"/>
                <wp:effectExtent l="0" t="0" r="1270" b="6350"/>
                <wp:wrapNone/>
                <wp:docPr id="2023003577" name="Rectangle 24"/>
                <wp:cNvGraphicFramePr/>
                <a:graphic xmlns:a="http://schemas.openxmlformats.org/drawingml/2006/main">
                  <a:graphicData uri="http://schemas.microsoft.com/office/word/2010/wordprocessingShape">
                    <wps:wsp xmlns:wps="http://schemas.microsoft.com/office/word/2010/wordprocessingShape">
                      <wps:cNvSpPr/>
                      <wps:spPr>
                        <a:xfrm flipV="1">
                          <a:off x="0" y="0"/>
                          <a:ext cx="1484963" cy="15430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4" o:spid="_x0000_s1031" style="width:116.95pt;height:121.5pt;margin-top:524.65pt;margin-left:307.65pt;flip:y;mso-height-percent:0;mso-height-relative:margin;mso-width-percent:0;mso-width-relative:margin;mso-wrap-distance-bottom:0;mso-wrap-distance-left:9pt;mso-wrap-distance-right:9pt;mso-wrap-distance-top:0;mso-wrap-style:square;position:absolute;visibility:visible;v-text-anchor:middle;z-index:251700224" fillcolor="white" stroked="f" strokeweight="1.25pt"/>
            </w:pict>
          </mc:Fallback>
        </mc:AlternateContent>
      </w:r>
      <w:r w:rsidR="00A4391C">
        <w:rPr>
          <w:rFonts w:ascii="Tahoma" w:hAnsi="Tahoma" w:cs="Tahoma"/>
          <w:noProof/>
          <w:sz w:val="22"/>
          <w:szCs w:val="22"/>
          <w:rtl/>
          <w:lang w:val="he-IL"/>
        </w:rPr>
        <mc:AlternateContent>
          <mc:Choice Requires="wps">
            <w:drawing>
              <wp:anchor distT="0" distB="0" distL="114300" distR="114300" simplePos="0" relativeHeight="251672576" behindDoc="0" locked="0" layoutInCell="1" allowOverlap="1">
                <wp:simplePos x="0" y="0"/>
                <wp:positionH relativeFrom="column">
                  <wp:posOffset>-1604010</wp:posOffset>
                </wp:positionH>
                <wp:positionV relativeFrom="paragraph">
                  <wp:posOffset>-1182370</wp:posOffset>
                </wp:positionV>
                <wp:extent cx="7601578" cy="1543050"/>
                <wp:effectExtent l="0" t="0" r="0" b="0"/>
                <wp:wrapNone/>
                <wp:docPr id="24" name="Rectangle 24"/>
                <wp:cNvGraphicFramePr/>
                <a:graphic xmlns:a="http://schemas.openxmlformats.org/drawingml/2006/main">
                  <a:graphicData uri="http://schemas.microsoft.com/office/word/2010/wordprocessingShape">
                    <wps:wsp xmlns:wps="http://schemas.microsoft.com/office/word/2010/wordprocessingShape">
                      <wps:cNvSpPr/>
                      <wps:spPr>
                        <a:xfrm flipV="1">
                          <a:off x="0" y="0"/>
                          <a:ext cx="7601578" cy="15430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4" o:spid="_x0000_s1032" style="width:598.55pt;height:121.5pt;margin-top:-93.1pt;margin-left:-126.3pt;flip:y;mso-height-percent:0;mso-height-relative:margin;mso-width-percent:0;mso-width-relative:margin;mso-wrap-distance-bottom:0;mso-wrap-distance-left:9pt;mso-wrap-distance-right:9pt;mso-wrap-distance-top:0;mso-wrap-style:square;position:absolute;visibility:visible;v-text-anchor:middle;z-index:251673600" fillcolor="white" stroked="f" strokeweight="1.25pt"/>
            </w:pict>
          </mc:Fallback>
        </mc:AlternateContent>
      </w:r>
    </w:p>
    <w:p w:rsidR="000E64A1" w:rsidP="000E64A1" w14:paraId="291315C1" w14:textId="6135C699">
      <w:pPr>
        <w:jc w:val="left"/>
        <w:rPr>
          <w:rFonts w:ascii="Tahoma" w:hAnsi="Tahoma" w:cs="Tahoma"/>
          <w:sz w:val="22"/>
          <w:szCs w:val="22"/>
          <w:rtl/>
        </w:rPr>
        <w:sectPr w:rsidSect="00DA022A">
          <w:headerReference w:type="even" r:id="rId18"/>
          <w:pgSz w:w="11906" w:h="16838" w:code="9"/>
          <w:pgMar w:top="3062" w:right="2268" w:bottom="2552" w:left="2268" w:header="709" w:footer="709" w:gutter="0"/>
          <w:pgNumType w:start="2"/>
          <w:cols w:space="720"/>
          <w:bidi/>
          <w:rtlGutter/>
          <w:docGrid w:linePitch="272"/>
        </w:sectPr>
      </w:pPr>
    </w:p>
    <w:p w:rsidR="00B93C72" w:rsidP="00FE3A0B" w14:paraId="4ED3AA37" w14:textId="45D969DF">
      <w:pPr>
        <w:pStyle w:val="7329"/>
        <w:spacing w:after="720"/>
        <w:rPr>
          <w:rtl/>
        </w:rPr>
      </w:pPr>
      <w:r>
        <w:rPr>
          <w:noProof/>
          <w:rtl/>
          <w:lang w:val="he-IL"/>
        </w:rPr>
        <mc:AlternateContent>
          <mc:Choice Requires="wps">
            <w:drawing>
              <wp:anchor distT="0" distB="0" distL="114300" distR="114300" simplePos="0" relativeHeight="251719680" behindDoc="0" locked="0" layoutInCell="1" allowOverlap="1">
                <wp:simplePos x="0" y="0"/>
                <wp:positionH relativeFrom="column">
                  <wp:posOffset>-659595</wp:posOffset>
                </wp:positionH>
                <wp:positionV relativeFrom="paragraph">
                  <wp:posOffset>129757</wp:posOffset>
                </wp:positionV>
                <wp:extent cx="249044" cy="5419493"/>
                <wp:effectExtent l="0" t="0" r="5080" b="3810"/>
                <wp:wrapNone/>
                <wp:docPr id="1583293156" name="Rectangle 29"/>
                <wp:cNvGraphicFramePr/>
                <a:graphic xmlns:a="http://schemas.openxmlformats.org/drawingml/2006/main">
                  <a:graphicData uri="http://schemas.microsoft.com/office/word/2010/wordprocessingShape">
                    <wps:wsp xmlns:wps="http://schemas.microsoft.com/office/word/2010/wordprocessingShape">
                      <wps:cNvSpPr/>
                      <wps:spPr>
                        <a:xfrm>
                          <a:off x="0" y="0"/>
                          <a:ext cx="249044" cy="5419493"/>
                        </a:xfrm>
                        <a:prstGeom prst="rect">
                          <a:avLst/>
                        </a:prstGeom>
                        <a:solidFill>
                          <a:srgbClr val="01306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9" o:spid="_x0000_s1033" style="width:19.6pt;height:426.75pt;margin-top:10.2pt;margin-left:-51.95pt;mso-wrap-distance-bottom:0;mso-wrap-distance-left:9pt;mso-wrap-distance-right:9pt;mso-wrap-distance-top:0;mso-wrap-style:square;position:absolute;visibility:visible;v-text-anchor:middle;z-index:251720704" fillcolor="#013060" stroked="f" strokeweight="1.25pt"/>
            </w:pict>
          </mc:Fallback>
        </mc:AlternateContent>
      </w:r>
      <w:r w:rsidRPr="00802F2E" w:rsidR="00FE3A0B">
        <w:rPr>
          <w:noProof/>
          <w:rtl/>
        </w:rPr>
        <w:drawing>
          <wp:anchor distT="0" distB="0" distL="114300" distR="114300" simplePos="0" relativeHeight="251681792" behindDoc="0" locked="0" layoutInCell="1" allowOverlap="1">
            <wp:simplePos x="0" y="0"/>
            <wp:positionH relativeFrom="column">
              <wp:posOffset>3293110</wp:posOffset>
            </wp:positionH>
            <wp:positionV relativeFrom="paragraph">
              <wp:posOffset>1107364</wp:posOffset>
            </wp:positionV>
            <wp:extent cx="1386840" cy="421640"/>
            <wp:effectExtent l="0" t="0" r="0" b="0"/>
            <wp:wrapTopAndBottom/>
            <wp:docPr id="12" name="Picture 12" descr="רק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רקע"/>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a:xfrm>
                      <a:off x="0" y="0"/>
                      <a:ext cx="1386840" cy="421640"/>
                    </a:xfrm>
                    <a:prstGeom prst="rect">
                      <a:avLst/>
                    </a:prstGeom>
                  </pic:spPr>
                </pic:pic>
              </a:graphicData>
            </a:graphic>
          </wp:anchor>
        </w:drawing>
      </w:r>
      <w:r w:rsidRPr="00747D5C" w:rsidR="00747D5C">
        <w:rPr>
          <w:noProof/>
          <w:rtl/>
        </w:rPr>
        <w:t xml:space="preserve">ניהול זיכיון ים המלח והפיקוח עליו - היבטים בתחומי </w:t>
      </w:r>
      <w:r w:rsidRPr="0065207E" w:rsidR="0065207E">
        <w:rPr>
          <w:noProof/>
          <w:rtl/>
        </w:rPr>
        <w:t>הסביבה והמקרקעין</w:t>
      </w:r>
    </w:p>
    <w:p w:rsidR="002F03CB" w:rsidRPr="007B4E92" w:rsidP="002F03CB" w14:paraId="08DB71A4" w14:textId="77777777">
      <w:pPr>
        <w:pStyle w:val="7392"/>
        <w:spacing w:before="835" w:after="187"/>
        <w:rPr>
          <w:rtl/>
        </w:rPr>
      </w:pPr>
      <w:r w:rsidRPr="007B4E92">
        <w:rPr>
          <w:rFonts w:hint="cs"/>
          <w:rtl/>
        </w:rPr>
        <w:t xml:space="preserve">ים המלח מוכר כמקום היבשתי הנמוך ביותר בעולם, והוא נכס לאומי מהמעלה הראשונה: הוא נחשב לתופעת טבע ייחודית, בעל תכונות מרפא, ערכי טבע חשובים, בתי גידול רגישים המתאפיינים בעושר של צומח וחי ואתרי מורשת מגוונים וייחודיים. משאבי הטבע הטמונים בים המלח ובסביבתו שייכים לציבור ומוחזקים בנאמנות בידי המדינה למען הציבור. </w:t>
      </w:r>
      <w:r w:rsidRPr="007B4E92">
        <w:rPr>
          <w:rtl/>
        </w:rPr>
        <w:t>בשנת 1961 הענ</w:t>
      </w:r>
      <w:r w:rsidRPr="007B4E92">
        <w:rPr>
          <w:rFonts w:hint="cs"/>
          <w:rtl/>
        </w:rPr>
        <w:t>י</w:t>
      </w:r>
      <w:r w:rsidRPr="007B4E92">
        <w:rPr>
          <w:rtl/>
        </w:rPr>
        <w:t>ק</w:t>
      </w:r>
      <w:r w:rsidRPr="007B4E92">
        <w:rPr>
          <w:rFonts w:hint="cs"/>
          <w:rtl/>
        </w:rPr>
        <w:t>ה המדינה</w:t>
      </w:r>
      <w:r w:rsidRPr="007B4E92">
        <w:rPr>
          <w:rtl/>
        </w:rPr>
        <w:t xml:space="preserve"> ל</w:t>
      </w:r>
      <w:r w:rsidRPr="007B4E92">
        <w:rPr>
          <w:rFonts w:hint="cs"/>
          <w:rtl/>
        </w:rPr>
        <w:t>חברת מפעלי ים המלח (</w:t>
      </w:r>
      <w:r w:rsidRPr="007B4E92">
        <w:rPr>
          <w:rtl/>
        </w:rPr>
        <w:t>מי"ה</w:t>
      </w:r>
      <w:r w:rsidRPr="007B4E92">
        <w:rPr>
          <w:rFonts w:hint="cs"/>
          <w:rtl/>
        </w:rPr>
        <w:t>), שהוקמה כחברה ממשלתית,</w:t>
      </w:r>
      <w:r w:rsidRPr="007B4E92">
        <w:rPr>
          <w:rtl/>
        </w:rPr>
        <w:t xml:space="preserve"> זכויות בלעדיות להפקה ולניצול של משאבי המינרלים שבים המלח בתמורה לתשלום תמלוגים למדינה, זאת על פי שטר זיכיון אשר עוגן בחוק </w:t>
      </w:r>
      <w:r w:rsidRPr="007B4E92">
        <w:rPr>
          <w:rtl/>
        </w:rPr>
        <w:t>זכיון</w:t>
      </w:r>
      <w:r w:rsidRPr="007B4E92">
        <w:rPr>
          <w:rtl/>
        </w:rPr>
        <w:t xml:space="preserve"> ים המלח, התשכ"א-1961 (חוק הזיכיון), החל על שטח </w:t>
      </w:r>
      <w:r w:rsidRPr="007B4E92">
        <w:rPr>
          <w:rFonts w:hint="cs"/>
          <w:rtl/>
        </w:rPr>
        <w:t xml:space="preserve">נרחב </w:t>
      </w:r>
      <w:r w:rsidRPr="007B4E92">
        <w:rPr>
          <w:rtl/>
        </w:rPr>
        <w:t xml:space="preserve">של כ-652 קמ"ר </w:t>
      </w:r>
      <w:r w:rsidRPr="007B4E92">
        <w:rPr>
          <w:rFonts w:hint="cs"/>
          <w:rtl/>
        </w:rPr>
        <w:t>בים המלח וסביבתו</w:t>
      </w:r>
      <w:r w:rsidRPr="007B4E92">
        <w:rPr>
          <w:rtl/>
        </w:rPr>
        <w:t xml:space="preserve"> (3% משטחה של מדינת ישראל). חוק הזיכיון </w:t>
      </w:r>
      <w:r w:rsidRPr="007B4E92">
        <w:rPr>
          <w:rFonts w:hint="cs"/>
          <w:rtl/>
        </w:rPr>
        <w:t xml:space="preserve">תוקן </w:t>
      </w:r>
      <w:r w:rsidRPr="007B4E92">
        <w:rPr>
          <w:rtl/>
        </w:rPr>
        <w:t>כמה פעמים, ובאחד התיקונים הוארך תוקף הזיכיון עד ל-31.3.30</w:t>
      </w:r>
      <w:r>
        <w:rPr>
          <w:vertAlign w:val="superscript"/>
          <w:rtl/>
        </w:rPr>
        <w:footnoteReference w:id="2"/>
      </w:r>
      <w:r w:rsidRPr="007B4E92">
        <w:rPr>
          <w:rtl/>
        </w:rPr>
        <w:t xml:space="preserve">. בשנת 1992 החל הליך הפרטה של </w:t>
      </w:r>
      <w:r w:rsidRPr="007B4E92">
        <w:rPr>
          <w:rtl/>
        </w:rPr>
        <w:t>מי"ה</w:t>
      </w:r>
      <w:r w:rsidRPr="007B4E92">
        <w:rPr>
          <w:rtl/>
        </w:rPr>
        <w:t>, ובשנת 1995 נמכר גרעין השליטה של החברה</w:t>
      </w:r>
      <w:r w:rsidRPr="007B4E92">
        <w:rPr>
          <w:rFonts w:hint="cs"/>
          <w:rtl/>
        </w:rPr>
        <w:t>,</w:t>
      </w:r>
      <w:r w:rsidRPr="007B4E92">
        <w:rPr>
          <w:rtl/>
        </w:rPr>
        <w:t xml:space="preserve"> </w:t>
      </w:r>
      <w:bookmarkStart w:id="1" w:name="_Hlk174455675"/>
      <w:r w:rsidRPr="007B4E92">
        <w:rPr>
          <w:rFonts w:hint="cs"/>
          <w:rtl/>
        </w:rPr>
        <w:t xml:space="preserve">ומאז מוחזק הזיכיון בידי חברה בבעלות פרטית. </w:t>
      </w:r>
      <w:bookmarkEnd w:id="1"/>
      <w:r w:rsidRPr="007B4E92">
        <w:rPr>
          <w:rtl/>
        </w:rPr>
        <w:t>השרים הממונים על ביצוע חוק הזיכיון הם שר האוצר ו</w:t>
      </w:r>
      <w:r w:rsidRPr="007B4E92">
        <w:rPr>
          <w:rFonts w:hint="cs"/>
          <w:rtl/>
        </w:rPr>
        <w:t>שר הכלכלה והתעשייה</w:t>
      </w:r>
      <w:r w:rsidRPr="007B4E92">
        <w:rPr>
          <w:rtl/>
        </w:rPr>
        <w:t>.</w:t>
      </w:r>
    </w:p>
    <w:p w:rsidR="002F03CB" w:rsidRPr="007B4E92" w:rsidP="002F03CB" w14:paraId="65A350E8" w14:textId="77777777">
      <w:pPr>
        <w:pStyle w:val="7392"/>
        <w:spacing w:after="187"/>
        <w:rPr>
          <w:rtl/>
        </w:rPr>
      </w:pPr>
      <w:r w:rsidRPr="007B4E92">
        <w:rPr>
          <w:rFonts w:hint="cs"/>
          <w:rtl/>
        </w:rPr>
        <w:t xml:space="preserve">בתחום הזיכיון פועלים שלשה מפעלים להפקת מינרלים מים המלח: </w:t>
      </w:r>
      <w:r w:rsidRPr="007B4E92">
        <w:rPr>
          <w:rtl/>
        </w:rPr>
        <w:t>מפעל אשלג</w:t>
      </w:r>
      <w:r>
        <w:rPr>
          <w:vertAlign w:val="superscript"/>
          <w:rtl/>
        </w:rPr>
        <w:footnoteReference w:id="3"/>
      </w:r>
      <w:r w:rsidRPr="007B4E92">
        <w:rPr>
          <w:rtl/>
        </w:rPr>
        <w:t>, מפעל ברום ומפעל מגנזיום. תהליך הפקת חומרים אלה מבוסס על אידוי מי ים המלח באמצעות כמה בריכות אידוי ואגירה מלאכותיות, והוא כולל הקמה ותפעול של תשתיות רבות בשטח הזיכיון, ובהן תחנות שאיבה, קווי הולכת מי ים</w:t>
      </w:r>
      <w:r w:rsidRPr="007B4E92">
        <w:rPr>
          <w:rFonts w:hint="cs"/>
          <w:rtl/>
        </w:rPr>
        <w:t>, מינרלים ומלחים</w:t>
      </w:r>
      <w:r w:rsidRPr="007B4E92">
        <w:rPr>
          <w:rtl/>
        </w:rPr>
        <w:t xml:space="preserve">, מתקנים לטיפול בשפכים, תחנות דלק ואחסון דלקים, אתרי פסולת ועוד. </w:t>
      </w:r>
    </w:p>
    <w:p w:rsidR="002F03CB" w:rsidP="002F03CB" w14:paraId="1D048276" w14:textId="724F57CB">
      <w:pPr>
        <w:pStyle w:val="7392"/>
        <w:spacing w:after="187"/>
        <w:rPr>
          <w:rtl/>
        </w:rPr>
      </w:pPr>
      <w:r w:rsidRPr="007B4E92">
        <w:rPr>
          <w:rtl/>
        </w:rPr>
        <w:t xml:space="preserve">חוק הזיכיון חילק את </w:t>
      </w:r>
      <w:r w:rsidRPr="007B4E92">
        <w:rPr>
          <w:rFonts w:hint="cs"/>
          <w:rtl/>
        </w:rPr>
        <w:t>השטחים</w:t>
      </w:r>
      <w:r w:rsidRPr="007B4E92">
        <w:rPr>
          <w:rtl/>
        </w:rPr>
        <w:t xml:space="preserve"> בתחום הזיכיון לשלושה סוגים: קרקעות חכורות - </w:t>
      </w:r>
      <w:r w:rsidRPr="007B4E92">
        <w:rPr>
          <w:rFonts w:hint="eastAsia"/>
          <w:rtl/>
        </w:rPr>
        <w:t>המחולקות</w:t>
      </w:r>
      <w:r w:rsidRPr="007B4E92">
        <w:rPr>
          <w:rtl/>
        </w:rPr>
        <w:t xml:space="preserve"> </w:t>
      </w:r>
      <w:r w:rsidRPr="007B4E92">
        <w:rPr>
          <w:rFonts w:hint="eastAsia"/>
          <w:rtl/>
        </w:rPr>
        <w:t>גם</w:t>
      </w:r>
      <w:r w:rsidRPr="007B4E92">
        <w:rPr>
          <w:rtl/>
        </w:rPr>
        <w:t xml:space="preserve"> </w:t>
      </w:r>
      <w:r w:rsidRPr="007B4E92">
        <w:rPr>
          <w:rFonts w:hint="eastAsia"/>
          <w:rtl/>
        </w:rPr>
        <w:t>הן</w:t>
      </w:r>
      <w:r w:rsidRPr="007B4E92">
        <w:rPr>
          <w:rtl/>
        </w:rPr>
        <w:t xml:space="preserve"> </w:t>
      </w:r>
      <w:r w:rsidRPr="007B4E92">
        <w:rPr>
          <w:rFonts w:hint="eastAsia"/>
          <w:rtl/>
        </w:rPr>
        <w:t>לקרקעות</w:t>
      </w:r>
      <w:r w:rsidRPr="007B4E92">
        <w:rPr>
          <w:rtl/>
        </w:rPr>
        <w:t xml:space="preserve"> </w:t>
      </w:r>
      <w:r w:rsidRPr="007B4E92">
        <w:rPr>
          <w:rFonts w:hint="eastAsia"/>
          <w:rtl/>
        </w:rPr>
        <w:t>חכורות</w:t>
      </w:r>
      <w:r w:rsidRPr="007B4E92">
        <w:rPr>
          <w:rtl/>
        </w:rPr>
        <w:t xml:space="preserve"> מסוג מפעל, קרקעות </w:t>
      </w:r>
      <w:r w:rsidRPr="0065207E" w:rsidR="0065207E">
        <w:rPr>
          <w:rtl/>
        </w:rPr>
        <w:t>חכורות</w:t>
      </w:r>
      <w:r w:rsidR="0065207E">
        <w:t xml:space="preserve"> </w:t>
      </w:r>
      <w:r w:rsidRPr="007B4E92">
        <w:rPr>
          <w:rtl/>
        </w:rPr>
        <w:t xml:space="preserve">רגילות וקרקעות חכורות מסוג מתקני מים, ובעבורן נדרשת </w:t>
      </w:r>
      <w:r w:rsidRPr="007B4E92">
        <w:rPr>
          <w:rFonts w:hint="eastAsia"/>
          <w:rtl/>
        </w:rPr>
        <w:t>מי</w:t>
      </w:r>
      <w:r w:rsidRPr="007B4E92">
        <w:rPr>
          <w:rtl/>
        </w:rPr>
        <w:t>"ה</w:t>
      </w:r>
      <w:r w:rsidRPr="007B4E92">
        <w:rPr>
          <w:rtl/>
        </w:rPr>
        <w:t xml:space="preserve"> לשלם דמי חכירה </w:t>
      </w:r>
      <w:r w:rsidRPr="00AE7998" w:rsidR="00AE7998">
        <w:rPr>
          <w:rtl/>
        </w:rPr>
        <w:t>לרשות מקרקעי ישראל (</w:t>
      </w:r>
      <w:r w:rsidRPr="00AE7998" w:rsidR="00AE7998">
        <w:rPr>
          <w:rtl/>
        </w:rPr>
        <w:t>רמ"י</w:t>
      </w:r>
      <w:r w:rsidR="00AE7998">
        <w:rPr>
          <w:rFonts w:hint="cs"/>
          <w:rtl/>
        </w:rPr>
        <w:t>)</w:t>
      </w:r>
      <w:r w:rsidRPr="00AE7998" w:rsidR="00AE7998">
        <w:t>;</w:t>
      </w:r>
      <w:r w:rsidR="00AE7998">
        <w:rPr>
          <w:rFonts w:hint="cs"/>
          <w:rtl/>
        </w:rPr>
        <w:t xml:space="preserve"> </w:t>
      </w:r>
      <w:r w:rsidRPr="007B4E92">
        <w:rPr>
          <w:rtl/>
        </w:rPr>
        <w:t xml:space="preserve">קרקעות שמורות - בשטחן המדינה לא יכולה להעניק לגורם אחר חזקה כלשהי ללא קבלת אישורה של </w:t>
      </w:r>
      <w:r w:rsidRPr="007B4E92">
        <w:rPr>
          <w:rFonts w:hint="eastAsia"/>
          <w:rtl/>
        </w:rPr>
        <w:t>מי</w:t>
      </w:r>
      <w:r w:rsidRPr="007B4E92">
        <w:rPr>
          <w:rtl/>
        </w:rPr>
        <w:t>"ה</w:t>
      </w:r>
      <w:r w:rsidRPr="007B4E92">
        <w:rPr>
          <w:rtl/>
        </w:rPr>
        <w:t xml:space="preserve">; ושטח ים המלח - הכולל את מי ים המלח שבגבול מדינת ישראל, </w:t>
      </w:r>
      <w:r w:rsidRPr="007B4E92">
        <w:rPr>
          <w:rFonts w:hint="eastAsia"/>
          <w:rtl/>
        </w:rPr>
        <w:t>ואת</w:t>
      </w:r>
      <w:r w:rsidRPr="007B4E92">
        <w:rPr>
          <w:rtl/>
        </w:rPr>
        <w:t xml:space="preserve"> שטח </w:t>
      </w:r>
      <w:r w:rsidRPr="007B4E92">
        <w:rPr>
          <w:rFonts w:hint="eastAsia"/>
          <w:rtl/>
        </w:rPr>
        <w:t>ה</w:t>
      </w:r>
      <w:r w:rsidRPr="007B4E92">
        <w:rPr>
          <w:rtl/>
        </w:rPr>
        <w:t xml:space="preserve">אידוי </w:t>
      </w:r>
      <w:r w:rsidRPr="007B4E92">
        <w:rPr>
          <w:rFonts w:hint="eastAsia"/>
          <w:rtl/>
        </w:rPr>
        <w:t>ו</w:t>
      </w:r>
      <w:r w:rsidRPr="007B4E92">
        <w:rPr>
          <w:rtl/>
        </w:rPr>
        <w:t xml:space="preserve">רצועת החוף </w:t>
      </w:r>
      <w:r w:rsidRPr="007B4E92">
        <w:rPr>
          <w:rFonts w:hint="eastAsia"/>
          <w:rtl/>
        </w:rPr>
        <w:t>שהוגדרו</w:t>
      </w:r>
      <w:r w:rsidRPr="007B4E92">
        <w:rPr>
          <w:rtl/>
        </w:rPr>
        <w:t xml:space="preserve"> </w:t>
      </w:r>
      <w:r w:rsidRPr="007B4E92">
        <w:rPr>
          <w:rFonts w:hint="eastAsia"/>
          <w:rtl/>
        </w:rPr>
        <w:t>בחוק</w:t>
      </w:r>
      <w:r w:rsidRPr="007B4E92">
        <w:rPr>
          <w:rtl/>
        </w:rPr>
        <w:t>.</w:t>
      </w:r>
    </w:p>
    <w:p w:rsidR="002F03CB" w:rsidP="002F03CB" w14:paraId="21B222E1" w14:textId="6BF6B1F5">
      <w:pPr>
        <w:pStyle w:val="734"/>
        <w:rPr>
          <w:rtl/>
        </w:rPr>
      </w:pPr>
      <w:r w:rsidRPr="002F03CB">
        <w:rPr>
          <w:rFonts w:hint="cs"/>
          <w:b w:val="0"/>
          <w:bCs w:val="0"/>
          <w:rtl/>
        </w:rPr>
        <w:t>מפה 1:</w:t>
      </w:r>
      <w:r w:rsidRPr="002F03CB">
        <w:rPr>
          <w:rFonts w:hint="cs"/>
          <w:rtl/>
        </w:rPr>
        <w:t xml:space="preserve"> שטח הזיכיון ושטחה המוניציפלי של עיריית תל אביב-יפו</w:t>
      </w:r>
    </w:p>
    <w:p w:rsidR="002F03CB" w:rsidRPr="002F03CB" w:rsidP="002F03CB" w14:paraId="2B5228BA" w14:textId="47C0CF3A">
      <w:pPr>
        <w:jc w:val="center"/>
        <w:rPr>
          <w:rtl/>
        </w:rPr>
      </w:pPr>
      <w:r>
        <w:rPr>
          <w:noProof/>
          <w:rtl/>
          <w:lang w:val="he-IL"/>
        </w:rPr>
        <w:drawing>
          <wp:inline distT="0" distB="0" distL="0" distR="0">
            <wp:extent cx="3584344" cy="5130350"/>
            <wp:effectExtent l="0" t="0" r="0" b="635"/>
            <wp:docPr id="740568600" name="תמונה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568600" name="תמונה 740568600"/>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rcRect l="11585" t="17717" r="11815" b="4802"/>
                    <a:stretch>
                      <a:fillRect/>
                    </a:stretch>
                  </pic:blipFill>
                  <pic:spPr bwMode="auto">
                    <a:xfrm>
                      <a:off x="0" y="0"/>
                      <a:ext cx="3584851" cy="513107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2F03CB" w:rsidRPr="002F03CB" w:rsidP="001E2DD8" w14:paraId="49F0E2E3" w14:textId="1554F623">
      <w:pPr>
        <w:pStyle w:val="738"/>
        <w:rPr>
          <w:rtl/>
        </w:rPr>
      </w:pPr>
      <w:r>
        <w:rPr>
          <w:rFonts w:hint="cs"/>
          <w:rtl/>
        </w:rPr>
        <w:t>ה</w:t>
      </w:r>
      <w:r w:rsidRPr="002F03CB">
        <w:rPr>
          <w:rFonts w:hint="cs"/>
          <w:rtl/>
        </w:rPr>
        <w:t>מקור: משרד מבקר המדינה.</w:t>
      </w:r>
    </w:p>
    <w:p w:rsidR="002F03CB" w:rsidRPr="002F03CB" w:rsidP="002F03CB" w14:paraId="716DCCC2" w14:textId="5FBFBB4D">
      <w:pPr>
        <w:pStyle w:val="7392"/>
        <w:rPr>
          <w:rtl/>
        </w:rPr>
      </w:pPr>
      <w:r w:rsidRPr="002F03CB">
        <w:rPr>
          <w:rtl/>
        </w:rPr>
        <w:t>מי"ה</w:t>
      </w:r>
      <w:r w:rsidRPr="002F03CB">
        <w:rPr>
          <w:rtl/>
        </w:rPr>
        <w:t xml:space="preserve"> משמשת שחקן עולמי מהותי בהפק</w:t>
      </w:r>
      <w:r w:rsidRPr="002F03CB">
        <w:rPr>
          <w:rFonts w:hint="cs"/>
          <w:rtl/>
        </w:rPr>
        <w:t xml:space="preserve">ת </w:t>
      </w:r>
      <w:r w:rsidRPr="00677258" w:rsidR="00677258">
        <w:rPr>
          <w:rtl/>
        </w:rPr>
        <w:t>מינרלים</w:t>
      </w:r>
      <w:r w:rsidR="00677258">
        <w:t xml:space="preserve"> </w:t>
      </w:r>
      <w:r w:rsidRPr="002F03CB">
        <w:rPr>
          <w:rFonts w:hint="cs"/>
          <w:rtl/>
        </w:rPr>
        <w:t>מסוג אשלג, ברום ומגנזיום</w:t>
      </w:r>
      <w:r w:rsidRPr="002F03CB">
        <w:rPr>
          <w:rtl/>
        </w:rPr>
        <w:t xml:space="preserve"> הודות לתנאים הייחודיים השוררים בים המלח. נוסף על תרומתה להכנסות המדינה באמצעות התמלוגים שהיא משלמת מכוח החוק, </w:t>
      </w:r>
      <w:r w:rsidRPr="002F03CB">
        <w:rPr>
          <w:rFonts w:hint="cs"/>
          <w:rtl/>
        </w:rPr>
        <w:t>שעמדו על כ-580 מיליון ש"ח</w:t>
      </w:r>
      <w:r>
        <w:rPr>
          <w:vertAlign w:val="superscript"/>
          <w:rtl/>
        </w:rPr>
        <w:footnoteReference w:id="4"/>
      </w:r>
      <w:r w:rsidRPr="002F03CB">
        <w:rPr>
          <w:rFonts w:hint="cs"/>
          <w:rtl/>
        </w:rPr>
        <w:t xml:space="preserve"> לשנת 2023, </w:t>
      </w:r>
      <w:r w:rsidRPr="002F03CB">
        <w:rPr>
          <w:rFonts w:hint="cs"/>
          <w:rtl/>
        </w:rPr>
        <w:t>מי"ה</w:t>
      </w:r>
      <w:r w:rsidRPr="002F03CB">
        <w:rPr>
          <w:rFonts w:hint="cs"/>
          <w:rtl/>
        </w:rPr>
        <w:t xml:space="preserve"> משלמת למדינה גם מיסים ייעודיים למשאבי הטבע, כמו היטל רווחי יתר לפי חוק מיסוי רווחים ממשאבי טבע, התשע"א-2011 ומיסי מדינה כלליים. כמו כן, </w:t>
      </w:r>
      <w:r w:rsidRPr="002F03CB">
        <w:rPr>
          <w:rtl/>
        </w:rPr>
        <w:t xml:space="preserve">פעילותה של </w:t>
      </w:r>
      <w:r w:rsidRPr="002F03CB">
        <w:rPr>
          <w:rtl/>
        </w:rPr>
        <w:t>מי"ה</w:t>
      </w:r>
      <w:r w:rsidRPr="002F03CB">
        <w:rPr>
          <w:rtl/>
        </w:rPr>
        <w:t xml:space="preserve"> מספקת תעסוקה </w:t>
      </w:r>
      <w:r w:rsidRPr="002F03CB">
        <w:rPr>
          <w:rFonts w:hint="cs"/>
          <w:rtl/>
        </w:rPr>
        <w:t xml:space="preserve">ישירה </w:t>
      </w:r>
      <w:r w:rsidRPr="002F03CB">
        <w:rPr>
          <w:rtl/>
        </w:rPr>
        <w:t>ל</w:t>
      </w:r>
      <w:r w:rsidRPr="002F03CB">
        <w:rPr>
          <w:rFonts w:hint="cs"/>
          <w:rtl/>
        </w:rPr>
        <w:t>יותר</w:t>
      </w:r>
      <w:r w:rsidRPr="002F03CB">
        <w:rPr>
          <w:rtl/>
        </w:rPr>
        <w:t xml:space="preserve"> </w:t>
      </w:r>
      <w:r w:rsidRPr="002F03CB">
        <w:rPr>
          <w:rtl/>
        </w:rPr>
        <w:t>מ-1,800 עובדים בנגב</w:t>
      </w:r>
      <w:r w:rsidRPr="002F03CB">
        <w:rPr>
          <w:rFonts w:hint="cs"/>
          <w:rtl/>
        </w:rPr>
        <w:t xml:space="preserve"> וכן מעסיקה קבלנים ונותני שרות וספקים רבים נוספים</w:t>
      </w:r>
      <w:r w:rsidRPr="002F03CB">
        <w:rPr>
          <w:rtl/>
        </w:rPr>
        <w:t xml:space="preserve">, ובכך תורמת למפעל ההתיישבות בדרום הארץ. </w:t>
      </w:r>
      <w:r w:rsidRPr="002F03CB">
        <w:rPr>
          <w:rFonts w:hint="cs"/>
          <w:rtl/>
        </w:rPr>
        <w:t xml:space="preserve">זאת ועוד, </w:t>
      </w:r>
      <w:r w:rsidRPr="002F03CB">
        <w:rPr>
          <w:rtl/>
        </w:rPr>
        <w:t xml:space="preserve">אחת מבריכות האידוי של </w:t>
      </w:r>
      <w:r w:rsidRPr="002F03CB">
        <w:rPr>
          <w:rtl/>
        </w:rPr>
        <w:t>מי"ה</w:t>
      </w:r>
      <w:r w:rsidRPr="002F03CB">
        <w:rPr>
          <w:rtl/>
        </w:rPr>
        <w:t xml:space="preserve">, המשמשת להספקת צרכיה התעשייתיים, משמרת אזור "דמוי ים" באגן הדרומי של ים המלח, והדבר מאפשר הקמת בתי מלון לצידה ופיתוח תיירות באזור זה. לצד התועלת הכלכלית שמפיקה המדינה מפעילות </w:t>
      </w:r>
      <w:r w:rsidRPr="002F03CB">
        <w:rPr>
          <w:rtl/>
        </w:rPr>
        <w:t>מי"ה</w:t>
      </w:r>
      <w:r w:rsidRPr="002F03CB">
        <w:rPr>
          <w:rtl/>
        </w:rPr>
        <w:t>, לתהליך התעשייתי של ניצול משאבי הטבע בים המלח נלוות תוצאות סביבתיות שליליות שיש בהן כדי להשפיע על הדור הנוכחי ועל הדורות הבאים</w:t>
      </w:r>
      <w:r w:rsidRPr="002F03CB">
        <w:rPr>
          <w:rFonts w:hint="cs"/>
          <w:rtl/>
        </w:rPr>
        <w:t>. בין היתר,</w:t>
      </w:r>
      <w:r w:rsidRPr="002F03CB">
        <w:rPr>
          <w:rtl/>
        </w:rPr>
        <w:t xml:space="preserve"> הפעילות של </w:t>
      </w:r>
      <w:r w:rsidRPr="002F03CB">
        <w:rPr>
          <w:rtl/>
        </w:rPr>
        <w:t>מי"ה</w:t>
      </w:r>
      <w:r w:rsidRPr="002F03CB">
        <w:rPr>
          <w:rtl/>
        </w:rPr>
        <w:t xml:space="preserve"> בחלקו הדרומי של ים המלח כרוכה בצריכת מים גדולה, המהווה כ-22% מסך המים המסופקים לתעשייה בישראל, ואלו נשאבים מקידוחי מי תהום ונגרעים מהם; </w:t>
      </w:r>
      <w:r w:rsidRPr="002F03CB">
        <w:rPr>
          <w:rFonts w:hint="cs"/>
          <w:rtl/>
        </w:rPr>
        <w:t xml:space="preserve">היא </w:t>
      </w:r>
      <w:r w:rsidRPr="002F03CB">
        <w:rPr>
          <w:rtl/>
        </w:rPr>
        <w:t xml:space="preserve">פוגעת ביכולת הניקוז של נחלים ומי שיטפונות; היא גורמת לנזק סביבתי מכרייה ומחציבה </w:t>
      </w:r>
      <w:r w:rsidRPr="00FF3494" w:rsidR="00FF3494">
        <w:rPr>
          <w:rtl/>
        </w:rPr>
        <w:t>של חומרים לצורך בנייה ותחזוקה של פרויקטים רחבי היקף כמו הסוללות לבריכות האידוי המשמשות אותה, והביאה</w:t>
      </w:r>
      <w:r w:rsidRPr="002F03CB">
        <w:rPr>
          <w:rtl/>
        </w:rPr>
        <w:t xml:space="preserve"> בעבר להסטת תוואי של נחלים כדי למנוע נזקי שיטפונות לבריכות אלו; היא קוטעת רצף ארוך של שטחים פתוחים </w:t>
      </w:r>
      <w:r w:rsidR="009D496A">
        <w:softHyphen/>
      </w:r>
      <w:r w:rsidR="009D496A">
        <w:softHyphen/>
      </w:r>
      <w:r w:rsidRPr="002F03CB">
        <w:rPr>
          <w:rtl/>
        </w:rPr>
        <w:t>ויוצרת פגיעה נופית; היא יוצרת המלחה של בתי גידול ומי תהום כתוצאה משאיבות מוגברות של מים ממאגרי מי תהום</w:t>
      </w:r>
      <w:r>
        <w:rPr>
          <w:rStyle w:val="FootnoteReference1"/>
          <w:rtl/>
        </w:rPr>
        <w:footnoteReference w:id="5"/>
      </w:r>
      <w:r w:rsidRPr="002F03CB">
        <w:rPr>
          <w:rtl/>
        </w:rPr>
        <w:t xml:space="preserve"> ופוגעת במערכות אקולוגיות</w:t>
      </w:r>
      <w:r w:rsidR="00FF3494">
        <w:rPr>
          <w:rFonts w:hint="cs"/>
          <w:rtl/>
        </w:rPr>
        <w:t>.</w:t>
      </w:r>
      <w:r w:rsidRPr="002F03CB">
        <w:rPr>
          <w:rtl/>
        </w:rPr>
        <w:t xml:space="preserve"> </w:t>
      </w:r>
    </w:p>
    <w:p w:rsidR="002F03CB" w:rsidRPr="002F03CB" w:rsidP="002F03CB" w14:paraId="086B97BA" w14:textId="2324E039">
      <w:pPr>
        <w:pStyle w:val="7392"/>
        <w:rPr>
          <w:rtl/>
        </w:rPr>
      </w:pPr>
      <w:r w:rsidRPr="002F03CB">
        <w:rPr>
          <w:rtl/>
        </w:rPr>
        <w:t xml:space="preserve">המפגש בין חבל ארץ ייחודי, שהתברך במגוון ערכי טבע, באתרי מורשת ובנופים מרהיבים, שאין שני להם בעולם כולו - לבין פעילות תעשייתית אינטנסיבית הנשענת על מיצוי וכרייה של משאבי הטבע - מחייב הקפדה יתרה מצד </w:t>
      </w:r>
      <w:r w:rsidRPr="002F03CB">
        <w:rPr>
          <w:rFonts w:hint="cs"/>
          <w:rtl/>
        </w:rPr>
        <w:t xml:space="preserve">כל משרדי </w:t>
      </w:r>
      <w:r w:rsidRPr="002F03CB">
        <w:rPr>
          <w:rtl/>
        </w:rPr>
        <w:t xml:space="preserve">הממשלה </w:t>
      </w:r>
      <w:r w:rsidRPr="002F03CB">
        <w:rPr>
          <w:rFonts w:hint="cs"/>
          <w:rtl/>
        </w:rPr>
        <w:t>הנוגעים בדבר</w:t>
      </w:r>
      <w:r w:rsidR="00677258">
        <w:t xml:space="preserve"> </w:t>
      </w:r>
      <w:r w:rsidRPr="002F03CB">
        <w:rPr>
          <w:rtl/>
        </w:rPr>
        <w:t>ומצד שר האוצר ו</w:t>
      </w:r>
      <w:r w:rsidRPr="002F03CB">
        <w:rPr>
          <w:rFonts w:hint="cs"/>
          <w:rtl/>
        </w:rPr>
        <w:t xml:space="preserve">שר הכלכלה והתעשייה </w:t>
      </w:r>
      <w:r w:rsidRPr="002F03CB">
        <w:rPr>
          <w:rtl/>
        </w:rPr>
        <w:t xml:space="preserve">האחראים לחוק </w:t>
      </w:r>
      <w:r w:rsidRPr="002F03CB">
        <w:rPr>
          <w:rtl/>
        </w:rPr>
        <w:t>הזכיון</w:t>
      </w:r>
      <w:r w:rsidRPr="002F03CB">
        <w:rPr>
          <w:rtl/>
        </w:rPr>
        <w:t xml:space="preserve"> בפרט</w:t>
      </w:r>
      <w:r w:rsidRPr="002F03CB">
        <w:rPr>
          <w:rFonts w:hint="cs"/>
          <w:rtl/>
        </w:rPr>
        <w:t>,</w:t>
      </w:r>
      <w:r w:rsidRPr="002F03CB">
        <w:rPr>
          <w:rtl/>
        </w:rPr>
        <w:t xml:space="preserve"> לשמור על משאבי טבע אלו ולהבטיח כי החותם הסביבתי של הפעילות התעשייתית המתבצעת מכוח הזיכיון יהיה מצומצם ככל האפשר ויתנהל בהתאם לדרישות הדין. </w:t>
      </w:r>
    </w:p>
    <w:p w:rsidR="002F03CB" w:rsidRPr="00783482" w:rsidP="002F03CB" w14:paraId="22A86BE0" w14:textId="50CF1127">
      <w:pPr>
        <w:pStyle w:val="7392"/>
        <w:rPr>
          <w:sz w:val="24"/>
          <w:rtl/>
        </w:rPr>
      </w:pPr>
      <w:r w:rsidRPr="002F03CB">
        <w:rPr>
          <w:rtl/>
        </w:rPr>
        <w:t xml:space="preserve">ביקורת זו נועדה לבחון את האופן שבו התבצע הניהול של זיכיון ים המלח והפיקוח עליו </w:t>
      </w:r>
      <w:r w:rsidRPr="00677258" w:rsidR="00677258">
        <w:rPr>
          <w:rtl/>
        </w:rPr>
        <w:t>בהיבטי הסביבה והמקרקעין</w:t>
      </w:r>
      <w:r w:rsidRPr="002F03CB">
        <w:rPr>
          <w:rtl/>
        </w:rPr>
        <w:t xml:space="preserve"> ואת האופן שבו </w:t>
      </w:r>
      <w:r w:rsidRPr="002F03CB">
        <w:rPr>
          <w:rtl/>
        </w:rPr>
        <w:t>המאסדרים</w:t>
      </w:r>
      <w:r w:rsidRPr="002F03CB">
        <w:rPr>
          <w:rtl/>
        </w:rPr>
        <w:t xml:space="preserve"> השונים מימשו במהלך השנים את סמכויותיהם </w:t>
      </w:r>
      <w:r w:rsidRPr="002F03CB">
        <w:rPr>
          <w:rFonts w:hint="cs"/>
          <w:rtl/>
        </w:rPr>
        <w:t xml:space="preserve">למול </w:t>
      </w:r>
      <w:r w:rsidRPr="002F03CB">
        <w:rPr>
          <w:rFonts w:hint="cs"/>
          <w:rtl/>
        </w:rPr>
        <w:t>מי"ה</w:t>
      </w:r>
      <w:r w:rsidRPr="002F03CB">
        <w:rPr>
          <w:rFonts w:hint="cs"/>
          <w:rtl/>
        </w:rPr>
        <w:t xml:space="preserve"> </w:t>
      </w:r>
      <w:r w:rsidRPr="002F03CB">
        <w:rPr>
          <w:rtl/>
        </w:rPr>
        <w:t xml:space="preserve">לצורך </w:t>
      </w:r>
      <w:r w:rsidRPr="002F03CB">
        <w:rPr>
          <w:rFonts w:hint="cs"/>
          <w:rtl/>
        </w:rPr>
        <w:t>ה</w:t>
      </w:r>
      <w:r w:rsidRPr="002F03CB">
        <w:rPr>
          <w:rtl/>
        </w:rPr>
        <w:t>שמירה על אינטרס</w:t>
      </w:r>
      <w:r w:rsidRPr="002F03CB">
        <w:rPr>
          <w:rFonts w:hint="cs"/>
          <w:rtl/>
        </w:rPr>
        <w:t>ים אלו</w:t>
      </w:r>
      <w:r w:rsidRPr="002F03CB">
        <w:rPr>
          <w:rtl/>
        </w:rPr>
        <w:t xml:space="preserve">. </w:t>
      </w:r>
      <w:bookmarkStart w:id="2" w:name="_Hlk174461920"/>
      <w:r w:rsidRPr="002F03CB">
        <w:rPr>
          <w:rtl/>
        </w:rPr>
        <w:t xml:space="preserve">בראייה צופת פני עתיד </w:t>
      </w:r>
      <w:r w:rsidRPr="002F03CB">
        <w:rPr>
          <w:rFonts w:hint="cs"/>
          <w:rtl/>
        </w:rPr>
        <w:t>ממצאיו של דוח זה ראויים ללמידה והפקת לקחים בעת הזו ממש, שעה שהמדינה נערכת לגיבוש הסדר זיכיון חדש לקראת חידוש הזיכיון בשנים הקרובות.</w:t>
      </w:r>
      <w:r w:rsidR="004E56E5">
        <w:rPr>
          <w:rFonts w:hint="cs"/>
          <w:rtl/>
        </w:rPr>
        <w:t xml:space="preserve"> </w:t>
      </w:r>
    </w:p>
    <w:bookmarkEnd w:id="2"/>
    <w:p w:rsidR="002F03CB" w:rsidP="002F03CB" w14:paraId="05E0F20A" w14:textId="77777777">
      <w:pPr>
        <w:pStyle w:val="7392"/>
        <w:spacing w:after="187"/>
        <w:rPr>
          <w:rtl/>
        </w:rPr>
      </w:pPr>
    </w:p>
    <w:p w:rsidR="007F4A20" w14:paraId="37B9E65E" w14:textId="77777777">
      <w:pPr>
        <w:bidi w:val="0"/>
        <w:spacing w:after="200" w:line="276" w:lineRule="auto"/>
        <w:rPr>
          <w:rFonts w:ascii="Tahoma" w:hAnsi="Tahoma" w:cs="Tahoma"/>
          <w:color w:val="0D0D0D" w:themeColor="text1" w:themeTint="F2"/>
          <w:sz w:val="18"/>
          <w:szCs w:val="18"/>
          <w:rtl/>
        </w:rPr>
      </w:pPr>
      <w:r>
        <w:rPr>
          <w:rtl/>
        </w:rPr>
        <w:br w:type="page"/>
      </w:r>
    </w:p>
    <w:p w:rsidR="005D0F8C" w:rsidP="007F4A20" w14:paraId="087C7BAD" w14:textId="0A8743A0">
      <w:pPr>
        <w:pStyle w:val="7392"/>
        <w:spacing w:before="360"/>
        <w:rPr>
          <w:b/>
          <w:bCs/>
          <w:color w:val="00305F"/>
          <w:sz w:val="32"/>
          <w:szCs w:val="32"/>
          <w:rtl/>
        </w:rPr>
      </w:pPr>
      <w:r w:rsidRPr="001F3363">
        <w:rPr>
          <w:noProof/>
          <w:rtl/>
        </w:rPr>
        <w:drawing>
          <wp:anchor distT="0" distB="0" distL="114300" distR="114300" simplePos="0" relativeHeight="251676672" behindDoc="0" locked="0" layoutInCell="1" allowOverlap="1">
            <wp:simplePos x="0" y="0"/>
            <wp:positionH relativeFrom="column">
              <wp:posOffset>3298825</wp:posOffset>
            </wp:positionH>
            <wp:positionV relativeFrom="paragraph">
              <wp:posOffset>488</wp:posOffset>
            </wp:positionV>
            <wp:extent cx="1405255" cy="431800"/>
            <wp:effectExtent l="0" t="0" r="4445" b="0"/>
            <wp:wrapSquare wrapText="bothSides"/>
            <wp:docPr id="6" name="Picture 6" descr="נתוני מפת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נתוני מפתח"/>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05255" cy="431800"/>
                    </a:xfrm>
                    <a:prstGeom prst="rect">
                      <a:avLst/>
                    </a:prstGeom>
                  </pic:spPr>
                </pic:pic>
              </a:graphicData>
            </a:graphic>
            <wp14:sizeRelH relativeFrom="margin">
              <wp14:pctWidth>0</wp14:pctWidth>
            </wp14:sizeRelH>
            <wp14:sizeRelV relativeFrom="margin">
              <wp14:pctHeight>0</wp14:pctHeight>
            </wp14:sizeRelV>
          </wp:anchor>
        </w:drawing>
      </w:r>
    </w:p>
    <w:p w:rsidR="005D0F8C" w:rsidP="007F4A20" w14:paraId="2AA141C4" w14:textId="77777777">
      <w:pPr>
        <w:pStyle w:val="100"/>
        <w:tabs>
          <w:tab w:val="center" w:pos="3685"/>
        </w:tabs>
        <w:spacing w:before="360" w:after="0" w:line="240" w:lineRule="exact"/>
        <w:rPr>
          <w:b/>
          <w:bCs/>
          <w:color w:val="00305F"/>
          <w:sz w:val="32"/>
          <w:szCs w:val="32"/>
          <w:rtl/>
        </w:rPr>
      </w:pPr>
    </w:p>
    <w:tbl>
      <w:tblPr>
        <w:tblStyle w:val="TableGrid"/>
        <w:bidiVisual/>
        <w:tblW w:w="493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81"/>
        <w:gridCol w:w="244"/>
        <w:gridCol w:w="1758"/>
        <w:gridCol w:w="236"/>
        <w:gridCol w:w="1703"/>
        <w:gridCol w:w="268"/>
        <w:gridCol w:w="1586"/>
      </w:tblGrid>
      <w:tr w14:paraId="58B4726B" w14:textId="77777777" w:rsidTr="00985E92">
        <w:tblPrEx>
          <w:tblW w:w="493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018" w:type="pct"/>
            <w:tcBorders>
              <w:bottom w:val="single" w:sz="12" w:space="0" w:color="000000" w:themeColor="text1"/>
            </w:tcBorders>
            <w:vAlign w:val="bottom"/>
          </w:tcPr>
          <w:p w:rsidR="00985E92" w:rsidRPr="00985E92" w:rsidP="00985E92" w14:paraId="23EB689E" w14:textId="6FBE3944">
            <w:pPr>
              <w:spacing w:after="60" w:line="240" w:lineRule="auto"/>
              <w:jc w:val="left"/>
              <w:rPr>
                <w:b/>
                <w:bCs/>
                <w:spacing w:val="-28"/>
                <w:rtl/>
              </w:rPr>
            </w:pPr>
            <w:r w:rsidRPr="00985E92">
              <w:rPr>
                <w:rFonts w:ascii="Tahoma" w:hAnsi="Tahoma" w:cs="Tahoma" w:hint="cs"/>
                <w:b/>
                <w:bCs/>
                <w:spacing w:val="-10"/>
                <w:sz w:val="26"/>
                <w:szCs w:val="26"/>
                <w:rtl/>
              </w:rPr>
              <w:t>מרץ</w:t>
            </w:r>
            <w:r>
              <w:rPr>
                <w:rFonts w:ascii="Tahoma" w:hAnsi="Tahoma" w:cs="Tahoma" w:hint="cs"/>
                <w:b/>
                <w:bCs/>
                <w:spacing w:val="-10"/>
                <w:sz w:val="36"/>
                <w:szCs w:val="36"/>
                <w:rtl/>
              </w:rPr>
              <w:t xml:space="preserve"> </w:t>
            </w:r>
            <w:r w:rsidRPr="00985E92">
              <w:rPr>
                <w:rFonts w:ascii="Tahoma" w:hAnsi="Tahoma" w:cs="Tahoma" w:hint="cs"/>
                <w:b/>
                <w:bCs/>
                <w:spacing w:val="-10"/>
                <w:sz w:val="36"/>
                <w:szCs w:val="36"/>
                <w:rtl/>
              </w:rPr>
              <w:t>2030</w:t>
            </w:r>
          </w:p>
        </w:tc>
        <w:tc>
          <w:tcPr>
            <w:tcW w:w="168" w:type="pct"/>
            <w:vAlign w:val="bottom"/>
          </w:tcPr>
          <w:p w:rsidR="00985E92" w:rsidRPr="00985E92" w:rsidP="00985E92" w14:paraId="19192EA5" w14:textId="77777777">
            <w:pPr>
              <w:spacing w:before="120" w:after="60" w:line="240" w:lineRule="auto"/>
              <w:jc w:val="left"/>
              <w:rPr>
                <w:b/>
                <w:bCs/>
                <w:rtl/>
              </w:rPr>
            </w:pPr>
          </w:p>
        </w:tc>
        <w:tc>
          <w:tcPr>
            <w:tcW w:w="1208" w:type="pct"/>
            <w:tcBorders>
              <w:bottom w:val="single" w:sz="12" w:space="0" w:color="000000" w:themeColor="text1"/>
            </w:tcBorders>
            <w:vAlign w:val="bottom"/>
          </w:tcPr>
          <w:p w:rsidR="00985E92" w:rsidRPr="00985E92" w:rsidP="00985E92" w14:paraId="761F4116" w14:textId="39C9F13F">
            <w:pPr>
              <w:pStyle w:val="2021"/>
              <w:spacing w:before="0" w:after="60"/>
              <w:rPr>
                <w:spacing w:val="-10"/>
                <w:rtl/>
              </w:rPr>
            </w:pPr>
            <w:r w:rsidRPr="00985E92">
              <w:rPr>
                <w:rFonts w:hint="cs"/>
                <w:spacing w:val="-10"/>
                <w:rtl/>
              </w:rPr>
              <w:t xml:space="preserve">652 </w:t>
            </w:r>
            <w:r w:rsidRPr="00985E92">
              <w:rPr>
                <w:rFonts w:hint="cs"/>
                <w:spacing w:val="-10"/>
                <w:sz w:val="26"/>
                <w:szCs w:val="26"/>
                <w:rtl/>
              </w:rPr>
              <w:t>קמ"ר</w:t>
            </w:r>
          </w:p>
        </w:tc>
        <w:tc>
          <w:tcPr>
            <w:tcW w:w="162" w:type="pct"/>
            <w:vAlign w:val="bottom"/>
          </w:tcPr>
          <w:p w:rsidR="00985E92" w:rsidRPr="00985E92" w:rsidP="00985E92" w14:paraId="2810DE55" w14:textId="77777777">
            <w:pPr>
              <w:spacing w:before="120" w:after="60" w:line="240" w:lineRule="auto"/>
              <w:jc w:val="left"/>
              <w:rPr>
                <w:b/>
                <w:bCs/>
                <w:rtl/>
              </w:rPr>
            </w:pPr>
          </w:p>
        </w:tc>
        <w:tc>
          <w:tcPr>
            <w:tcW w:w="1170" w:type="pct"/>
            <w:tcBorders>
              <w:bottom w:val="single" w:sz="12" w:space="0" w:color="000000" w:themeColor="text1"/>
            </w:tcBorders>
            <w:vAlign w:val="bottom"/>
          </w:tcPr>
          <w:p w:rsidR="00985E92" w:rsidRPr="00985E92" w:rsidP="00985E92" w14:paraId="2A2E27BD" w14:textId="030FB668">
            <w:pPr>
              <w:pStyle w:val="2021"/>
              <w:spacing w:before="0" w:after="60"/>
              <w:rPr>
                <w:spacing w:val="-20"/>
                <w:sz w:val="24"/>
                <w:rtl/>
              </w:rPr>
            </w:pPr>
            <w:r w:rsidRPr="00985E92">
              <w:rPr>
                <w:rFonts w:hint="cs"/>
                <w:spacing w:val="-10"/>
                <w:sz w:val="26"/>
                <w:szCs w:val="26"/>
                <w:rtl/>
              </w:rPr>
              <w:t>רק בשנת</w:t>
            </w:r>
            <w:r w:rsidRPr="00985E92">
              <w:rPr>
                <w:rFonts w:hint="cs"/>
                <w:spacing w:val="-10"/>
                <w:rtl/>
              </w:rPr>
              <w:t xml:space="preserve"> </w:t>
            </w:r>
            <w:r w:rsidRPr="00985E92">
              <w:rPr>
                <w:spacing w:val="-10"/>
                <w:rtl/>
              </w:rPr>
              <w:t>2</w:t>
            </w:r>
            <w:r w:rsidRPr="00985E92">
              <w:rPr>
                <w:rFonts w:hint="cs"/>
                <w:spacing w:val="-10"/>
                <w:rtl/>
              </w:rPr>
              <w:t>02</w:t>
            </w:r>
            <w:r w:rsidRPr="00985E92">
              <w:rPr>
                <w:spacing w:val="-10"/>
                <w:rtl/>
              </w:rPr>
              <w:t>3</w:t>
            </w:r>
            <w:r w:rsidRPr="00985E92">
              <w:rPr>
                <w:rFonts w:hint="cs"/>
                <w:spacing w:val="-10"/>
                <w:rtl/>
              </w:rPr>
              <w:t xml:space="preserve"> </w:t>
            </w:r>
          </w:p>
        </w:tc>
        <w:tc>
          <w:tcPr>
            <w:tcW w:w="184" w:type="pct"/>
            <w:vAlign w:val="bottom"/>
          </w:tcPr>
          <w:p w:rsidR="00985E92" w:rsidRPr="00985E92" w:rsidP="00985E92" w14:paraId="47B754BA" w14:textId="77777777">
            <w:pPr>
              <w:pStyle w:val="2021"/>
              <w:spacing w:before="0" w:after="60"/>
              <w:rPr>
                <w:spacing w:val="-10"/>
                <w:rtl/>
              </w:rPr>
            </w:pPr>
          </w:p>
        </w:tc>
        <w:tc>
          <w:tcPr>
            <w:tcW w:w="1090" w:type="pct"/>
            <w:tcBorders>
              <w:bottom w:val="single" w:sz="12" w:space="0" w:color="000000" w:themeColor="text1"/>
            </w:tcBorders>
            <w:vAlign w:val="bottom"/>
          </w:tcPr>
          <w:p w:rsidR="00985E92" w:rsidRPr="00985E92" w:rsidP="00985E92" w14:paraId="5F3A3FF5" w14:textId="65A3F790">
            <w:pPr>
              <w:pStyle w:val="2021"/>
              <w:spacing w:before="0" w:after="60"/>
              <w:rPr>
                <w:spacing w:val="-10"/>
                <w:rtl/>
              </w:rPr>
            </w:pPr>
            <w:r w:rsidRPr="00985E92">
              <w:rPr>
                <w:rFonts w:hint="cs"/>
                <w:spacing w:val="-10"/>
                <w:sz w:val="26"/>
                <w:szCs w:val="26"/>
                <w:rtl/>
              </w:rPr>
              <w:t xml:space="preserve">למעלה </w:t>
            </w:r>
            <w:r>
              <w:rPr>
                <w:spacing w:val="-10"/>
                <w:sz w:val="26"/>
                <w:szCs w:val="26"/>
                <w:rtl/>
              </w:rPr>
              <w:br/>
            </w:r>
            <w:r w:rsidRPr="00985E92">
              <w:rPr>
                <w:rFonts w:hint="cs"/>
                <w:spacing w:val="-10"/>
                <w:sz w:val="26"/>
                <w:szCs w:val="26"/>
                <w:rtl/>
              </w:rPr>
              <w:t>מ-</w:t>
            </w:r>
            <w:r w:rsidRPr="00985E92">
              <w:rPr>
                <w:rFonts w:hint="cs"/>
                <w:spacing w:val="-10"/>
                <w:rtl/>
              </w:rPr>
              <w:t xml:space="preserve">120 </w:t>
            </w:r>
            <w:r>
              <w:rPr>
                <w:spacing w:val="-10"/>
                <w:sz w:val="26"/>
                <w:szCs w:val="26"/>
                <w:rtl/>
              </w:rPr>
              <w:br/>
            </w:r>
            <w:r w:rsidRPr="00985E92">
              <w:rPr>
                <w:rFonts w:hint="cs"/>
                <w:spacing w:val="-10"/>
                <w:sz w:val="26"/>
                <w:szCs w:val="26"/>
                <w:rtl/>
              </w:rPr>
              <w:t>מיליון ש"ח</w:t>
            </w:r>
            <w:r w:rsidRPr="00985E92">
              <w:rPr>
                <w:rFonts w:hint="cs"/>
                <w:spacing w:val="-10"/>
                <w:rtl/>
              </w:rPr>
              <w:t xml:space="preserve"> </w:t>
            </w:r>
          </w:p>
        </w:tc>
      </w:tr>
      <w:tr w14:paraId="6DFAF81C" w14:textId="77777777" w:rsidTr="00985E92">
        <w:tblPrEx>
          <w:tblW w:w="4936" w:type="pct"/>
          <w:tblLook w:val="04A0"/>
        </w:tblPrEx>
        <w:tc>
          <w:tcPr>
            <w:tcW w:w="1018" w:type="pct"/>
            <w:tcBorders>
              <w:top w:val="single" w:sz="12" w:space="0" w:color="000000" w:themeColor="text1"/>
            </w:tcBorders>
          </w:tcPr>
          <w:p w:rsidR="00985E92" w:rsidRPr="00E52143" w:rsidP="00985E92" w14:paraId="1D96599A" w14:textId="1DF13387">
            <w:pPr>
              <w:pStyle w:val="732021"/>
              <w:spacing w:before="0" w:line="240" w:lineRule="auto"/>
              <w:rPr>
                <w:rtl/>
              </w:rPr>
            </w:pPr>
            <w:r w:rsidRPr="007B4E92">
              <w:rPr>
                <w:rFonts w:hint="cs"/>
                <w:rtl/>
              </w:rPr>
              <w:t xml:space="preserve">המועד שבו יסתיים הזיכיון הנוכחי שמצוי בידי </w:t>
            </w:r>
            <w:r w:rsidRPr="007B4E92">
              <w:rPr>
                <w:rFonts w:hint="cs"/>
                <w:rtl/>
              </w:rPr>
              <w:t>מי"ה</w:t>
            </w:r>
            <w:r w:rsidRPr="007B4E92">
              <w:rPr>
                <w:rFonts w:hint="cs"/>
                <w:rtl/>
              </w:rPr>
              <w:t xml:space="preserve">, שעליו אחראים לפי חוק הזיכיון שר האוצר ושר הכלכלה והתעשייה. </w:t>
            </w:r>
          </w:p>
        </w:tc>
        <w:tc>
          <w:tcPr>
            <w:tcW w:w="168" w:type="pct"/>
          </w:tcPr>
          <w:p w:rsidR="00985E92" w:rsidRPr="00E52143" w:rsidP="00985E92" w14:paraId="2BF81D8C" w14:textId="77777777">
            <w:pPr>
              <w:pStyle w:val="732021"/>
              <w:spacing w:before="0" w:line="240" w:lineRule="auto"/>
              <w:rPr>
                <w:rtl/>
              </w:rPr>
            </w:pPr>
          </w:p>
        </w:tc>
        <w:tc>
          <w:tcPr>
            <w:tcW w:w="1208" w:type="pct"/>
            <w:tcBorders>
              <w:top w:val="single" w:sz="12" w:space="0" w:color="000000" w:themeColor="text1"/>
            </w:tcBorders>
          </w:tcPr>
          <w:p w:rsidR="00985E92" w:rsidRPr="00E52143" w:rsidP="00985E92" w14:paraId="68924AF7" w14:textId="358ED06D">
            <w:pPr>
              <w:pStyle w:val="732021"/>
              <w:spacing w:before="0" w:line="240" w:lineRule="auto"/>
              <w:rPr>
                <w:rtl/>
              </w:rPr>
            </w:pPr>
            <w:r w:rsidRPr="007B4E92">
              <w:rPr>
                <w:rtl/>
              </w:rPr>
              <w:t xml:space="preserve">שטח </w:t>
            </w:r>
            <w:r w:rsidRPr="007B4E92">
              <w:rPr>
                <w:rFonts w:hint="cs"/>
                <w:rtl/>
              </w:rPr>
              <w:t>ה</w:t>
            </w:r>
            <w:r w:rsidRPr="007B4E92">
              <w:rPr>
                <w:rtl/>
              </w:rPr>
              <w:t xml:space="preserve">זיכיון </w:t>
            </w:r>
            <w:r w:rsidRPr="009D496A" w:rsidR="009D496A">
              <w:rPr>
                <w:rtl/>
              </w:rPr>
              <w:t xml:space="preserve">הנוכחי שמצוי בידי </w:t>
            </w:r>
            <w:r w:rsidRPr="009D496A" w:rsidR="009D496A">
              <w:rPr>
                <w:rtl/>
              </w:rPr>
              <w:t>מי"ה</w:t>
            </w:r>
            <w:r w:rsidRPr="007B4E92">
              <w:rPr>
                <w:rtl/>
              </w:rPr>
              <w:t xml:space="preserve">. מדובר בתא שטח שגודלו יותר מפי 11 משטחה המוניציפלי של עיריית </w:t>
            </w:r>
            <w:r w:rsidR="00AE7998">
              <w:rPr>
                <w:rtl/>
              </w:rPr>
              <w:br/>
            </w:r>
            <w:r w:rsidRPr="007B4E92">
              <w:rPr>
                <w:rtl/>
              </w:rPr>
              <w:t>תל אביב-יפו</w:t>
            </w:r>
            <w:r w:rsidRPr="007B4E92">
              <w:rPr>
                <w:rFonts w:hint="cs"/>
                <w:rtl/>
              </w:rPr>
              <w:t>.</w:t>
            </w:r>
          </w:p>
        </w:tc>
        <w:tc>
          <w:tcPr>
            <w:tcW w:w="162" w:type="pct"/>
          </w:tcPr>
          <w:p w:rsidR="00985E92" w:rsidRPr="00E52143" w:rsidP="00985E92" w14:paraId="4F52CE08" w14:textId="77777777">
            <w:pPr>
              <w:pStyle w:val="732021"/>
              <w:spacing w:before="0" w:line="240" w:lineRule="auto"/>
              <w:rPr>
                <w:rtl/>
              </w:rPr>
            </w:pPr>
          </w:p>
        </w:tc>
        <w:tc>
          <w:tcPr>
            <w:tcW w:w="1170" w:type="pct"/>
            <w:tcBorders>
              <w:top w:val="single" w:sz="12" w:space="0" w:color="000000" w:themeColor="text1"/>
            </w:tcBorders>
          </w:tcPr>
          <w:p w:rsidR="00985E92" w:rsidRPr="00985E92" w:rsidP="00985E92" w14:paraId="203F9568" w14:textId="27F73E4F">
            <w:pPr>
              <w:pStyle w:val="732021"/>
              <w:spacing w:before="0" w:line="240" w:lineRule="auto"/>
              <w:rPr>
                <w:spacing w:val="-4"/>
                <w:rtl/>
              </w:rPr>
            </w:pPr>
            <w:r w:rsidRPr="00985E92">
              <w:rPr>
                <w:rFonts w:hint="cs"/>
                <w:spacing w:val="-4"/>
                <w:rtl/>
              </w:rPr>
              <w:t xml:space="preserve">החל המשרד </w:t>
            </w:r>
            <w:r w:rsidRPr="00AE7998" w:rsidR="00AE7998">
              <w:rPr>
                <w:spacing w:val="-4"/>
                <w:rtl/>
              </w:rPr>
              <w:t xml:space="preserve">להגנת הסביבה (המשרד </w:t>
            </w:r>
            <w:r w:rsidRPr="00AE7998" w:rsidR="00AE7998">
              <w:rPr>
                <w:spacing w:val="-4"/>
                <w:rtl/>
              </w:rPr>
              <w:t>להג"ס</w:t>
            </w:r>
            <w:r w:rsidRPr="00AE7998" w:rsidR="00AE7998">
              <w:rPr>
                <w:spacing w:val="-4"/>
                <w:rtl/>
              </w:rPr>
              <w:t>)</w:t>
            </w:r>
            <w:r w:rsidR="00AE7998">
              <w:rPr>
                <w:rFonts w:hint="cs"/>
                <w:spacing w:val="-4"/>
                <w:rtl/>
              </w:rPr>
              <w:t xml:space="preserve"> </w:t>
            </w:r>
            <w:r w:rsidRPr="00580A71" w:rsidR="00580A71">
              <w:rPr>
                <w:spacing w:val="-4"/>
                <w:rtl/>
              </w:rPr>
              <w:t>למפות את כל התשתיות התעשייתיות</w:t>
            </w:r>
            <w:r w:rsidRPr="00985E92">
              <w:rPr>
                <w:rFonts w:hint="cs"/>
                <w:spacing w:val="-4"/>
                <w:rtl/>
              </w:rPr>
              <w:t xml:space="preserve"> הקיימות בתחום הזיכיון להן פוטנציאל ליצירת מפגעים סביבתיים. המיפוי העלה כי קיימות 230 תשתיות </w:t>
            </w:r>
            <w:r w:rsidRPr="00985E92">
              <w:rPr>
                <w:rFonts w:hint="cs"/>
                <w:spacing w:val="-4"/>
                <w:rtl/>
              </w:rPr>
              <w:t>תעשייות</w:t>
            </w:r>
            <w:r w:rsidRPr="00985E92">
              <w:rPr>
                <w:rFonts w:hint="cs"/>
                <w:spacing w:val="-4"/>
                <w:rtl/>
              </w:rPr>
              <w:t xml:space="preserve"> וכי חלקן </w:t>
            </w:r>
            <w:r w:rsidRPr="009D496A" w:rsidR="009D496A">
              <w:rPr>
                <w:spacing w:val="-4"/>
                <w:rtl/>
              </w:rPr>
              <w:t>פועלות</w:t>
            </w:r>
            <w:r w:rsidRPr="009D496A" w:rsidR="009D496A">
              <w:rPr>
                <w:rFonts w:hint="cs"/>
                <w:spacing w:val="-4"/>
                <w:rtl/>
              </w:rPr>
              <w:t xml:space="preserve"> </w:t>
            </w:r>
            <w:r w:rsidRPr="00985E92">
              <w:rPr>
                <w:rFonts w:hint="cs"/>
                <w:spacing w:val="-4"/>
                <w:rtl/>
              </w:rPr>
              <w:t xml:space="preserve">ללא אסדרה סביבתית ברישיון העסק או במסגרת רגולטורית </w:t>
            </w:r>
            <w:r w:rsidRPr="009D496A" w:rsidR="009D496A">
              <w:rPr>
                <w:spacing w:val="-4"/>
                <w:rtl/>
              </w:rPr>
              <w:t>אחרת ההולמת את מאפייניהן</w:t>
            </w:r>
            <w:r w:rsidRPr="00985E92">
              <w:rPr>
                <w:rFonts w:hint="cs"/>
                <w:spacing w:val="-4"/>
                <w:rtl/>
              </w:rPr>
              <w:t xml:space="preserve">. בין התשתיות שמופו </w:t>
            </w:r>
            <w:r w:rsidRPr="00985E92">
              <w:rPr>
                <w:spacing w:val="-4"/>
                <w:rtl/>
              </w:rPr>
              <w:t>63 בריכות אידוי ואגירה</w:t>
            </w:r>
            <w:r w:rsidR="00AE7998">
              <w:rPr>
                <w:spacing w:val="-4"/>
                <w:rtl/>
              </w:rPr>
              <w:br/>
            </w:r>
            <w:r w:rsidRPr="001E2DD8" w:rsidR="001E2DD8">
              <w:rPr>
                <w:spacing w:val="-4"/>
                <w:rtl/>
              </w:rPr>
              <w:t xml:space="preserve">ו-55 תשתיות הולכת </w:t>
            </w:r>
            <w:r w:rsidRPr="001E2DD8" w:rsidR="001E2DD8">
              <w:rPr>
                <w:spacing w:val="-4"/>
                <w:rtl/>
              </w:rPr>
              <w:t>תמלחת</w:t>
            </w:r>
            <w:r w:rsidRPr="001E2DD8" w:rsidR="001E2DD8">
              <w:rPr>
                <w:spacing w:val="-4"/>
                <w:rtl/>
              </w:rPr>
              <w:t xml:space="preserve"> ומי ים המלח.</w:t>
            </w:r>
            <w:r>
              <w:rPr>
                <w:spacing w:val="-4"/>
                <w:rtl/>
              </w:rPr>
              <w:br/>
            </w:r>
          </w:p>
        </w:tc>
        <w:tc>
          <w:tcPr>
            <w:tcW w:w="184" w:type="pct"/>
          </w:tcPr>
          <w:p w:rsidR="00985E92" w:rsidRPr="00E52143" w:rsidP="00985E92" w14:paraId="42538096" w14:textId="77777777">
            <w:pPr>
              <w:pStyle w:val="732021"/>
              <w:spacing w:before="0" w:line="240" w:lineRule="auto"/>
              <w:rPr>
                <w:rtl/>
              </w:rPr>
            </w:pPr>
          </w:p>
        </w:tc>
        <w:tc>
          <w:tcPr>
            <w:tcW w:w="1090" w:type="pct"/>
            <w:tcBorders>
              <w:top w:val="single" w:sz="12" w:space="0" w:color="000000" w:themeColor="text1"/>
            </w:tcBorders>
          </w:tcPr>
          <w:p w:rsidR="00985E92" w:rsidRPr="00E52143" w:rsidP="00985E92" w14:paraId="1878D11D" w14:textId="2596C49F">
            <w:pPr>
              <w:pStyle w:val="732021"/>
              <w:spacing w:before="0" w:line="240" w:lineRule="auto"/>
              <w:rPr>
                <w:rtl/>
              </w:rPr>
            </w:pPr>
            <w:r w:rsidRPr="00EC0F36">
              <w:rPr>
                <w:rtl/>
              </w:rPr>
              <w:t xml:space="preserve">אומדן הסכום שמשרד </w:t>
            </w:r>
            <w:r w:rsidRPr="00EC0F36">
              <w:rPr>
                <w:rtl/>
              </w:rPr>
              <w:t>האנרגייה</w:t>
            </w:r>
            <w:r w:rsidRPr="00EC0F36">
              <w:rPr>
                <w:rtl/>
              </w:rPr>
              <w:t xml:space="preserve"> </w:t>
            </w:r>
            <w:r w:rsidRPr="00EC0F36">
              <w:rPr>
                <w:rtl/>
              </w:rPr>
              <w:t>ורמ"י</w:t>
            </w:r>
            <w:r w:rsidRPr="00EC0F36">
              <w:rPr>
                <w:rtl/>
              </w:rPr>
              <w:t xml:space="preserve"> לא גבו </w:t>
            </w:r>
            <w:r w:rsidRPr="00EC0F36">
              <w:rPr>
                <w:rtl/>
              </w:rPr>
              <w:t>ממי"ה</w:t>
            </w:r>
            <w:r w:rsidRPr="00EC0F36">
              <w:rPr>
                <w:rtl/>
              </w:rPr>
              <w:t xml:space="preserve"> בגין פעילות הכרייה שהיא ביצעה בעשור האחרון, בלא שהם בחנו את ההצדקה להיעדר הגבייה (מתוכם כ-112 מיליון ש"ח </w:t>
            </w:r>
            <w:r w:rsidRPr="00EC0F36">
              <w:rPr>
                <w:rtl/>
              </w:rPr>
              <w:t>לרמ"י</w:t>
            </w:r>
            <w:r w:rsidRPr="00EC0F36">
              <w:rPr>
                <w:rtl/>
              </w:rPr>
              <w:t xml:space="preserve"> וכ-8.5 מיליון ש"ח לקרן לשיקום מחצבות).</w:t>
            </w:r>
            <w:r w:rsidRPr="007B4E92">
              <w:rPr>
                <w:rFonts w:hint="cs"/>
                <w:rtl/>
              </w:rPr>
              <w:t xml:space="preserve"> </w:t>
            </w:r>
          </w:p>
        </w:tc>
      </w:tr>
    </w:tbl>
    <w:p w:rsidR="00985E92" w14:paraId="4F3C593A" w14:textId="77777777">
      <w:r>
        <w:br w:type="page"/>
      </w:r>
    </w:p>
    <w:tbl>
      <w:tblPr>
        <w:tblStyle w:val="TableGrid"/>
        <w:bidiVisual/>
        <w:tblW w:w="493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81"/>
        <w:gridCol w:w="244"/>
        <w:gridCol w:w="1758"/>
        <w:gridCol w:w="236"/>
        <w:gridCol w:w="1703"/>
        <w:gridCol w:w="268"/>
        <w:gridCol w:w="1586"/>
      </w:tblGrid>
      <w:tr w14:paraId="1BD5A20C" w14:textId="77777777" w:rsidTr="00985E92">
        <w:tblPrEx>
          <w:tblW w:w="493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018" w:type="pct"/>
            <w:tcBorders>
              <w:bottom w:val="single" w:sz="12" w:space="0" w:color="000000" w:themeColor="text1"/>
            </w:tcBorders>
            <w:vAlign w:val="bottom"/>
          </w:tcPr>
          <w:p w:rsidR="00985E92" w:rsidRPr="00985E92" w:rsidP="00985E92" w14:paraId="500D3B50" w14:textId="51875107">
            <w:pPr>
              <w:spacing w:line="240" w:lineRule="auto"/>
              <w:jc w:val="left"/>
              <w:rPr>
                <w:rFonts w:ascii="Tahoma" w:hAnsi="Tahoma" w:eastAsiaTheme="minorEastAsia" w:cs="Tahoma"/>
                <w:b/>
                <w:bCs/>
                <w:color w:val="0D0D0D" w:themeColor="text1" w:themeTint="F2"/>
                <w:spacing w:val="-10"/>
                <w:sz w:val="36"/>
                <w:szCs w:val="36"/>
                <w:rtl/>
              </w:rPr>
            </w:pPr>
            <w:r w:rsidRPr="00985E92">
              <w:rPr>
                <w:rFonts w:ascii="Tahoma" w:hAnsi="Tahoma" w:cs="Tahoma" w:hint="cs"/>
                <w:b/>
                <w:bCs/>
                <w:spacing w:val="-10"/>
                <w:sz w:val="26"/>
                <w:szCs w:val="26"/>
                <w:rtl/>
              </w:rPr>
              <w:t>כ-</w:t>
            </w:r>
            <w:r w:rsidRPr="00985E92">
              <w:rPr>
                <w:rFonts w:ascii="Tahoma" w:hAnsi="Tahoma" w:cs="Tahoma" w:hint="cs"/>
                <w:b/>
                <w:bCs/>
                <w:spacing w:val="-10"/>
                <w:sz w:val="36"/>
                <w:szCs w:val="36"/>
                <w:rtl/>
              </w:rPr>
              <w:t xml:space="preserve">250 </w:t>
            </w:r>
            <w:r w:rsidRPr="00985E92">
              <w:rPr>
                <w:rFonts w:ascii="Tahoma" w:hAnsi="Tahoma" w:cs="Tahoma" w:hint="cs"/>
                <w:b/>
                <w:bCs/>
                <w:spacing w:val="-10"/>
                <w:sz w:val="26"/>
                <w:szCs w:val="26"/>
                <w:rtl/>
              </w:rPr>
              <w:t>קמ"ר</w:t>
            </w:r>
          </w:p>
        </w:tc>
        <w:tc>
          <w:tcPr>
            <w:tcW w:w="168" w:type="pct"/>
            <w:vAlign w:val="bottom"/>
          </w:tcPr>
          <w:p w:rsidR="00985E92" w:rsidRPr="00985E92" w:rsidP="00985E92" w14:paraId="26A950B1" w14:textId="77777777">
            <w:pPr>
              <w:spacing w:after="120"/>
              <w:jc w:val="left"/>
              <w:rPr>
                <w:rFonts w:ascii="Tahoma" w:hAnsi="Tahoma" w:eastAsiaTheme="minorEastAsia" w:cs="Tahoma"/>
                <w:b/>
                <w:bCs/>
                <w:color w:val="0D0D0D" w:themeColor="text1" w:themeTint="F2"/>
                <w:spacing w:val="-10"/>
                <w:sz w:val="36"/>
                <w:szCs w:val="36"/>
                <w:rtl/>
              </w:rPr>
            </w:pPr>
          </w:p>
        </w:tc>
        <w:tc>
          <w:tcPr>
            <w:tcW w:w="1208" w:type="pct"/>
            <w:tcBorders>
              <w:bottom w:val="single" w:sz="12" w:space="0" w:color="000000" w:themeColor="text1"/>
            </w:tcBorders>
            <w:vAlign w:val="bottom"/>
          </w:tcPr>
          <w:p w:rsidR="00985E92" w:rsidRPr="00985E92" w:rsidP="00985E92" w14:paraId="48896DF7" w14:textId="268F5D9E">
            <w:pPr>
              <w:pStyle w:val="2021"/>
              <w:spacing w:before="0" w:after="60"/>
              <w:rPr>
                <w:spacing w:val="-10"/>
                <w:rtl/>
              </w:rPr>
            </w:pPr>
            <w:r w:rsidRPr="00985E92">
              <w:rPr>
                <w:rFonts w:hint="cs"/>
                <w:spacing w:val="-10"/>
                <w:sz w:val="26"/>
                <w:szCs w:val="26"/>
                <w:rtl/>
              </w:rPr>
              <w:t xml:space="preserve">בין </w:t>
            </w:r>
            <w:r w:rsidRPr="00985E92">
              <w:rPr>
                <w:rFonts w:hint="cs"/>
                <w:spacing w:val="-10"/>
                <w:rtl/>
              </w:rPr>
              <w:t xml:space="preserve">90 </w:t>
            </w:r>
            <w:r>
              <w:rPr>
                <w:spacing w:val="-10"/>
                <w:sz w:val="26"/>
                <w:szCs w:val="26"/>
                <w:rtl/>
              </w:rPr>
              <w:br/>
            </w:r>
            <w:r w:rsidRPr="00985E92">
              <w:rPr>
                <w:rFonts w:hint="cs"/>
                <w:spacing w:val="-10"/>
                <w:sz w:val="26"/>
                <w:szCs w:val="26"/>
                <w:rtl/>
              </w:rPr>
              <w:t>ל-</w:t>
            </w:r>
            <w:r w:rsidRPr="00985E92">
              <w:rPr>
                <w:rFonts w:hint="cs"/>
                <w:spacing w:val="-10"/>
                <w:rtl/>
              </w:rPr>
              <w:t>135</w:t>
            </w:r>
            <w:r w:rsidRPr="00985E92">
              <w:rPr>
                <w:rFonts w:hint="cs"/>
                <w:spacing w:val="-10"/>
                <w:sz w:val="26"/>
                <w:szCs w:val="26"/>
                <w:rtl/>
              </w:rPr>
              <w:t xml:space="preserve"> מיליון </w:t>
            </w:r>
            <w:r w:rsidRPr="00AE0451" w:rsidR="00AE0451">
              <w:rPr>
                <w:spacing w:val="-10"/>
                <w:sz w:val="26"/>
                <w:szCs w:val="26"/>
                <w:rtl/>
              </w:rPr>
              <w:t>ש"ח</w:t>
            </w:r>
          </w:p>
        </w:tc>
        <w:tc>
          <w:tcPr>
            <w:tcW w:w="162" w:type="pct"/>
            <w:vAlign w:val="bottom"/>
          </w:tcPr>
          <w:p w:rsidR="00985E92" w:rsidRPr="00985E92" w:rsidP="00985E92" w14:paraId="5B4C8A80" w14:textId="77777777">
            <w:pPr>
              <w:spacing w:after="120" w:line="240" w:lineRule="auto"/>
              <w:jc w:val="left"/>
              <w:rPr>
                <w:b/>
                <w:bCs/>
                <w:rtl/>
              </w:rPr>
            </w:pPr>
          </w:p>
        </w:tc>
        <w:tc>
          <w:tcPr>
            <w:tcW w:w="1170" w:type="pct"/>
            <w:tcBorders>
              <w:bottom w:val="single" w:sz="12" w:space="0" w:color="000000" w:themeColor="text1"/>
            </w:tcBorders>
            <w:vAlign w:val="bottom"/>
          </w:tcPr>
          <w:p w:rsidR="00985E92" w:rsidRPr="00985E92" w:rsidP="00985E92" w14:paraId="226A2E50" w14:textId="46E2B1BB">
            <w:pPr>
              <w:spacing w:after="60" w:line="192" w:lineRule="auto"/>
              <w:jc w:val="left"/>
              <w:rPr>
                <w:rFonts w:ascii="Tahoma" w:hAnsi="Tahoma" w:eastAsiaTheme="minorEastAsia" w:cs="Tahoma"/>
                <w:b/>
                <w:bCs/>
                <w:color w:val="0D0D0D" w:themeColor="text1" w:themeTint="F2"/>
                <w:spacing w:val="-10"/>
                <w:sz w:val="36"/>
                <w:szCs w:val="36"/>
                <w:rtl/>
              </w:rPr>
            </w:pPr>
            <w:r w:rsidRPr="00985E92">
              <w:rPr>
                <w:rFonts w:ascii="Tahoma" w:hAnsi="Tahoma" w:cs="Tahoma" w:hint="cs"/>
                <w:b/>
                <w:bCs/>
                <w:spacing w:val="-10"/>
                <w:sz w:val="36"/>
                <w:szCs w:val="36"/>
                <w:rtl/>
              </w:rPr>
              <w:t>8</w:t>
            </w:r>
          </w:p>
        </w:tc>
        <w:tc>
          <w:tcPr>
            <w:tcW w:w="184" w:type="pct"/>
            <w:vAlign w:val="bottom"/>
          </w:tcPr>
          <w:p w:rsidR="00985E92" w:rsidRPr="00985E92" w:rsidP="00985E92" w14:paraId="5E7F766C" w14:textId="77777777">
            <w:pPr>
              <w:spacing w:after="60" w:line="240" w:lineRule="auto"/>
              <w:jc w:val="left"/>
              <w:rPr>
                <w:rFonts w:ascii="Tahoma" w:hAnsi="Tahoma" w:eastAsiaTheme="minorEastAsia" w:cs="Tahoma"/>
                <w:b/>
                <w:bCs/>
                <w:color w:val="0D0D0D" w:themeColor="text1" w:themeTint="F2"/>
                <w:spacing w:val="-10"/>
                <w:sz w:val="36"/>
                <w:szCs w:val="36"/>
                <w:rtl/>
              </w:rPr>
            </w:pPr>
          </w:p>
        </w:tc>
        <w:tc>
          <w:tcPr>
            <w:tcW w:w="1090" w:type="pct"/>
            <w:tcBorders>
              <w:bottom w:val="single" w:sz="12" w:space="0" w:color="000000" w:themeColor="text1"/>
            </w:tcBorders>
            <w:vAlign w:val="bottom"/>
          </w:tcPr>
          <w:p w:rsidR="00985E92" w:rsidRPr="00985E92" w:rsidP="00985E92" w14:paraId="5AEEF263" w14:textId="1EA4CFA5">
            <w:pPr>
              <w:spacing w:after="60" w:line="240" w:lineRule="auto"/>
              <w:jc w:val="left"/>
              <w:rPr>
                <w:rFonts w:ascii="Tahoma" w:hAnsi="Tahoma" w:eastAsiaTheme="minorEastAsia" w:cs="Tahoma"/>
                <w:b/>
                <w:bCs/>
                <w:color w:val="0D0D0D" w:themeColor="text1" w:themeTint="F2"/>
                <w:spacing w:val="-10"/>
                <w:sz w:val="36"/>
                <w:szCs w:val="36"/>
                <w:rtl/>
              </w:rPr>
            </w:pPr>
            <w:r w:rsidRPr="00985E92">
              <w:rPr>
                <w:rFonts w:ascii="Tahoma" w:hAnsi="Tahoma" w:cs="Tahoma" w:hint="cs"/>
                <w:b/>
                <w:bCs/>
                <w:spacing w:val="-10"/>
                <w:sz w:val="26"/>
                <w:szCs w:val="26"/>
                <w:rtl/>
              </w:rPr>
              <w:t>כ-</w:t>
            </w:r>
            <w:r w:rsidRPr="00985E92">
              <w:rPr>
                <w:rFonts w:ascii="Tahoma" w:hAnsi="Tahoma" w:cs="Tahoma" w:hint="cs"/>
                <w:b/>
                <w:bCs/>
                <w:spacing w:val="-10"/>
                <w:sz w:val="36"/>
                <w:szCs w:val="36"/>
                <w:rtl/>
              </w:rPr>
              <w:t>25%</w:t>
            </w:r>
          </w:p>
        </w:tc>
      </w:tr>
      <w:tr w14:paraId="54154FA5" w14:textId="77777777" w:rsidTr="00985E92">
        <w:tblPrEx>
          <w:tblW w:w="4936" w:type="pct"/>
          <w:tblLook w:val="04A0"/>
        </w:tblPrEx>
        <w:tc>
          <w:tcPr>
            <w:tcW w:w="1018" w:type="pct"/>
            <w:tcBorders>
              <w:top w:val="single" w:sz="12" w:space="0" w:color="000000" w:themeColor="text1"/>
            </w:tcBorders>
          </w:tcPr>
          <w:p w:rsidR="00985E92" w:rsidRPr="004562F8" w:rsidP="00985E92" w14:paraId="6DB67748" w14:textId="1A1C4B21">
            <w:pPr>
              <w:pStyle w:val="732021"/>
              <w:spacing w:before="0" w:after="0" w:line="240" w:lineRule="auto"/>
              <w:rPr>
                <w:rtl/>
              </w:rPr>
            </w:pPr>
            <w:r w:rsidRPr="00EC0F36">
              <w:rPr>
                <w:rtl/>
              </w:rPr>
              <w:t>משטח</w:t>
            </w:r>
            <w:r>
              <w:rPr>
                <w:rFonts w:hint="cs"/>
                <w:rtl/>
              </w:rPr>
              <w:t xml:space="preserve"> </w:t>
            </w:r>
            <w:r w:rsidRPr="00AA5170" w:rsidR="00AA5170">
              <w:rPr>
                <w:rtl/>
              </w:rPr>
              <w:t>ים</w:t>
            </w:r>
            <w:r w:rsidRPr="00AA5170" w:rsidR="00AA5170">
              <w:rPr>
                <w:rFonts w:hint="cs"/>
                <w:rtl/>
              </w:rPr>
              <w:t xml:space="preserve"> </w:t>
            </w:r>
            <w:r w:rsidRPr="007B4E92">
              <w:rPr>
                <w:rFonts w:hint="cs"/>
                <w:rtl/>
              </w:rPr>
              <w:t xml:space="preserve">המלח התייבש מאז חוקק חוק הזיכיון </w:t>
            </w:r>
            <w:r w:rsidRPr="00AA5170" w:rsidR="00AA5170">
              <w:rPr>
                <w:rtl/>
              </w:rPr>
              <w:t>ועל חלקים ממנו</w:t>
            </w:r>
            <w:r w:rsidRPr="00AA5170" w:rsidR="00AA5170">
              <w:rPr>
                <w:rFonts w:hint="cs"/>
                <w:rtl/>
              </w:rPr>
              <w:t xml:space="preserve"> </w:t>
            </w:r>
            <w:r w:rsidRPr="007B4E92">
              <w:rPr>
                <w:rFonts w:hint="cs"/>
                <w:rtl/>
              </w:rPr>
              <w:t xml:space="preserve">הוקמו בריכות אידוי ומתקנים נוספים, </w:t>
            </w:r>
            <w:r w:rsidRPr="007B4E92">
              <w:rPr>
                <w:rFonts w:hint="cs"/>
                <w:rtl/>
              </w:rPr>
              <w:t>שרמ"י</w:t>
            </w:r>
            <w:r w:rsidRPr="007B4E92">
              <w:rPr>
                <w:rFonts w:hint="cs"/>
                <w:rtl/>
              </w:rPr>
              <w:t xml:space="preserve"> לא בחנה את מעמדם ואת האפשרות וההצדקה לגביית תשלום בגין שימושים אלו.</w:t>
            </w:r>
          </w:p>
        </w:tc>
        <w:tc>
          <w:tcPr>
            <w:tcW w:w="168" w:type="pct"/>
          </w:tcPr>
          <w:p w:rsidR="00985E92" w:rsidRPr="008D750B" w:rsidP="00985E92" w14:paraId="0C0AE598" w14:textId="77777777">
            <w:pPr>
              <w:pStyle w:val="732021"/>
              <w:spacing w:before="0" w:after="0" w:line="240" w:lineRule="auto"/>
              <w:rPr>
                <w:rtl/>
              </w:rPr>
            </w:pPr>
          </w:p>
        </w:tc>
        <w:tc>
          <w:tcPr>
            <w:tcW w:w="1208" w:type="pct"/>
            <w:tcBorders>
              <w:top w:val="single" w:sz="12" w:space="0" w:color="000000" w:themeColor="text1"/>
            </w:tcBorders>
          </w:tcPr>
          <w:p w:rsidR="00985E92" w:rsidRPr="004562F8" w:rsidP="00985E92" w14:paraId="1916A301" w14:textId="0601FFF4">
            <w:pPr>
              <w:pStyle w:val="732021"/>
              <w:spacing w:before="0" w:after="0" w:line="240" w:lineRule="auto"/>
              <w:rPr>
                <w:rtl/>
              </w:rPr>
            </w:pPr>
            <w:r w:rsidRPr="00EC0F36">
              <w:rPr>
                <w:rtl/>
              </w:rPr>
              <w:t xml:space="preserve">אומדן סכום היטל ההטמנה לשנת 2023 בגין פסולת תעשייתית של </w:t>
            </w:r>
            <w:r w:rsidRPr="00EC0F36">
              <w:rPr>
                <w:rtl/>
              </w:rPr>
              <w:t>מי"ה</w:t>
            </w:r>
            <w:r w:rsidRPr="00EC0F36">
              <w:rPr>
                <w:rtl/>
              </w:rPr>
              <w:t xml:space="preserve"> (בוצה מלחית ופסולת מלח) שהמשרד </w:t>
            </w:r>
            <w:r w:rsidRPr="00EC0F36">
              <w:rPr>
                <w:rtl/>
              </w:rPr>
              <w:t>להג"ס</w:t>
            </w:r>
            <w:r w:rsidRPr="00EC0F36">
              <w:rPr>
                <w:rtl/>
              </w:rPr>
              <w:t xml:space="preserve"> לא גבה ולא בחן את האפשרות לגבות. מדובר בהיטל סביבתי חשוב שנועד בין השאר לשמש תמריץ לצמצום הפסולת המיוצרת. יצוין כי ההיטל לא נגבה משנת 2007 (השנה שבה נכנס לתוקף התיקון לחוק שמירת הניקיון המחייב בהיטל הטמנה).</w:t>
            </w:r>
            <w:r w:rsidRPr="007B4E92">
              <w:rPr>
                <w:rFonts w:hint="cs"/>
                <w:rtl/>
              </w:rPr>
              <w:t xml:space="preserve"> </w:t>
            </w:r>
          </w:p>
        </w:tc>
        <w:tc>
          <w:tcPr>
            <w:tcW w:w="162" w:type="pct"/>
          </w:tcPr>
          <w:p w:rsidR="00985E92" w:rsidP="00985E92" w14:paraId="14782C57" w14:textId="77777777">
            <w:pPr>
              <w:pStyle w:val="732021"/>
              <w:spacing w:before="0" w:after="0" w:line="240" w:lineRule="auto"/>
              <w:rPr>
                <w:rtl/>
              </w:rPr>
            </w:pPr>
          </w:p>
        </w:tc>
        <w:tc>
          <w:tcPr>
            <w:tcW w:w="1170" w:type="pct"/>
            <w:tcBorders>
              <w:top w:val="single" w:sz="12" w:space="0" w:color="000000" w:themeColor="text1"/>
            </w:tcBorders>
          </w:tcPr>
          <w:p w:rsidR="00985E92" w:rsidRPr="0062456C" w:rsidP="00985E92" w14:paraId="6149CA50" w14:textId="63733AA8">
            <w:pPr>
              <w:pStyle w:val="732021"/>
              <w:spacing w:before="0" w:after="0" w:line="240" w:lineRule="auto"/>
              <w:rPr>
                <w:rtl/>
              </w:rPr>
            </w:pPr>
            <w:bookmarkStart w:id="3" w:name="_Hlk174353614"/>
            <w:r w:rsidRPr="007B4E92">
              <w:rPr>
                <w:rFonts w:hint="cs"/>
                <w:rtl/>
              </w:rPr>
              <w:t>מספר אירועי הדליפה של חומרים מזהמים מקווי ההולכה בתחום הזיכיון לשמורת הטבע מדבר יהודה שאירעו מאוקטובר 2020 עד ינואר 2024</w:t>
            </w:r>
            <w:bookmarkEnd w:id="3"/>
            <w:r w:rsidRPr="007B4E92">
              <w:rPr>
                <w:rFonts w:hint="cs"/>
                <w:rtl/>
              </w:rPr>
              <w:t xml:space="preserve">. דליפות אלו גרמו לנזק אקולוגי לבעלי החיים ולצמחייה והם התבצעו מתשתיות שלגביהן המשרד </w:t>
            </w:r>
            <w:r w:rsidRPr="00AE7998" w:rsidR="00AE7998">
              <w:rPr>
                <w:rtl/>
              </w:rPr>
              <w:t>להג"ס</w:t>
            </w:r>
            <w:r w:rsidRPr="00AE7998" w:rsidR="00AE7998">
              <w:rPr>
                <w:rFonts w:hint="cs"/>
                <w:rtl/>
              </w:rPr>
              <w:t xml:space="preserve"> </w:t>
            </w:r>
            <w:r w:rsidRPr="007B4E92">
              <w:rPr>
                <w:rFonts w:hint="cs"/>
                <w:rtl/>
              </w:rPr>
              <w:t xml:space="preserve">לא קבע </w:t>
            </w:r>
            <w:r w:rsidRPr="00EC0F36" w:rsidR="00EC0F36">
              <w:rPr>
                <w:rtl/>
              </w:rPr>
              <w:t xml:space="preserve">תנאים סביבתיים ייעודיים </w:t>
            </w:r>
            <w:r w:rsidRPr="00EC0F36" w:rsidR="00EC0F36">
              <w:rPr>
                <w:rtl/>
              </w:rPr>
              <w:t>ברישין</w:t>
            </w:r>
            <w:r w:rsidRPr="00EC0F36" w:rsidR="00EC0F36">
              <w:rPr>
                <w:rtl/>
              </w:rPr>
              <w:t xml:space="preserve"> העסק</w:t>
            </w:r>
            <w:r w:rsidR="004E56E5">
              <w:rPr>
                <w:rFonts w:hint="cs"/>
                <w:rtl/>
              </w:rPr>
              <w:t>.</w:t>
            </w:r>
            <w:r w:rsidRPr="007B4E92">
              <w:rPr>
                <w:rFonts w:hint="cs"/>
                <w:rtl/>
              </w:rPr>
              <w:t xml:space="preserve"> </w:t>
            </w:r>
          </w:p>
        </w:tc>
        <w:tc>
          <w:tcPr>
            <w:tcW w:w="184" w:type="pct"/>
          </w:tcPr>
          <w:p w:rsidR="00985E92" w:rsidRPr="00C92141" w:rsidP="00985E92" w14:paraId="66E34E8E" w14:textId="77777777">
            <w:pPr>
              <w:pStyle w:val="732021"/>
              <w:spacing w:before="0" w:after="0" w:line="240" w:lineRule="auto"/>
              <w:rPr>
                <w:rtl/>
              </w:rPr>
            </w:pPr>
          </w:p>
        </w:tc>
        <w:tc>
          <w:tcPr>
            <w:tcW w:w="1090" w:type="pct"/>
            <w:tcBorders>
              <w:top w:val="single" w:sz="12" w:space="0" w:color="000000" w:themeColor="text1"/>
            </w:tcBorders>
          </w:tcPr>
          <w:p w:rsidR="00985E92" w:rsidRPr="00C92141" w:rsidP="00985E92" w14:paraId="39498237" w14:textId="1174D5D5">
            <w:pPr>
              <w:pStyle w:val="732021"/>
              <w:spacing w:before="0" w:after="0" w:line="240" w:lineRule="auto"/>
              <w:rPr>
                <w:rtl/>
              </w:rPr>
            </w:pPr>
            <w:r w:rsidRPr="00EC0F36">
              <w:rPr>
                <w:rtl/>
              </w:rPr>
              <w:t>מכמות</w:t>
            </w:r>
            <w:r>
              <w:rPr>
                <w:rFonts w:hint="cs"/>
                <w:rtl/>
              </w:rPr>
              <w:t xml:space="preserve"> </w:t>
            </w:r>
            <w:r w:rsidRPr="007B4E92">
              <w:rPr>
                <w:rFonts w:hint="cs"/>
                <w:rtl/>
              </w:rPr>
              <w:t xml:space="preserve">המים השנתית </w:t>
            </w:r>
            <w:r w:rsidRPr="007B4E92">
              <w:rPr>
                <w:rFonts w:hint="cs"/>
                <w:rtl/>
              </w:rPr>
              <w:t>שמי"ה</w:t>
            </w:r>
            <w:r w:rsidRPr="007B4E92">
              <w:rPr>
                <w:rFonts w:hint="cs"/>
                <w:rtl/>
              </w:rPr>
              <w:t xml:space="preserve"> שואבת מים המלח דולפים מבריכות האידוי שלה. כתוצאה מכך, וכדי לשמור על יכולת הייצור כך שכמות המים בכל זמן נתון </w:t>
            </w:r>
            <w:r w:rsidRPr="00AA5170" w:rsidR="00AA5170">
              <w:rPr>
                <w:rtl/>
              </w:rPr>
              <w:t>בבריכות</w:t>
            </w:r>
            <w:r w:rsidRPr="00AA5170" w:rsidR="00AA5170">
              <w:rPr>
                <w:rFonts w:hint="cs"/>
                <w:rtl/>
              </w:rPr>
              <w:t xml:space="preserve"> </w:t>
            </w:r>
            <w:r w:rsidRPr="007B4E92">
              <w:rPr>
                <w:rFonts w:hint="cs"/>
                <w:rtl/>
              </w:rPr>
              <w:t xml:space="preserve">לא תיפגע, שואבת </w:t>
            </w:r>
            <w:r w:rsidRPr="007B4E92">
              <w:rPr>
                <w:rFonts w:hint="cs"/>
                <w:rtl/>
              </w:rPr>
              <w:t>מי"ה</w:t>
            </w:r>
            <w:r w:rsidRPr="007B4E92">
              <w:rPr>
                <w:rFonts w:hint="cs"/>
                <w:rtl/>
              </w:rPr>
              <w:t xml:space="preserve"> מים בהיקף נרחב יותר מים המלח. </w:t>
            </w:r>
          </w:p>
        </w:tc>
      </w:tr>
    </w:tbl>
    <w:p w:rsidR="00420374" w:rsidP="00420374" w14:paraId="509D5AB6" w14:textId="77777777">
      <w:pPr>
        <w:pStyle w:val="7317"/>
        <w:spacing w:after="0"/>
        <w:rPr>
          <w:sz w:val="10"/>
          <w:szCs w:val="10"/>
          <w:rtl/>
        </w:rPr>
      </w:pPr>
    </w:p>
    <w:p w:rsidR="00420374" w:rsidRPr="00C62692" w:rsidP="00420374" w14:paraId="3FADD5EE" w14:textId="77777777">
      <w:pPr>
        <w:pStyle w:val="73"/>
        <w:rPr>
          <w:rtl/>
        </w:rPr>
      </w:pPr>
      <w:r w:rsidRPr="00C62692">
        <w:rPr>
          <w:rtl/>
        </w:rPr>
        <w:t>פעולות הביקורת</w:t>
      </w:r>
    </w:p>
    <w:p w:rsidR="00985E92" w:rsidRPr="000041B6" w:rsidP="00985E92" w14:paraId="221935A9" w14:textId="4B61E119">
      <w:pPr>
        <w:pStyle w:val="7317"/>
        <w:framePr w:hSpace="180" w:wrap="around" w:vAnchor="text" w:hAnchor="text" w:xAlign="center" w:y="1"/>
        <w:suppressOverlap/>
        <w:rPr>
          <w:noProof/>
          <w:rtl/>
        </w:rPr>
      </w:pPr>
      <w:r w:rsidRPr="001F3363">
        <w:rPr>
          <w:noProof/>
        </w:rPr>
        <w:drawing>
          <wp:anchor distT="0" distB="0" distL="71755" distR="71755" simplePos="0" relativeHeight="251680768" behindDoc="0" locked="0" layoutInCell="1" allowOverlap="1">
            <wp:simplePos x="0" y="0"/>
            <wp:positionH relativeFrom="column">
              <wp:posOffset>4505960</wp:posOffset>
            </wp:positionH>
            <wp:positionV relativeFrom="paragraph">
              <wp:posOffset>49860</wp:posOffset>
            </wp:positionV>
            <wp:extent cx="162000" cy="162000"/>
            <wp:effectExtent l="0" t="0" r="3175" b="3175"/>
            <wp:wrapSquare wrapText="bothSides"/>
            <wp:docPr id="25" name="תמונה 3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5" name="תמונה 33">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62000" cy="16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041B6">
        <w:rPr>
          <w:noProof/>
          <w:rtl/>
        </w:rPr>
        <w:t>בחודשים ינואר עד יוני 2024 בדק משרד מבקר המדינה את פעולותיהם של הגופים המבוקרים הנוגעים לניהול זיכיון ים המלח ולפיקוח עליו בהיבטים</w:t>
      </w:r>
      <w:r w:rsidR="00E466C8">
        <w:rPr>
          <w:rFonts w:hint="cs"/>
          <w:noProof/>
          <w:rtl/>
        </w:rPr>
        <w:t xml:space="preserve"> בתחומי </w:t>
      </w:r>
      <w:r w:rsidRPr="00AA5170" w:rsidR="00AA5170">
        <w:rPr>
          <w:noProof/>
          <w:rtl/>
        </w:rPr>
        <w:t>הסביבה והמקרקעין</w:t>
      </w:r>
      <w:r w:rsidRPr="000041B6">
        <w:rPr>
          <w:noProof/>
          <w:rtl/>
        </w:rPr>
        <w:t xml:space="preserve">, בנושאים האלה: אסדרת פעילות מי"ה באמצעות קביעת תנאים סביבתיים ברישיונות העסק; אסדרת פעילות הכרייה והחציבה של מי"ה; האסדרה והפיקוח של רמ"י על השימושים שמי"ה מבצעת בתחום הזיכיון; הטיפול במפגעי פסולת שיצרה מי"ה בתחום הזיכיון; וממשקי העבודה והעברת המידע בין מאסדרים </w:t>
      </w:r>
      <w:r w:rsidRPr="00AA5170" w:rsidR="00AA5170">
        <w:rPr>
          <w:noProof/>
          <w:rtl/>
        </w:rPr>
        <w:t>לגבי פעילות מי"ה בשטח הזיכיון.</w:t>
      </w:r>
      <w:r w:rsidRPr="000041B6">
        <w:rPr>
          <w:noProof/>
          <w:rtl/>
        </w:rPr>
        <w:t xml:space="preserve"> יצוין כי הביקורת לא בחנה את נושא אסדרת שאיבות המים מים</w:t>
      </w:r>
      <w:r w:rsidRPr="000041B6">
        <w:rPr>
          <w:rFonts w:hint="cs"/>
          <w:noProof/>
          <w:rtl/>
        </w:rPr>
        <w:t xml:space="preserve"> </w:t>
      </w:r>
      <w:r w:rsidRPr="000041B6">
        <w:rPr>
          <w:noProof/>
          <w:rtl/>
        </w:rPr>
        <w:t xml:space="preserve">המלח וקידוחי מי התהום שמי"ה מבצעת, בין השאר בשל עתירה העוסקת בסוגיית היעדר חיוב בדמי מים בגין קידוחי מי התהום של מי"ה </w:t>
      </w:r>
      <w:r w:rsidRPr="000041B6">
        <w:rPr>
          <w:rFonts w:hint="cs"/>
          <w:noProof/>
          <w:rtl/>
        </w:rPr>
        <w:t>ה</w:t>
      </w:r>
      <w:r w:rsidRPr="000041B6">
        <w:rPr>
          <w:noProof/>
          <w:rtl/>
        </w:rPr>
        <w:t>מתבררת בבג"</w:t>
      </w:r>
      <w:r w:rsidRPr="000041B6">
        <w:rPr>
          <w:rFonts w:hint="cs"/>
          <w:noProof/>
          <w:rtl/>
        </w:rPr>
        <w:t>ץ</w:t>
      </w:r>
      <w:r w:rsidRPr="000041B6">
        <w:rPr>
          <w:noProof/>
          <w:rtl/>
        </w:rPr>
        <w:t xml:space="preserve"> בימים אלה</w:t>
      </w:r>
      <w:r>
        <w:rPr>
          <w:noProof/>
          <w:vertAlign w:val="superscript"/>
          <w:rtl/>
        </w:rPr>
        <w:footnoteReference w:id="6"/>
      </w:r>
      <w:r w:rsidRPr="000041B6">
        <w:rPr>
          <w:noProof/>
          <w:rtl/>
        </w:rPr>
        <w:t xml:space="preserve">. </w:t>
      </w:r>
    </w:p>
    <w:p w:rsidR="00EB672B" w:rsidP="00985E92" w14:paraId="21608E70" w14:textId="7552240E">
      <w:pPr>
        <w:pStyle w:val="7317"/>
        <w:rPr>
          <w:rtl/>
        </w:rPr>
      </w:pPr>
      <w:r w:rsidRPr="000041B6">
        <w:rPr>
          <w:noProof/>
          <w:rtl/>
        </w:rPr>
        <w:t>הביקורת נעשתה במשרד האוצר, במשרד להג"ס, במשרד האנרגייה</w:t>
      </w:r>
      <w:r w:rsidRPr="000041B6">
        <w:rPr>
          <w:rFonts w:hint="cs"/>
          <w:noProof/>
          <w:rtl/>
        </w:rPr>
        <w:t xml:space="preserve"> והתשתיות</w:t>
      </w:r>
      <w:r w:rsidR="00720F65">
        <w:rPr>
          <w:rFonts w:hint="cs"/>
          <w:noProof/>
          <w:rtl/>
        </w:rPr>
        <w:t xml:space="preserve"> </w:t>
      </w:r>
      <w:r w:rsidRPr="00720F65" w:rsidR="00720F65">
        <w:rPr>
          <w:noProof/>
          <w:rtl/>
        </w:rPr>
        <w:t>(משרד האנרגייה)</w:t>
      </w:r>
      <w:r w:rsidRPr="000041B6">
        <w:rPr>
          <w:noProof/>
          <w:rtl/>
        </w:rPr>
        <w:t xml:space="preserve">, ברמ"י, במועצה האזורית תמר, ביחידה הסביבתית נגב מזרחי (יח"ס נגב מזרחי) </w:t>
      </w:r>
      <w:r w:rsidRPr="000041B6">
        <w:rPr>
          <w:noProof/>
          <w:rtl/>
        </w:rPr>
        <w:t xml:space="preserve">וברשות הטבע והגנים (רט"ג). בדיקות השלמה נעשו </w:t>
      </w:r>
      <w:r w:rsidRPr="000041B6">
        <w:rPr>
          <w:rFonts w:hint="cs"/>
          <w:noProof/>
          <w:rtl/>
        </w:rPr>
        <w:t xml:space="preserve">במשרד המשפטים, במשרד הכלכלה והתעשייה, </w:t>
      </w:r>
      <w:r w:rsidRPr="000041B6">
        <w:rPr>
          <w:noProof/>
          <w:rtl/>
        </w:rPr>
        <w:t>ברשות הממשלתית למים ולביוב</w:t>
      </w:r>
      <w:r w:rsidR="00332442">
        <w:rPr>
          <w:rFonts w:hint="cs"/>
          <w:noProof/>
          <w:rtl/>
        </w:rPr>
        <w:t xml:space="preserve"> </w:t>
      </w:r>
      <w:r w:rsidRPr="00332442" w:rsidR="00332442">
        <w:rPr>
          <w:noProof/>
          <w:rtl/>
        </w:rPr>
        <w:t>(רשות המים)</w:t>
      </w:r>
      <w:r w:rsidRPr="000041B6">
        <w:rPr>
          <w:noProof/>
          <w:rtl/>
        </w:rPr>
        <w:t>, ברשות ניקוז ים המלח</w:t>
      </w:r>
      <w:r w:rsidRPr="000041B6">
        <w:rPr>
          <w:rFonts w:hint="cs"/>
          <w:noProof/>
          <w:rtl/>
        </w:rPr>
        <w:t>,</w:t>
      </w:r>
      <w:r w:rsidRPr="000041B6">
        <w:rPr>
          <w:noProof/>
          <w:rtl/>
        </w:rPr>
        <w:t xml:space="preserve"> </w:t>
      </w:r>
      <w:r w:rsidRPr="000041B6">
        <w:rPr>
          <w:rFonts w:hint="cs"/>
          <w:noProof/>
          <w:rtl/>
        </w:rPr>
        <w:t>בוועדה הארצית לתכנון ובני</w:t>
      </w:r>
      <w:r w:rsidR="00625237">
        <w:rPr>
          <w:rFonts w:hint="cs"/>
          <w:noProof/>
          <w:rtl/>
        </w:rPr>
        <w:t>י</w:t>
      </w:r>
      <w:r w:rsidRPr="000041B6">
        <w:rPr>
          <w:rFonts w:hint="cs"/>
          <w:noProof/>
          <w:rtl/>
        </w:rPr>
        <w:t xml:space="preserve">ה של תשתיות לאומיות (ות"ל), </w:t>
      </w:r>
      <w:r w:rsidRPr="000041B6">
        <w:rPr>
          <w:noProof/>
          <w:rtl/>
        </w:rPr>
        <w:t>ובקרן לשיקום מחצבות</w:t>
      </w:r>
      <w:r>
        <w:rPr>
          <w:rFonts w:hint="cs"/>
          <w:rtl/>
        </w:rPr>
        <w:t>.</w:t>
      </w:r>
      <w:r w:rsidRPr="001F3363">
        <w:rPr>
          <w:rFonts w:hint="cs"/>
          <w:rtl/>
        </w:rPr>
        <w:t xml:space="preserve"> </w:t>
      </w:r>
    </w:p>
    <w:p w:rsidR="00EB672B" w:rsidP="00EB672B" w14:paraId="104516F6" w14:textId="77777777">
      <w:pPr>
        <w:pStyle w:val="73"/>
        <w:rPr>
          <w:rtl/>
        </w:rPr>
      </w:pPr>
      <w:r w:rsidRPr="00275281">
        <w:rPr>
          <w:rFonts w:hint="cs"/>
          <w:rtl/>
        </w:rPr>
        <w:t>תמונת המצב העולה מן הביקורת</w:t>
      </w:r>
    </w:p>
    <w:p w:rsidR="00985E92" w:rsidRPr="000041B6" w:rsidP="00985E92" w14:paraId="72CAC2A0" w14:textId="77777777">
      <w:pPr>
        <w:pStyle w:val="73512"/>
        <w:spacing w:after="360"/>
        <w:rPr>
          <w:rtl/>
        </w:rPr>
      </w:pPr>
      <w:r w:rsidRPr="000041B6">
        <w:rPr>
          <w:rFonts w:hint="eastAsia"/>
          <w:rtl/>
        </w:rPr>
        <w:t>אסדרת</w:t>
      </w:r>
      <w:r w:rsidRPr="000041B6">
        <w:rPr>
          <w:rtl/>
        </w:rPr>
        <w:t xml:space="preserve"> פעילות </w:t>
      </w:r>
      <w:r w:rsidRPr="000041B6">
        <w:rPr>
          <w:rFonts w:hint="eastAsia"/>
          <w:rtl/>
        </w:rPr>
        <w:t>מי</w:t>
      </w:r>
      <w:r w:rsidRPr="000041B6">
        <w:rPr>
          <w:rtl/>
        </w:rPr>
        <w:t>"ה</w:t>
      </w:r>
      <w:r w:rsidRPr="000041B6">
        <w:rPr>
          <w:rtl/>
        </w:rPr>
        <w:t xml:space="preserve"> באמצעות קביעת תנאים </w:t>
      </w:r>
      <w:r w:rsidRPr="000041B6">
        <w:rPr>
          <w:rFonts w:hint="cs"/>
          <w:rtl/>
        </w:rPr>
        <w:t xml:space="preserve">סביבתיים </w:t>
      </w:r>
      <w:r w:rsidRPr="000041B6">
        <w:rPr>
          <w:rtl/>
        </w:rPr>
        <w:t>ברישיון העסק</w:t>
      </w:r>
    </w:p>
    <w:p w:rsidR="00EB672B" w:rsidRPr="00CF6518" w:rsidP="00EB672B" w14:paraId="458E9EA7" w14:textId="1F7DC4A4">
      <w:pPr>
        <w:spacing w:after="240"/>
        <w:rPr>
          <w:rtl/>
        </w:rPr>
      </w:pPr>
      <w:r w:rsidRPr="00625237">
        <w:rPr>
          <w:rStyle w:val="7372"/>
          <w:rFonts w:hint="cs"/>
          <w:bCs w:val="0"/>
          <w:noProof/>
          <w:color w:val="auto"/>
          <w:rtl/>
        </w:rPr>
        <w:drawing>
          <wp:anchor distT="0" distB="0" distL="71755" distR="0" simplePos="0" relativeHeight="251688960" behindDoc="1" locked="0" layoutInCell="1" allowOverlap="1">
            <wp:simplePos x="0" y="0"/>
            <wp:positionH relativeFrom="column">
              <wp:posOffset>4549140</wp:posOffset>
            </wp:positionH>
            <wp:positionV relativeFrom="paragraph">
              <wp:posOffset>376083</wp:posOffset>
            </wp:positionV>
            <wp:extent cx="161925" cy="161925"/>
            <wp:effectExtent l="0" t="0" r="3175" b="3175"/>
            <wp:wrapTight wrapText="bothSides">
              <wp:wrapPolygon>
                <wp:start x="0" y="0"/>
                <wp:lineTo x="0" y="15247"/>
                <wp:lineTo x="5082" y="20329"/>
                <wp:lineTo x="16941" y="20329"/>
                <wp:lineTo x="20329" y="15247"/>
                <wp:lineTo x="20329" y="0"/>
                <wp:lineTo x="0" y="0"/>
              </wp:wrapPolygon>
            </wp:wrapTight>
            <wp:docPr id="17"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14:sizeRelH relativeFrom="margin">
              <wp14:pctWidth>0</wp14:pctWidth>
            </wp14:sizeRelH>
            <wp14:sizeRelV relativeFrom="margin">
              <wp14:pctHeight>0</wp14:pctHeight>
            </wp14:sizeRelV>
          </wp:anchor>
        </w:drawing>
      </w:r>
      <w:r>
        <w:rPr>
          <w:noProof/>
          <w:rtl/>
          <w:lang w:val="he-IL"/>
        </w:rPr>
        <w:drawing>
          <wp:inline distT="0" distB="0" distL="0" distR="0">
            <wp:extent cx="1981200" cy="190500"/>
            <wp:effectExtent l="0" t="0" r="0" b="0"/>
            <wp:docPr id="1310143038" name="תמונה 4" descr="ליקויים">
              <a:extLst xmlns:a="http://schemas.openxmlformats.org/drawingml/2006/main">
                <a:ext xmlns:a="http://schemas.openxmlformats.org/drawingml/2006/main"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143038" name="תמונה 4" descr="ליקויים">
                      <a:extLst>
                        <a:ext xmlns:a="http://schemas.openxmlformats.org/drawingml/2006/main" uri="{C183D7F6-B498-43B3-948B-1728B52AA6E4}">
                          <adec:decorative xmlns:adec="http://schemas.microsoft.com/office/drawing/2017/decorative" val="0"/>
                        </a:ext>
                      </a:extLst>
                    </pic:cNvPr>
                    <pic:cNvPicPr/>
                  </pic:nvPicPr>
                  <pic:blipFill>
                    <a:blip xmlns:r="http://schemas.openxmlformats.org/officeDocument/2006/relationships" r:embed="rId24" cstate="print">
                      <a:extLst>
                        <a:ext xmlns:a="http://schemas.openxmlformats.org/drawingml/2006/main" uri="{28A0092B-C50C-407E-A947-70E740481C1C}">
                          <a14:useLocalDpi xmlns:a14="http://schemas.microsoft.com/office/drawing/2010/main" val="0"/>
                        </a:ext>
                      </a:extLst>
                    </a:blip>
                    <a:stretch>
                      <a:fillRect/>
                    </a:stretch>
                  </pic:blipFill>
                  <pic:spPr>
                    <a:xfrm>
                      <a:off x="0" y="0"/>
                      <a:ext cx="1981200" cy="190500"/>
                    </a:xfrm>
                    <a:prstGeom prst="rect">
                      <a:avLst/>
                    </a:prstGeom>
                  </pic:spPr>
                </pic:pic>
              </a:graphicData>
            </a:graphic>
          </wp:inline>
        </w:drawing>
      </w:r>
    </w:p>
    <w:p w:rsidR="00985E92" w:rsidRPr="00625237" w:rsidP="00985E92" w14:paraId="6EAE54B8" w14:textId="752ECD10">
      <w:pPr>
        <w:pStyle w:val="73B"/>
        <w:rPr>
          <w:sz w:val="18"/>
          <w:szCs w:val="18"/>
        </w:rPr>
      </w:pPr>
      <w:bookmarkStart w:id="4" w:name="_Toc170709948"/>
      <w:bookmarkStart w:id="5" w:name="_Toc171509537"/>
      <w:r w:rsidRPr="00625237">
        <w:rPr>
          <w:rFonts w:hint="cs"/>
          <w:sz w:val="18"/>
          <w:szCs w:val="18"/>
          <w:rtl/>
        </w:rPr>
        <w:t>אסדרה חלקית של תנאים סביבתיים ברישיונות עסק בתוך שטח המפעלים</w:t>
      </w:r>
      <w:bookmarkEnd w:id="4"/>
      <w:bookmarkEnd w:id="5"/>
      <w:r w:rsidRPr="00625237">
        <w:rPr>
          <w:rFonts w:hint="cs"/>
          <w:sz w:val="18"/>
          <w:szCs w:val="18"/>
          <w:rtl/>
        </w:rPr>
        <w:t xml:space="preserve"> </w:t>
      </w:r>
    </w:p>
    <w:p w:rsidR="00985E92" w:rsidRPr="000041B6" w:rsidP="002B4A75" w14:paraId="30F5024B" w14:textId="411B82C4">
      <w:pPr>
        <w:pStyle w:val="7317"/>
        <w:numPr>
          <w:ilvl w:val="0"/>
          <w:numId w:val="10"/>
        </w:numPr>
      </w:pPr>
      <w:r w:rsidRPr="00985E92">
        <w:rPr>
          <w:rStyle w:val="7371"/>
          <w:rFonts w:hint="cs"/>
          <w:rtl/>
        </w:rPr>
        <w:t>התנאים הסביבתיים להפעלת מפעלי הברום והאשלג -</w:t>
      </w:r>
      <w:r w:rsidRPr="000041B6">
        <w:rPr>
          <w:rFonts w:hint="cs"/>
          <w:rtl/>
        </w:rPr>
        <w:t xml:space="preserve"> המשרד </w:t>
      </w:r>
      <w:r w:rsidRPr="000041B6">
        <w:rPr>
          <w:rFonts w:hint="cs"/>
          <w:rtl/>
        </w:rPr>
        <w:t>להג"ס</w:t>
      </w:r>
      <w:r w:rsidRPr="000041B6">
        <w:rPr>
          <w:rFonts w:hint="cs"/>
          <w:rtl/>
        </w:rPr>
        <w:t xml:space="preserve"> לא עדכן את התנאים הסביבתיים ברישיון העסק של </w:t>
      </w:r>
      <w:hyperlink r:id="rId25" w:history="1">
        <w:r w:rsidRPr="000041B6">
          <w:rPr>
            <w:rFonts w:hint="cs"/>
            <w:rtl/>
          </w:rPr>
          <w:t>מפעל הברום</w:t>
        </w:r>
      </w:hyperlink>
      <w:r w:rsidRPr="000041B6">
        <w:rPr>
          <w:rFonts w:hint="cs"/>
          <w:rtl/>
        </w:rPr>
        <w:t xml:space="preserve"> במשך </w:t>
      </w:r>
      <w:r w:rsidRPr="00332442" w:rsidR="00332442">
        <w:rPr>
          <w:rtl/>
        </w:rPr>
        <w:t>כ-25</w:t>
      </w:r>
      <w:r w:rsidRPr="00332442" w:rsidR="00332442">
        <w:rPr>
          <w:rFonts w:hint="cs"/>
          <w:rtl/>
        </w:rPr>
        <w:t xml:space="preserve"> </w:t>
      </w:r>
      <w:r w:rsidRPr="000041B6">
        <w:rPr>
          <w:rFonts w:hint="cs"/>
          <w:rtl/>
        </w:rPr>
        <w:t>שנה; וכן הוא לא עדכן את התנאים הסביבתיים ברישיון העסק של מפעל האשלג במשך כ-15 שנה</w:t>
      </w:r>
      <w:r w:rsidRPr="007A2D31" w:rsidR="007A2D31">
        <w:rPr>
          <w:rtl/>
        </w:rPr>
        <w:t>,</w:t>
      </w:r>
      <w:r w:rsidR="007A2D31">
        <w:rPr>
          <w:rFonts w:hint="cs"/>
          <w:rtl/>
        </w:rPr>
        <w:t xml:space="preserve"> </w:t>
      </w:r>
      <w:r w:rsidRPr="007A2D31" w:rsidR="007A2D31">
        <w:rPr>
          <w:rtl/>
        </w:rPr>
        <w:t>למעט עדכון נקודתי בעקבות כניסתו לתוקף של חוק אוויר נקי</w:t>
      </w:r>
      <w:r w:rsidRPr="000041B6">
        <w:rPr>
          <w:rFonts w:hint="cs"/>
          <w:rtl/>
        </w:rPr>
        <w:t xml:space="preserve">. מדובר בתנאים ישנים, חסרים ומצומצמים לעומת התנאים שהוא קבע למפעלים </w:t>
      </w:r>
      <w:hyperlink r:id="rId26" w:history="1">
        <w:r w:rsidRPr="000041B6">
          <w:rPr>
            <w:rFonts w:hint="cs"/>
            <w:rtl/>
          </w:rPr>
          <w:t>דומים אחרים</w:t>
        </w:r>
      </w:hyperlink>
      <w:r w:rsidRPr="000041B6">
        <w:rPr>
          <w:rFonts w:hint="cs"/>
          <w:rtl/>
        </w:rPr>
        <w:t xml:space="preserve">, אשר אינם מתייחסים להיבטים סביבתיים רבים. כך לדוגמה, המשרד </w:t>
      </w:r>
      <w:r w:rsidRPr="000041B6">
        <w:rPr>
          <w:rFonts w:hint="cs"/>
          <w:rtl/>
        </w:rPr>
        <w:t>להג"ס</w:t>
      </w:r>
      <w:r w:rsidRPr="000041B6">
        <w:rPr>
          <w:rFonts w:hint="cs"/>
          <w:rtl/>
        </w:rPr>
        <w:t xml:space="preserve"> לא כלל </w:t>
      </w:r>
      <w:r w:rsidRPr="00332442" w:rsidR="00332442">
        <w:rPr>
          <w:rtl/>
        </w:rPr>
        <w:t>בתנאי רישיון העסק של מפעל הברום</w:t>
      </w:r>
      <w:r w:rsidRPr="00332442" w:rsidR="00332442">
        <w:rPr>
          <w:rFonts w:hint="cs"/>
          <w:rtl/>
        </w:rPr>
        <w:t xml:space="preserve"> </w:t>
      </w:r>
      <w:r w:rsidRPr="000041B6">
        <w:rPr>
          <w:rFonts w:hint="cs"/>
          <w:rtl/>
        </w:rPr>
        <w:t xml:space="preserve">התייחסות לטיפול בשפכי המפעל ובמפגעי אסבסט. </w:t>
      </w:r>
      <w:bookmarkStart w:id="6" w:name="_Hlk191210791"/>
    </w:p>
    <w:bookmarkEnd w:id="6"/>
    <w:p w:rsidR="00985E92" w:rsidRPr="000041B6" w:rsidP="002B4A75" w14:paraId="4265BD01" w14:textId="4A042F6E">
      <w:pPr>
        <w:pStyle w:val="7317"/>
        <w:numPr>
          <w:ilvl w:val="0"/>
          <w:numId w:val="10"/>
        </w:numPr>
        <w:rPr>
          <w:rtl/>
        </w:rPr>
      </w:pPr>
      <w:r w:rsidRPr="00985E92">
        <w:rPr>
          <w:rStyle w:val="7371"/>
          <w:rFonts w:hint="cs"/>
          <w:rtl/>
        </w:rPr>
        <w:t>התנאים הסביבתיים להפעלת תחנת הכוח החדשה במפעל האשלג -</w:t>
      </w:r>
      <w:r w:rsidRPr="000041B6">
        <w:rPr>
          <w:rFonts w:hint="cs"/>
          <w:rtl/>
        </w:rPr>
        <w:t xml:space="preserve"> המשרד </w:t>
      </w:r>
      <w:r w:rsidRPr="000041B6">
        <w:rPr>
          <w:rFonts w:hint="cs"/>
          <w:rtl/>
        </w:rPr>
        <w:t>להג"ס</w:t>
      </w:r>
      <w:r w:rsidRPr="000041B6">
        <w:rPr>
          <w:rFonts w:hint="cs"/>
          <w:rtl/>
        </w:rPr>
        <w:t xml:space="preserve"> לא קבע תנאים סביבתיים ייעודיים בנוגע לתחנת הכוח החדשה במסגרת רישיון העסק של מפעל האשלג, בו היא פועלת. זאת, חרף העובדה שבמסגרת התנאים שנקבעו ברישיון העסק של מפעל האשלג משנת 2009 ציין המשרד </w:t>
      </w:r>
      <w:r w:rsidRPr="000041B6">
        <w:rPr>
          <w:rFonts w:hint="cs"/>
          <w:rtl/>
        </w:rPr>
        <w:t>להג"ס</w:t>
      </w:r>
      <w:r w:rsidRPr="000041B6">
        <w:rPr>
          <w:rFonts w:hint="cs"/>
          <w:rtl/>
        </w:rPr>
        <w:t xml:space="preserve"> כי "לתחנת </w:t>
      </w:r>
      <w:r w:rsidRPr="000041B6">
        <w:rPr>
          <w:rFonts w:hint="cs"/>
          <w:rtl/>
        </w:rPr>
        <w:t>הכח</w:t>
      </w:r>
      <w:r w:rsidRPr="000041B6">
        <w:rPr>
          <w:rFonts w:hint="cs"/>
          <w:rtl/>
        </w:rPr>
        <w:t xml:space="preserve"> המתוכננת [החדשה] יוצאו תנאים נוספים בנפרד". המועצה האזורית</w:t>
      </w:r>
      <w:r w:rsidR="00FB79B9">
        <w:rPr>
          <w:rFonts w:hint="cs"/>
          <w:rtl/>
        </w:rPr>
        <w:t xml:space="preserve"> </w:t>
      </w:r>
      <w:r w:rsidRPr="00FB79B9" w:rsidR="00FB79B9">
        <w:rPr>
          <w:rtl/>
        </w:rPr>
        <w:t>תמר</w:t>
      </w:r>
      <w:r w:rsidRPr="000041B6">
        <w:rPr>
          <w:rFonts w:hint="cs"/>
          <w:rtl/>
        </w:rPr>
        <w:t xml:space="preserve"> נשענה על חוות דעת של </w:t>
      </w:r>
      <w:r w:rsidRPr="000041B6">
        <w:rPr>
          <w:rFonts w:hint="cs"/>
          <w:rtl/>
        </w:rPr>
        <w:t>מי"ה</w:t>
      </w:r>
      <w:r w:rsidRPr="000041B6">
        <w:rPr>
          <w:rFonts w:hint="cs"/>
          <w:rtl/>
        </w:rPr>
        <w:t xml:space="preserve"> ולפיה רישיון העסק של תחנת הכוח הישנה שפועלת במפעל זה שנים, תקף גם לגבי תחנת הכוח החדשה, ללא שנמצא כי המועצה בחנה את הנושא על ידי מי מטעמה. </w:t>
      </w:r>
    </w:p>
    <w:p w:rsidR="00EB672B" w:rsidRPr="00AF3B73" w:rsidP="00EB672B" w14:paraId="61697365" w14:textId="7D1408CC">
      <w:pPr>
        <w:pStyle w:val="7317"/>
      </w:pPr>
      <w:r w:rsidRPr="00985E92">
        <w:rPr>
          <w:rStyle w:val="7371"/>
          <w:rFonts w:hint="cs"/>
          <w:noProof/>
          <w:rtl/>
        </w:rPr>
        <w:drawing>
          <wp:anchor distT="0" distB="0" distL="114300" distR="114300" simplePos="0" relativeHeight="251689984"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19"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bookmarkStart w:id="7" w:name="_Toc170709947"/>
      <w:bookmarkStart w:id="8" w:name="_Toc171509536"/>
      <w:r w:rsidRPr="00985E92" w:rsidR="00985E92">
        <w:rPr>
          <w:rStyle w:val="7371"/>
          <w:rFonts w:hint="cs"/>
          <w:rtl/>
        </w:rPr>
        <w:t xml:space="preserve">ליקויים באסדרה הסביבתית באמצעות רישיון עסק בנוגע לפעילויות התעשייתיות של </w:t>
      </w:r>
      <w:r w:rsidRPr="00985E92" w:rsidR="00985E92">
        <w:rPr>
          <w:rStyle w:val="7371"/>
          <w:rFonts w:hint="cs"/>
          <w:rtl/>
        </w:rPr>
        <w:t>מי"ה</w:t>
      </w:r>
      <w:r w:rsidRPr="00985E92" w:rsidR="00985E92">
        <w:rPr>
          <w:rStyle w:val="7371"/>
          <w:rFonts w:hint="cs"/>
          <w:rtl/>
        </w:rPr>
        <w:t xml:space="preserve"> מחוץ לשטח המפעלים</w:t>
      </w:r>
      <w:bookmarkEnd w:id="7"/>
      <w:bookmarkEnd w:id="8"/>
      <w:r w:rsidRPr="00985E92" w:rsidR="00985E92">
        <w:rPr>
          <w:rStyle w:val="7371"/>
          <w:rFonts w:hint="cs"/>
          <w:rtl/>
        </w:rPr>
        <w:t xml:space="preserve"> -</w:t>
      </w:r>
      <w:r w:rsidRPr="000041B6" w:rsidR="00985E92">
        <w:rPr>
          <w:rFonts w:hint="cs"/>
          <w:rtl/>
        </w:rPr>
        <w:t xml:space="preserve"> </w:t>
      </w:r>
      <w:r w:rsidRPr="000041B6" w:rsidR="00985E92">
        <w:rPr>
          <w:rFonts w:hint="eastAsia"/>
          <w:rtl/>
        </w:rPr>
        <w:t>נמצא</w:t>
      </w:r>
      <w:r w:rsidRPr="000041B6" w:rsidR="00985E92">
        <w:rPr>
          <w:rtl/>
        </w:rPr>
        <w:t xml:space="preserve"> כי משנת 1995, כאשר נקבע הסדר ייחודי </w:t>
      </w:r>
      <w:r w:rsidRPr="000041B6" w:rsidR="00985E92">
        <w:rPr>
          <w:rtl/>
        </w:rPr>
        <w:t>למי"ה</w:t>
      </w:r>
      <w:r w:rsidRPr="000041B6" w:rsidR="00985E92">
        <w:rPr>
          <w:rtl/>
        </w:rPr>
        <w:t xml:space="preserve"> בחוק רישוי עסקים המבהיר את סמכות הרשות המקומית והמשרד </w:t>
      </w:r>
      <w:r w:rsidRPr="000041B6" w:rsidR="00985E92">
        <w:rPr>
          <w:rtl/>
        </w:rPr>
        <w:t>להג"ס</w:t>
      </w:r>
      <w:r w:rsidRPr="000041B6" w:rsidR="00985E92">
        <w:rPr>
          <w:rtl/>
        </w:rPr>
        <w:t xml:space="preserve"> לקביעת תנאים ברישיון העסק שלה, ועד למועד סיום הביקורת (יוני 2024) </w:t>
      </w:r>
      <w:r w:rsidRPr="000041B6" w:rsidR="00985E92">
        <w:rPr>
          <w:rFonts w:hint="eastAsia"/>
          <w:rtl/>
        </w:rPr>
        <w:t>המשרד</w:t>
      </w:r>
      <w:r w:rsidRPr="000041B6" w:rsidR="00985E92">
        <w:rPr>
          <w:rtl/>
        </w:rPr>
        <w:t xml:space="preserve"> </w:t>
      </w:r>
      <w:r w:rsidRPr="000041B6" w:rsidR="00985E92">
        <w:rPr>
          <w:rtl/>
        </w:rPr>
        <w:t>להג"ס</w:t>
      </w:r>
      <w:r w:rsidRPr="000041B6" w:rsidR="00985E92">
        <w:rPr>
          <w:rtl/>
        </w:rPr>
        <w:t>, האחראי למתן תנאים</w:t>
      </w:r>
      <w:r w:rsidR="00AE0451">
        <w:rPr>
          <w:rFonts w:hint="cs"/>
          <w:rtl/>
        </w:rPr>
        <w:t xml:space="preserve"> סביבתיים</w:t>
      </w:r>
      <w:r w:rsidRPr="000041B6" w:rsidR="00985E92">
        <w:rPr>
          <w:rtl/>
        </w:rPr>
        <w:t xml:space="preserve"> ברישיון עסק </w:t>
      </w:r>
      <w:r w:rsidRPr="008C3BE0" w:rsidR="008C3BE0">
        <w:rPr>
          <w:rtl/>
        </w:rPr>
        <w:t>לא הקפיד להפעיל</w:t>
      </w:r>
      <w:r w:rsidRPr="000041B6" w:rsidR="00985E92">
        <w:rPr>
          <w:rtl/>
        </w:rPr>
        <w:t xml:space="preserve"> את סמכות</w:t>
      </w:r>
      <w:r w:rsidRPr="000041B6" w:rsidR="00985E92">
        <w:rPr>
          <w:rFonts w:hint="cs"/>
          <w:rtl/>
        </w:rPr>
        <w:t>ו</w:t>
      </w:r>
      <w:r w:rsidRPr="000041B6" w:rsidR="00985E92">
        <w:rPr>
          <w:rtl/>
        </w:rPr>
        <w:t xml:space="preserve"> בנוגע לפעילות שביצעה </w:t>
      </w:r>
      <w:r w:rsidRPr="000041B6" w:rsidR="00985E92">
        <w:rPr>
          <w:rtl/>
        </w:rPr>
        <w:t>מי"ה</w:t>
      </w:r>
      <w:r w:rsidRPr="000041B6" w:rsidR="00985E92">
        <w:rPr>
          <w:rtl/>
        </w:rPr>
        <w:t xml:space="preserve"> בתחום הזיכיון מחוץ לשטח המפעלים</w:t>
      </w:r>
      <w:r w:rsidR="001E2DD8">
        <w:rPr>
          <w:rFonts w:hint="cs"/>
          <w:rtl/>
        </w:rPr>
        <w:t>,</w:t>
      </w:r>
      <w:r w:rsidRPr="000041B6" w:rsidR="00985E92">
        <w:rPr>
          <w:rFonts w:hint="cs"/>
          <w:rtl/>
        </w:rPr>
        <w:t xml:space="preserve"> </w:t>
      </w:r>
      <w:r w:rsidRPr="000041B6" w:rsidR="00985E92">
        <w:rPr>
          <w:rtl/>
        </w:rPr>
        <w:t xml:space="preserve">כך שכל פעילויות </w:t>
      </w:r>
      <w:r w:rsidRPr="000041B6" w:rsidR="00985E92">
        <w:rPr>
          <w:rtl/>
        </w:rPr>
        <w:t>מי"ה</w:t>
      </w:r>
      <w:r w:rsidRPr="000041B6" w:rsidR="00985E92">
        <w:rPr>
          <w:rtl/>
        </w:rPr>
        <w:t xml:space="preserve"> מחוץ לשטח המפעלים </w:t>
      </w:r>
      <w:r w:rsidRPr="00FB79B9" w:rsidR="00FB79B9">
        <w:rPr>
          <w:rtl/>
        </w:rPr>
        <w:t>התבצעו</w:t>
      </w:r>
      <w:r w:rsidRPr="000041B6" w:rsidR="00985E92">
        <w:rPr>
          <w:rtl/>
        </w:rPr>
        <w:t xml:space="preserve"> ללא תנאים סביבתיים</w:t>
      </w:r>
      <w:r w:rsidRPr="000041B6" w:rsidR="00985E92">
        <w:rPr>
          <w:rFonts w:hint="cs"/>
          <w:rtl/>
        </w:rPr>
        <w:t xml:space="preserve"> ייעודיים</w:t>
      </w:r>
      <w:r w:rsidR="00215051">
        <w:rPr>
          <w:rFonts w:hint="cs"/>
          <w:rtl/>
        </w:rPr>
        <w:t xml:space="preserve"> </w:t>
      </w:r>
      <w:r w:rsidRPr="00215051" w:rsidR="00215051">
        <w:rPr>
          <w:rtl/>
        </w:rPr>
        <w:t>ברישיון העסק</w:t>
      </w:r>
      <w:r w:rsidRPr="00AF3B73">
        <w:rPr>
          <w:rFonts w:hint="cs"/>
          <w:rtl/>
        </w:rPr>
        <w:t xml:space="preserve">. </w:t>
      </w:r>
    </w:p>
    <w:p w:rsidR="00985E92" w:rsidRPr="000041B6" w:rsidP="00985E92" w14:paraId="0639E096" w14:textId="57367940">
      <w:pPr>
        <w:pStyle w:val="7317"/>
      </w:pPr>
      <w:r w:rsidRPr="004E56E5">
        <w:rPr>
          <w:rStyle w:val="7372"/>
          <w:rFonts w:hint="cs"/>
          <w:noProof/>
          <w:rtl/>
        </w:rPr>
        <w:drawing>
          <wp:anchor distT="0" distB="0" distL="114300" distR="114300" simplePos="0" relativeHeight="251691008"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27"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4E56E5">
        <w:rPr>
          <w:rStyle w:val="7372"/>
          <w:rFonts w:hint="cs"/>
          <w:noProof/>
          <w:rtl/>
        </w:rPr>
        <w:t>נ</w:t>
      </w:r>
      <w:r w:rsidRPr="00985E92">
        <w:rPr>
          <w:rFonts w:hint="cs"/>
          <w:b/>
          <w:bCs/>
          <w:rtl/>
        </w:rPr>
        <w:t>זקים</w:t>
      </w:r>
      <w:r w:rsidRPr="00985E92">
        <w:rPr>
          <w:rFonts w:hint="cs"/>
          <w:b/>
          <w:bCs/>
          <w:rtl/>
        </w:rPr>
        <w:t xml:space="preserve"> סביבתיים בשטח הזיכיון שהתהוו במציאות של </w:t>
      </w:r>
      <w:r w:rsidRPr="007A2D31" w:rsidR="007A2D31">
        <w:rPr>
          <w:b/>
          <w:bCs/>
          <w:rtl/>
        </w:rPr>
        <w:t>אי-קביעת תנאים סביבתיים ייעודיים להפעלת תשתיות</w:t>
      </w:r>
      <w:r w:rsidRPr="00FB79B9" w:rsidR="00FB79B9">
        <w:rPr>
          <w:b/>
          <w:bCs/>
          <w:rtl/>
        </w:rPr>
        <w:t xml:space="preserve"> תעשייתיות</w:t>
      </w:r>
      <w:r w:rsidRPr="00985E92">
        <w:rPr>
          <w:rFonts w:hint="cs"/>
          <w:b/>
          <w:bCs/>
          <w:rtl/>
        </w:rPr>
        <w:t xml:space="preserve"> של </w:t>
      </w:r>
      <w:r w:rsidRPr="00985E92">
        <w:rPr>
          <w:rFonts w:hint="cs"/>
          <w:b/>
          <w:bCs/>
          <w:rtl/>
        </w:rPr>
        <w:t>מי"ה</w:t>
      </w:r>
      <w:r w:rsidRPr="00985E92">
        <w:rPr>
          <w:rFonts w:hint="cs"/>
          <w:b/>
          <w:bCs/>
          <w:rtl/>
        </w:rPr>
        <w:t xml:space="preserve"> </w:t>
      </w:r>
      <w:r w:rsidRPr="00985E92">
        <w:rPr>
          <w:rFonts w:hint="eastAsia"/>
          <w:b/>
          <w:bCs/>
          <w:rtl/>
        </w:rPr>
        <w:t>ברישיון</w:t>
      </w:r>
      <w:r w:rsidRPr="00985E92">
        <w:rPr>
          <w:b/>
          <w:bCs/>
          <w:rtl/>
        </w:rPr>
        <w:t xml:space="preserve"> </w:t>
      </w:r>
      <w:r w:rsidRPr="00985E92">
        <w:rPr>
          <w:rFonts w:hint="eastAsia"/>
          <w:b/>
          <w:bCs/>
          <w:rtl/>
        </w:rPr>
        <w:t>העסק</w:t>
      </w:r>
      <w:r w:rsidRPr="00985E92">
        <w:rPr>
          <w:rFonts w:hint="cs"/>
          <w:b/>
          <w:bCs/>
          <w:rtl/>
        </w:rPr>
        <w:t xml:space="preserve"> -</w:t>
      </w:r>
      <w:r w:rsidRPr="000041B6">
        <w:rPr>
          <w:rFonts w:hint="cs"/>
          <w:rtl/>
        </w:rPr>
        <w:t xml:space="preserve"> נמצא כי </w:t>
      </w:r>
      <w:r w:rsidRPr="000041B6">
        <w:rPr>
          <w:rFonts w:hint="eastAsia"/>
          <w:rtl/>
        </w:rPr>
        <w:t>הפעילות</w:t>
      </w:r>
      <w:r w:rsidRPr="000041B6">
        <w:rPr>
          <w:rtl/>
        </w:rPr>
        <w:t xml:space="preserve"> התעשייתית </w:t>
      </w:r>
      <w:r w:rsidRPr="000041B6">
        <w:rPr>
          <w:rFonts w:hint="cs"/>
          <w:rtl/>
        </w:rPr>
        <w:t xml:space="preserve">שקיימה </w:t>
      </w:r>
      <w:r w:rsidRPr="000041B6">
        <w:rPr>
          <w:rFonts w:hint="cs"/>
          <w:rtl/>
        </w:rPr>
        <w:t>מי"ה</w:t>
      </w:r>
      <w:r w:rsidRPr="000041B6">
        <w:rPr>
          <w:rFonts w:hint="cs"/>
          <w:rtl/>
        </w:rPr>
        <w:t xml:space="preserve"> </w:t>
      </w:r>
      <w:r w:rsidRPr="000041B6">
        <w:rPr>
          <w:rtl/>
        </w:rPr>
        <w:t xml:space="preserve">גרמה לאורך השנים מפגעים סביבתיים, שאפשר שהיו יכולים, </w:t>
      </w:r>
      <w:r w:rsidRPr="000041B6">
        <w:rPr>
          <w:rtl/>
        </w:rPr>
        <w:t xml:space="preserve">ולו באופן חלקי, להימנע, לו היו נקבעים </w:t>
      </w:r>
      <w:r w:rsidRPr="007A2D31" w:rsidR="007A2D31">
        <w:rPr>
          <w:rtl/>
        </w:rPr>
        <w:t>לגביה תנאים סביבתיים ייעודיים ברישיון העסק, והמשרד</w:t>
      </w:r>
      <w:r w:rsidRPr="000041B6">
        <w:rPr>
          <w:rtl/>
        </w:rPr>
        <w:t xml:space="preserve"> </w:t>
      </w:r>
      <w:r w:rsidRPr="000041B6">
        <w:rPr>
          <w:rFonts w:hint="eastAsia"/>
          <w:rtl/>
        </w:rPr>
        <w:t>להג</w:t>
      </w:r>
      <w:r w:rsidRPr="000041B6">
        <w:rPr>
          <w:rtl/>
        </w:rPr>
        <w:t>"ס</w:t>
      </w:r>
      <w:r w:rsidRPr="000041B6">
        <w:rPr>
          <w:rtl/>
        </w:rPr>
        <w:t xml:space="preserve"> הי</w:t>
      </w:r>
      <w:r w:rsidRPr="000041B6">
        <w:rPr>
          <w:rFonts w:hint="cs"/>
          <w:rtl/>
        </w:rPr>
        <w:t>ה</w:t>
      </w:r>
      <w:r w:rsidRPr="000041B6">
        <w:rPr>
          <w:rtl/>
        </w:rPr>
        <w:t xml:space="preserve"> מפקח ומוודא כי </w:t>
      </w:r>
      <w:r w:rsidRPr="000041B6">
        <w:rPr>
          <w:rFonts w:hint="eastAsia"/>
          <w:rtl/>
        </w:rPr>
        <w:t>מי</w:t>
      </w:r>
      <w:r w:rsidRPr="000041B6">
        <w:rPr>
          <w:rtl/>
        </w:rPr>
        <w:t>"ה</w:t>
      </w:r>
      <w:r w:rsidRPr="000041B6">
        <w:rPr>
          <w:rtl/>
        </w:rPr>
        <w:t xml:space="preserve"> פועלת לפיהם</w:t>
      </w:r>
      <w:r w:rsidRPr="000041B6">
        <w:rPr>
          <w:rFonts w:hint="cs"/>
          <w:rtl/>
        </w:rPr>
        <w:t xml:space="preserve">. היעדר </w:t>
      </w:r>
      <w:r w:rsidRPr="007A2D31" w:rsidR="007A2D31">
        <w:rPr>
          <w:rtl/>
        </w:rPr>
        <w:t>תנאים סביבתיים ייעודיים ברישיון</w:t>
      </w:r>
      <w:r w:rsidRPr="000041B6">
        <w:rPr>
          <w:rFonts w:hint="cs"/>
          <w:rtl/>
        </w:rPr>
        <w:t xml:space="preserve"> העסק הביא גם לקשיים ביכולת לבצע אכיפה לפי חוק רישוי העסקים כלפי מפגעים אלה, דבר ההופך את מחדל הפיקוח והאכיפה בעניין זה לחמור: </w:t>
      </w:r>
    </w:p>
    <w:p w:rsidR="00985E92" w:rsidRPr="000041B6" w:rsidP="002B4A75" w14:paraId="75699934" w14:textId="332D01FF">
      <w:pPr>
        <w:pStyle w:val="7317"/>
        <w:numPr>
          <w:ilvl w:val="0"/>
          <w:numId w:val="11"/>
        </w:numPr>
        <w:rPr>
          <w:rtl/>
        </w:rPr>
      </w:pPr>
      <w:r w:rsidRPr="00F03AAE">
        <w:rPr>
          <w:b/>
          <w:bCs/>
          <w:rtl/>
        </w:rPr>
        <w:t>זליגה מתמשכת של אשלג ממסוע צפע לשמורת הטבע מדבר יהודה</w:t>
      </w:r>
      <w:r w:rsidRPr="00985E92">
        <w:rPr>
          <w:rFonts w:hint="cs"/>
          <w:b/>
          <w:bCs/>
          <w:rtl/>
        </w:rPr>
        <w:t xml:space="preserve"> -</w:t>
      </w:r>
      <w:r w:rsidRPr="000041B6">
        <w:rPr>
          <w:rFonts w:hint="cs"/>
          <w:rtl/>
        </w:rPr>
        <w:t xml:space="preserve"> </w:t>
      </w:r>
      <w:r w:rsidRPr="000041B6">
        <w:rPr>
          <w:rtl/>
        </w:rPr>
        <w:t xml:space="preserve">נמצא כי במהלך השנים דלף אשלג בכמויות ניכרות מהמסוע אל השטחים הפתוחים שבסביבתו. דליפות אלו הובילו להמלחה של שטחים אלו, לזיהומם ולפגיעה במערכת האקולוגית. </w:t>
      </w:r>
      <w:r w:rsidRPr="00E466C8" w:rsidR="00E466C8">
        <w:rPr>
          <w:rtl/>
        </w:rPr>
        <w:t xml:space="preserve">הגם </w:t>
      </w:r>
      <w:r w:rsidRPr="00E466C8" w:rsidR="00E466C8">
        <w:rPr>
          <w:rtl/>
        </w:rPr>
        <w:t>שמי"ה</w:t>
      </w:r>
      <w:r w:rsidRPr="00E466C8" w:rsidR="00E466C8">
        <w:rPr>
          <w:rtl/>
        </w:rPr>
        <w:t xml:space="preserve"> ביצעה פעולות </w:t>
      </w:r>
      <w:r w:rsidRPr="00E466C8" w:rsidR="00E466C8">
        <w:rPr>
          <w:rtl/>
        </w:rPr>
        <w:t>לכירוי</w:t>
      </w:r>
      <w:r w:rsidRPr="00E466C8" w:rsidR="00E466C8">
        <w:rPr>
          <w:rtl/>
        </w:rPr>
        <w:t xml:space="preserve"> המסוע ואספה את האשלג שזלג, </w:t>
      </w:r>
      <w:r w:rsidRPr="000041B6">
        <w:rPr>
          <w:rtl/>
        </w:rPr>
        <w:t xml:space="preserve">לפי </w:t>
      </w:r>
      <w:r w:rsidRPr="000041B6">
        <w:rPr>
          <w:rtl/>
        </w:rPr>
        <w:t>רט"ג</w:t>
      </w:r>
      <w:r w:rsidRPr="000041B6">
        <w:rPr>
          <w:rFonts w:hint="cs"/>
          <w:rtl/>
        </w:rPr>
        <w:t>,</w:t>
      </w:r>
      <w:r w:rsidRPr="000041B6">
        <w:rPr>
          <w:rtl/>
        </w:rPr>
        <w:t xml:space="preserve"> נכון למועד הביקורת עדיין מתקיימות מפעם לפעם תקלות שבר הגורמות לפיזור אשלג בשמורת </w:t>
      </w:r>
      <w:r w:rsidRPr="000041B6">
        <w:rPr>
          <w:rFonts w:hint="cs"/>
          <w:rtl/>
        </w:rPr>
        <w:t>ה</w:t>
      </w:r>
      <w:r w:rsidRPr="000041B6">
        <w:rPr>
          <w:rtl/>
        </w:rPr>
        <w:t>טבע מדבר יהודה. בהיעדר הכללת תנאים סביבתיים</w:t>
      </w:r>
      <w:r w:rsidRPr="000041B6">
        <w:rPr>
          <w:rFonts w:hint="cs"/>
          <w:rtl/>
        </w:rPr>
        <w:t xml:space="preserve"> ייעודיים</w:t>
      </w:r>
      <w:r w:rsidRPr="000041B6">
        <w:rPr>
          <w:rtl/>
        </w:rPr>
        <w:t xml:space="preserve"> ברישיון העסק של </w:t>
      </w:r>
      <w:r w:rsidRPr="000041B6">
        <w:rPr>
          <w:rtl/>
        </w:rPr>
        <w:t>מי"ה</w:t>
      </w:r>
      <w:r w:rsidRPr="000041B6">
        <w:rPr>
          <w:rtl/>
        </w:rPr>
        <w:t xml:space="preserve">, לא מוטלת עליה החובה לדווח על זיהום זה לשום גורם מאסדר, וממילא לא ניתן לבצע אכיפה בגין הפרת תנאים ברישיון עסק ולנקוט צעדים בנושא. </w:t>
      </w:r>
    </w:p>
    <w:p w:rsidR="00985E92" w:rsidRPr="000041B6" w:rsidP="002B4A75" w14:paraId="54CF2831" w14:textId="3A03BEE4">
      <w:pPr>
        <w:pStyle w:val="7317"/>
        <w:numPr>
          <w:ilvl w:val="0"/>
          <w:numId w:val="11"/>
        </w:numPr>
      </w:pPr>
      <w:r w:rsidRPr="007A2D31">
        <w:rPr>
          <w:b/>
          <w:bCs/>
          <w:rtl/>
        </w:rPr>
        <w:t xml:space="preserve">דליפות חומרים </w:t>
      </w:r>
      <w:r w:rsidRPr="00541FAA" w:rsidR="00541FAA">
        <w:rPr>
          <w:b/>
          <w:bCs/>
          <w:rtl/>
        </w:rPr>
        <w:t>מזהמים</w:t>
      </w:r>
      <w:r w:rsidR="00541FAA">
        <w:rPr>
          <w:b/>
          <w:bCs/>
          <w:lang w:val="ru-RU"/>
        </w:rPr>
        <w:t xml:space="preserve"> </w:t>
      </w:r>
      <w:r w:rsidRPr="007A2D31">
        <w:rPr>
          <w:b/>
          <w:bCs/>
          <w:rtl/>
        </w:rPr>
        <w:t>מקווי ההולכה</w:t>
      </w:r>
      <w:r w:rsidRPr="00985E92">
        <w:rPr>
          <w:rFonts w:hint="cs"/>
          <w:b/>
          <w:bCs/>
          <w:rtl/>
        </w:rPr>
        <w:t xml:space="preserve"> </w:t>
      </w:r>
      <w:r w:rsidRPr="007A2D31">
        <w:rPr>
          <w:b/>
          <w:bCs/>
          <w:rtl/>
        </w:rPr>
        <w:t>לשמורת הטבע</w:t>
      </w:r>
      <w:r w:rsidRPr="00985E92">
        <w:rPr>
          <w:rFonts w:hint="cs"/>
          <w:b/>
          <w:bCs/>
          <w:rtl/>
        </w:rPr>
        <w:t xml:space="preserve"> מדבר יהודה -</w:t>
      </w:r>
      <w:r w:rsidRPr="000041B6">
        <w:rPr>
          <w:rFonts w:hint="cs"/>
          <w:rtl/>
        </w:rPr>
        <w:t xml:space="preserve"> </w:t>
      </w:r>
      <w:r w:rsidRPr="000041B6">
        <w:rPr>
          <w:rtl/>
        </w:rPr>
        <w:t xml:space="preserve">נמצא כי מאוקטובר 2020 עד ינואר 2024 אירעו שמונה אירועי דליפה של חומרים מזהמים מקווי ההולכה </w:t>
      </w:r>
      <w:r w:rsidRPr="000041B6">
        <w:rPr>
          <w:rFonts w:hint="cs"/>
          <w:rtl/>
        </w:rPr>
        <w:t>ל</w:t>
      </w:r>
      <w:r w:rsidR="00215051">
        <w:rPr>
          <w:rFonts w:hint="cs"/>
          <w:rtl/>
        </w:rPr>
        <w:t>שטח ה</w:t>
      </w:r>
      <w:r w:rsidRPr="000041B6">
        <w:rPr>
          <w:rtl/>
        </w:rPr>
        <w:t>שמור</w:t>
      </w:r>
      <w:r w:rsidRPr="000041B6">
        <w:rPr>
          <w:rFonts w:hint="cs"/>
          <w:rtl/>
        </w:rPr>
        <w:t>ה</w:t>
      </w:r>
      <w:r w:rsidRPr="000041B6">
        <w:rPr>
          <w:rtl/>
        </w:rPr>
        <w:t xml:space="preserve"> שגרמו לנזק אקולוגי לבעלי החיים ולצמחייה. </w:t>
      </w:r>
      <w:r w:rsidRPr="000041B6">
        <w:rPr>
          <w:rFonts w:hint="eastAsia"/>
          <w:rtl/>
        </w:rPr>
        <w:t>ממסמכי</w:t>
      </w:r>
      <w:r w:rsidRPr="000041B6">
        <w:rPr>
          <w:rtl/>
        </w:rPr>
        <w:t xml:space="preserve"> </w:t>
      </w:r>
      <w:r w:rsidRPr="000041B6">
        <w:rPr>
          <w:rFonts w:hint="eastAsia"/>
          <w:rtl/>
        </w:rPr>
        <w:t>רט</w:t>
      </w:r>
      <w:r w:rsidRPr="000041B6">
        <w:rPr>
          <w:rtl/>
        </w:rPr>
        <w:t>"ג</w:t>
      </w:r>
      <w:r w:rsidRPr="000041B6">
        <w:rPr>
          <w:rtl/>
        </w:rPr>
        <w:t xml:space="preserve"> </w:t>
      </w:r>
      <w:r w:rsidRPr="00DB284D" w:rsidR="00DB284D">
        <w:rPr>
          <w:rtl/>
        </w:rPr>
        <w:t>ויח"ס</w:t>
      </w:r>
      <w:r w:rsidRPr="00DB284D" w:rsidR="00DB284D">
        <w:rPr>
          <w:rtl/>
        </w:rPr>
        <w:t xml:space="preserve"> </w:t>
      </w:r>
      <w:r w:rsidRPr="000041B6">
        <w:rPr>
          <w:rtl/>
        </w:rPr>
        <w:t>נגב</w:t>
      </w:r>
      <w:r w:rsidRPr="000041B6">
        <w:rPr>
          <w:rFonts w:hint="cs"/>
          <w:rtl/>
        </w:rPr>
        <w:t xml:space="preserve"> </w:t>
      </w:r>
      <w:r w:rsidRPr="000041B6">
        <w:rPr>
          <w:rtl/>
        </w:rPr>
        <w:t>מזרחי עולה כי הטיפול בחלק מהדליפות ו</w:t>
      </w:r>
      <w:r w:rsidRPr="000041B6">
        <w:rPr>
          <w:rFonts w:hint="cs"/>
          <w:rtl/>
        </w:rPr>
        <w:t xml:space="preserve">פעולות </w:t>
      </w:r>
      <w:r w:rsidRPr="000041B6">
        <w:rPr>
          <w:rtl/>
        </w:rPr>
        <w:t>המניעה שלהן כללו פעולות ש</w:t>
      </w:r>
      <w:r w:rsidRPr="000041B6">
        <w:rPr>
          <w:rFonts w:hint="cs"/>
          <w:rtl/>
        </w:rPr>
        <w:t xml:space="preserve">ראוי היה </w:t>
      </w:r>
      <w:r w:rsidRPr="000041B6">
        <w:rPr>
          <w:rtl/>
        </w:rPr>
        <w:t xml:space="preserve">להסדיר במסגרת תנאים </w:t>
      </w:r>
      <w:r w:rsidRPr="000041B6">
        <w:rPr>
          <w:rFonts w:hint="cs"/>
          <w:rtl/>
        </w:rPr>
        <w:t xml:space="preserve">סביבתיים </w:t>
      </w:r>
      <w:r w:rsidRPr="000041B6">
        <w:rPr>
          <w:rFonts w:hint="eastAsia"/>
          <w:rtl/>
        </w:rPr>
        <w:t>ברישיון</w:t>
      </w:r>
      <w:r w:rsidRPr="000041B6">
        <w:rPr>
          <w:rtl/>
        </w:rPr>
        <w:t xml:space="preserve"> </w:t>
      </w:r>
      <w:r w:rsidRPr="000041B6">
        <w:rPr>
          <w:rFonts w:hint="eastAsia"/>
          <w:rtl/>
        </w:rPr>
        <w:t>העסק</w:t>
      </w:r>
      <w:r w:rsidRPr="000041B6">
        <w:rPr>
          <w:rFonts w:hint="cs"/>
          <w:rtl/>
        </w:rPr>
        <w:t>.</w:t>
      </w:r>
    </w:p>
    <w:p w:rsidR="00985E92" w:rsidRPr="000041B6" w:rsidP="002B4A75" w14:paraId="50E10F63" w14:textId="2A8EAB1C">
      <w:pPr>
        <w:pStyle w:val="7317"/>
        <w:numPr>
          <w:ilvl w:val="0"/>
          <w:numId w:val="11"/>
        </w:numPr>
      </w:pPr>
      <w:r w:rsidRPr="00985E92">
        <w:rPr>
          <w:rFonts w:hint="cs"/>
          <w:b/>
          <w:bCs/>
          <w:rtl/>
        </w:rPr>
        <w:t>אירוע דליפה מ</w:t>
      </w:r>
      <w:r w:rsidRPr="00985E92">
        <w:rPr>
          <w:rFonts w:hint="eastAsia"/>
          <w:b/>
          <w:bCs/>
          <w:rtl/>
        </w:rPr>
        <w:t>תעלת</w:t>
      </w:r>
      <w:r w:rsidRPr="00985E92">
        <w:rPr>
          <w:b/>
          <w:bCs/>
          <w:rtl/>
        </w:rPr>
        <w:t xml:space="preserve"> </w:t>
      </w:r>
      <w:r w:rsidRPr="00985E92">
        <w:rPr>
          <w:rFonts w:hint="eastAsia"/>
          <w:b/>
          <w:bCs/>
          <w:rtl/>
        </w:rPr>
        <w:t>הזנה</w:t>
      </w:r>
      <w:r w:rsidRPr="00985E92">
        <w:rPr>
          <w:b/>
          <w:bCs/>
          <w:rtl/>
        </w:rPr>
        <w:t xml:space="preserve"> </w:t>
      </w:r>
      <w:r w:rsidRPr="00985E92">
        <w:rPr>
          <w:rFonts w:hint="eastAsia"/>
          <w:b/>
          <w:bCs/>
          <w:rtl/>
        </w:rPr>
        <w:t>ששואבת</w:t>
      </w:r>
      <w:r w:rsidRPr="00985E92">
        <w:rPr>
          <w:b/>
          <w:bCs/>
          <w:rtl/>
        </w:rPr>
        <w:t xml:space="preserve"> </w:t>
      </w:r>
      <w:r w:rsidRPr="00985E92">
        <w:rPr>
          <w:rFonts w:hint="eastAsia"/>
          <w:b/>
          <w:bCs/>
          <w:rtl/>
        </w:rPr>
        <w:t>תמיסת</w:t>
      </w:r>
      <w:r w:rsidRPr="00985E92">
        <w:rPr>
          <w:b/>
          <w:bCs/>
          <w:rtl/>
        </w:rPr>
        <w:t xml:space="preserve"> </w:t>
      </w:r>
      <w:r w:rsidRPr="00985E92">
        <w:rPr>
          <w:rFonts w:hint="eastAsia"/>
          <w:b/>
          <w:bCs/>
          <w:rtl/>
        </w:rPr>
        <w:t>ים</w:t>
      </w:r>
      <w:r w:rsidRPr="00985E92">
        <w:rPr>
          <w:b/>
          <w:bCs/>
          <w:rtl/>
        </w:rPr>
        <w:t xml:space="preserve"> </w:t>
      </w:r>
      <w:r w:rsidRPr="00985E92">
        <w:rPr>
          <w:rFonts w:hint="eastAsia"/>
          <w:b/>
          <w:bCs/>
          <w:rtl/>
        </w:rPr>
        <w:t>מהאגן</w:t>
      </w:r>
      <w:r w:rsidRPr="00985E92">
        <w:rPr>
          <w:b/>
          <w:bCs/>
          <w:rtl/>
        </w:rPr>
        <w:t xml:space="preserve"> </w:t>
      </w:r>
      <w:r w:rsidRPr="00985E92">
        <w:rPr>
          <w:rFonts w:hint="eastAsia"/>
          <w:b/>
          <w:bCs/>
          <w:rtl/>
        </w:rPr>
        <w:t>הצפוני</w:t>
      </w:r>
      <w:r w:rsidRPr="00985E92">
        <w:rPr>
          <w:b/>
          <w:bCs/>
          <w:rtl/>
        </w:rPr>
        <w:t xml:space="preserve"> </w:t>
      </w:r>
      <w:r w:rsidRPr="00985E92">
        <w:rPr>
          <w:rFonts w:hint="eastAsia"/>
          <w:b/>
          <w:bCs/>
          <w:rtl/>
        </w:rPr>
        <w:t>של</w:t>
      </w:r>
      <w:r w:rsidRPr="00985E92">
        <w:rPr>
          <w:b/>
          <w:bCs/>
          <w:rtl/>
        </w:rPr>
        <w:t xml:space="preserve"> </w:t>
      </w:r>
      <w:r w:rsidRPr="00985E92">
        <w:rPr>
          <w:rFonts w:hint="eastAsia"/>
          <w:b/>
          <w:bCs/>
          <w:rtl/>
        </w:rPr>
        <w:t>ים</w:t>
      </w:r>
      <w:r w:rsidRPr="00985E92">
        <w:rPr>
          <w:b/>
          <w:bCs/>
          <w:rtl/>
        </w:rPr>
        <w:t xml:space="preserve"> </w:t>
      </w:r>
      <w:r w:rsidRPr="00985E92">
        <w:rPr>
          <w:rFonts w:hint="eastAsia"/>
          <w:b/>
          <w:bCs/>
          <w:rtl/>
        </w:rPr>
        <w:t>המלח</w:t>
      </w:r>
      <w:r w:rsidRPr="00985E92">
        <w:rPr>
          <w:b/>
          <w:bCs/>
          <w:rtl/>
        </w:rPr>
        <w:t xml:space="preserve"> </w:t>
      </w:r>
      <w:r w:rsidRPr="00DB284D" w:rsidR="00DB284D">
        <w:rPr>
          <w:b/>
          <w:bCs/>
          <w:rtl/>
        </w:rPr>
        <w:t xml:space="preserve">לבריכות האידוי של </w:t>
      </w:r>
      <w:r w:rsidRPr="00DB284D" w:rsidR="00DB284D">
        <w:rPr>
          <w:b/>
          <w:bCs/>
          <w:rtl/>
        </w:rPr>
        <w:t>מי"ה</w:t>
      </w:r>
      <w:r w:rsidRPr="00985E92">
        <w:rPr>
          <w:b/>
          <w:bCs/>
          <w:rtl/>
        </w:rPr>
        <w:t xml:space="preserve">, </w:t>
      </w:r>
      <w:r w:rsidR="00215051">
        <w:rPr>
          <w:rFonts w:hint="cs"/>
          <w:b/>
          <w:bCs/>
          <w:rtl/>
        </w:rPr>
        <w:t>ה</w:t>
      </w:r>
      <w:r w:rsidRPr="00985E92">
        <w:rPr>
          <w:b/>
          <w:bCs/>
          <w:rtl/>
        </w:rPr>
        <w:t>חוצה את מניפת הסחף של נחל צאלים -</w:t>
      </w:r>
      <w:r w:rsidRPr="000041B6">
        <w:rPr>
          <w:rtl/>
        </w:rPr>
        <w:t xml:space="preserve"> </w:t>
      </w:r>
      <w:r w:rsidRPr="00215051" w:rsidR="00215051">
        <w:rPr>
          <w:rtl/>
        </w:rPr>
        <w:t xml:space="preserve">בשנת 2022 אירעה דליפה בתעלת </w:t>
      </w:r>
      <w:r w:rsidR="007F7FCA">
        <w:rPr>
          <w:rFonts w:hint="cs"/>
          <w:rtl/>
        </w:rPr>
        <w:t>ההזנה</w:t>
      </w:r>
      <w:r w:rsidRPr="00215051" w:rsidR="00215051">
        <w:rPr>
          <w:rtl/>
        </w:rPr>
        <w:t xml:space="preserve"> אשר גרמה לנזק אקולוגי </w:t>
      </w:r>
      <w:r w:rsidRPr="008C3BE0" w:rsidR="008C3BE0">
        <w:rPr>
          <w:rtl/>
        </w:rPr>
        <w:t>חמור למניפת הסחף של נחל צאלים</w:t>
      </w:r>
      <w:r w:rsidRPr="000041B6">
        <w:rPr>
          <w:rtl/>
        </w:rPr>
        <w:t xml:space="preserve">, לרבות פגיעה ניכרת ותמותה נרחבת של מגוון מיני צומח, חלקם ערכי טבע מוגנים. </w:t>
      </w:r>
      <w:r w:rsidRPr="000041B6">
        <w:rPr>
          <w:rFonts w:hint="cs"/>
          <w:rtl/>
        </w:rPr>
        <w:t xml:space="preserve">נמצא כי רק לאחר האירוע </w:t>
      </w:r>
      <w:r w:rsidRPr="000041B6">
        <w:rPr>
          <w:rtl/>
        </w:rPr>
        <w:t xml:space="preserve">המשרד </w:t>
      </w:r>
      <w:r w:rsidRPr="000041B6">
        <w:rPr>
          <w:rtl/>
        </w:rPr>
        <w:t>להג"ס</w:t>
      </w:r>
      <w:r w:rsidRPr="000041B6">
        <w:rPr>
          <w:rtl/>
        </w:rPr>
        <w:t xml:space="preserve"> החל לפעול להכללת </w:t>
      </w:r>
      <w:r w:rsidRPr="003C1F92" w:rsidR="003C1F92">
        <w:rPr>
          <w:rtl/>
        </w:rPr>
        <w:t>תנאים סביבתיים ייעודיים ברישיון העסק</w:t>
      </w:r>
      <w:r w:rsidRPr="000041B6">
        <w:rPr>
          <w:rtl/>
        </w:rPr>
        <w:t xml:space="preserve"> של </w:t>
      </w:r>
      <w:r w:rsidRPr="000041B6">
        <w:rPr>
          <w:rtl/>
        </w:rPr>
        <w:t>מי"ה</w:t>
      </w:r>
      <w:r w:rsidRPr="000041B6">
        <w:rPr>
          <w:rtl/>
        </w:rPr>
        <w:t xml:space="preserve"> בנוגע לתעלת ההזנה</w:t>
      </w:r>
      <w:r w:rsidRPr="000041B6">
        <w:rPr>
          <w:rFonts w:hint="cs"/>
          <w:rtl/>
        </w:rPr>
        <w:t>,</w:t>
      </w:r>
      <w:r w:rsidRPr="000041B6">
        <w:rPr>
          <w:rtl/>
        </w:rPr>
        <w:t xml:space="preserve"> </w:t>
      </w:r>
      <w:r w:rsidRPr="00E2370F" w:rsidR="00E2370F">
        <w:rPr>
          <w:rtl/>
        </w:rPr>
        <w:t xml:space="preserve">אשר נמסרו </w:t>
      </w:r>
      <w:r w:rsidRPr="00E2370F" w:rsidR="00E2370F">
        <w:rPr>
          <w:rtl/>
        </w:rPr>
        <w:t>למי"ה</w:t>
      </w:r>
      <w:r w:rsidRPr="00E2370F" w:rsidR="00E2370F">
        <w:rPr>
          <w:rtl/>
        </w:rPr>
        <w:t xml:space="preserve"> לאחר סיום הביקורת.</w:t>
      </w:r>
      <w:r w:rsidRPr="000041B6">
        <w:rPr>
          <w:rtl/>
        </w:rPr>
        <w:t xml:space="preserve"> מדובר בתנאים תפעוליים חשובים שאפשר שהיו יכולים לצמצם ולמזער את </w:t>
      </w:r>
      <w:r w:rsidRPr="00DB284D" w:rsidR="00DB284D">
        <w:rPr>
          <w:rtl/>
        </w:rPr>
        <w:t>נזקי הדליפה</w:t>
      </w:r>
      <w:r w:rsidRPr="000041B6">
        <w:rPr>
          <w:rtl/>
        </w:rPr>
        <w:t xml:space="preserve">. נוסף על כך, אילו היו נכללים תנאים ברישוי העסק בנוגע לתעלת ההזנה, והיה עולה כי הופרו, היה מתאפשר לבצע אכיפה גם בהתאם לחוק רישוי עסקים. </w:t>
      </w:r>
    </w:p>
    <w:p w:rsidR="00985E92" w:rsidRPr="000041B6" w:rsidP="00985E92" w14:paraId="65182174" w14:textId="0B166F54">
      <w:pPr>
        <w:pStyle w:val="7317"/>
      </w:pPr>
      <w:r w:rsidRPr="000041B6">
        <w:rPr>
          <w:rtl/>
        </w:rPr>
        <w:t xml:space="preserve">מדובר </w:t>
      </w:r>
      <w:r w:rsidRPr="000041B6">
        <w:rPr>
          <w:rFonts w:hint="cs"/>
          <w:rtl/>
        </w:rPr>
        <w:t>ב</w:t>
      </w:r>
      <w:r w:rsidRPr="000041B6">
        <w:rPr>
          <w:rtl/>
        </w:rPr>
        <w:t xml:space="preserve">מחדלים משמעותיים ברגולציה </w:t>
      </w:r>
      <w:r w:rsidRPr="000041B6">
        <w:rPr>
          <w:rFonts w:hint="cs"/>
          <w:rtl/>
        </w:rPr>
        <w:t xml:space="preserve">של המשרד </w:t>
      </w:r>
      <w:r w:rsidRPr="000041B6">
        <w:rPr>
          <w:rFonts w:hint="cs"/>
          <w:rtl/>
        </w:rPr>
        <w:t>להג"ס</w:t>
      </w:r>
      <w:r w:rsidRPr="000041B6">
        <w:rPr>
          <w:rFonts w:hint="cs"/>
          <w:rtl/>
        </w:rPr>
        <w:t xml:space="preserve"> המתרחשים </w:t>
      </w:r>
      <w:r w:rsidRPr="000041B6">
        <w:rPr>
          <w:rtl/>
        </w:rPr>
        <w:t>באזור רגיש מ</w:t>
      </w:r>
      <w:r w:rsidRPr="000041B6">
        <w:rPr>
          <w:rFonts w:hint="cs"/>
          <w:rtl/>
        </w:rPr>
        <w:t>ה</w:t>
      </w:r>
      <w:r w:rsidRPr="000041B6">
        <w:rPr>
          <w:rtl/>
        </w:rPr>
        <w:t xml:space="preserve">בחינה </w:t>
      </w:r>
      <w:r w:rsidRPr="000041B6">
        <w:rPr>
          <w:rFonts w:hint="cs"/>
          <w:rtl/>
        </w:rPr>
        <w:t>ה</w:t>
      </w:r>
      <w:r w:rsidRPr="000041B6">
        <w:rPr>
          <w:rtl/>
        </w:rPr>
        <w:t>אקולוגית ו</w:t>
      </w:r>
      <w:r w:rsidRPr="000041B6">
        <w:rPr>
          <w:rFonts w:hint="cs"/>
          <w:rtl/>
        </w:rPr>
        <w:t>ה</w:t>
      </w:r>
      <w:r w:rsidRPr="000041B6">
        <w:rPr>
          <w:rtl/>
        </w:rPr>
        <w:t>סביבתית</w:t>
      </w:r>
      <w:r w:rsidR="00E2370F">
        <w:rPr>
          <w:rFonts w:hint="cs"/>
          <w:rtl/>
        </w:rPr>
        <w:t>.</w:t>
      </w:r>
      <w:r w:rsidRPr="000041B6">
        <w:rPr>
          <w:rtl/>
        </w:rPr>
        <w:t xml:space="preserve"> </w:t>
      </w:r>
    </w:p>
    <w:p w:rsidR="00EB672B" w:rsidRPr="00AF3B73" w:rsidP="00EB672B" w14:paraId="42C157E6" w14:textId="2C5751A9">
      <w:pPr>
        <w:pStyle w:val="7317"/>
      </w:pPr>
      <w:r w:rsidRPr="00985E92">
        <w:rPr>
          <w:rStyle w:val="7371"/>
          <w:rFonts w:hint="cs"/>
          <w:noProof/>
          <w:rtl/>
        </w:rPr>
        <w:drawing>
          <wp:anchor distT="0" distB="0" distL="114300" distR="114300" simplePos="0" relativeHeight="251692032" behindDoc="1" locked="0" layoutInCell="1" allowOverlap="1">
            <wp:simplePos x="0" y="0"/>
            <wp:positionH relativeFrom="column">
              <wp:posOffset>4549335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28"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985E92" w:rsidR="00985E92">
        <w:rPr>
          <w:rStyle w:val="7371"/>
          <w:rFonts w:hint="cs"/>
          <w:rtl/>
        </w:rPr>
        <w:t xml:space="preserve">אחריות המועצה האזורית תמר להבטחת אסדרה סביבתית ראויה של הפעילות התעשייתית של </w:t>
      </w:r>
      <w:r w:rsidRPr="00985E92" w:rsidR="00985E92">
        <w:rPr>
          <w:rStyle w:val="7371"/>
          <w:rFonts w:hint="cs"/>
          <w:rtl/>
        </w:rPr>
        <w:t>מי"ה</w:t>
      </w:r>
      <w:r w:rsidRPr="00985E92" w:rsidR="00985E92">
        <w:rPr>
          <w:rStyle w:val="7371"/>
          <w:rFonts w:hint="cs"/>
          <w:rtl/>
        </w:rPr>
        <w:t xml:space="preserve"> -</w:t>
      </w:r>
      <w:r w:rsidRPr="000041B6" w:rsidR="00985E92">
        <w:rPr>
          <w:rFonts w:hint="cs"/>
          <w:rtl/>
        </w:rPr>
        <w:t xml:space="preserve"> המועצה האזורית תמר, כרשות רישוי </w:t>
      </w:r>
      <w:r w:rsidRPr="000041B6" w:rsidR="00985E92">
        <w:rPr>
          <w:rFonts w:hint="cs"/>
          <w:rtl/>
        </w:rPr>
        <w:t>שמי"ה</w:t>
      </w:r>
      <w:r w:rsidRPr="000041B6" w:rsidR="00985E92">
        <w:rPr>
          <w:rFonts w:hint="cs"/>
          <w:rtl/>
        </w:rPr>
        <w:t xml:space="preserve"> פועלת בתחום שיפוטה, לא נקטה צעדים כדי לוודא </w:t>
      </w:r>
      <w:r w:rsidRPr="000041B6" w:rsidR="00985E92">
        <w:rPr>
          <w:rFonts w:hint="cs"/>
          <w:rtl/>
        </w:rPr>
        <w:t>שמי"ה</w:t>
      </w:r>
      <w:r w:rsidRPr="000041B6" w:rsidR="00985E92">
        <w:rPr>
          <w:rFonts w:hint="cs"/>
          <w:rtl/>
        </w:rPr>
        <w:t xml:space="preserve"> פועלת תחת האסדרה הסביבתית הראויה במסגרת תנאים ברישיון העסק, אף שהדבר היה מצופה ממנה. העובדה כי מדובר באחד המפעלים רחבי ההיקף שבתחום שיפוטה ושהוא בעל השפעות סביבתיות נרחבות גם ברמה הארצית, מגבירה את הציפייה כי היא תפעל בנושא, ובכלל זאת תפנה למשרד </w:t>
      </w:r>
      <w:r w:rsidRPr="000041B6" w:rsidR="00985E92">
        <w:rPr>
          <w:rFonts w:hint="cs"/>
          <w:rtl/>
        </w:rPr>
        <w:t>להג"ס</w:t>
      </w:r>
      <w:r w:rsidRPr="000041B6" w:rsidR="00985E92">
        <w:rPr>
          <w:rFonts w:hint="cs"/>
          <w:rtl/>
        </w:rPr>
        <w:t xml:space="preserve"> כדי לוודא כי המתקנים השונים פועלים תחת אסדרה סביבתית מעודכנת ומלאה</w:t>
      </w:r>
      <w:r w:rsidRPr="00AF3B73">
        <w:rPr>
          <w:rFonts w:hint="cs"/>
          <w:rtl/>
        </w:rPr>
        <w:t xml:space="preserve">. </w:t>
      </w:r>
    </w:p>
    <w:p w:rsidR="00985E92" w:rsidRPr="00985E92" w:rsidP="00985E92" w14:paraId="54E0520E" w14:textId="6CD528A5">
      <w:pPr>
        <w:pStyle w:val="73512"/>
        <w:rPr>
          <w:rtl/>
        </w:rPr>
      </w:pPr>
      <w:r w:rsidRPr="00985E92">
        <w:rPr>
          <w:rFonts w:hint="eastAsia"/>
          <w:rtl/>
        </w:rPr>
        <w:t>אסדרת</w:t>
      </w:r>
      <w:r w:rsidRPr="00985E92">
        <w:rPr>
          <w:rtl/>
        </w:rPr>
        <w:t xml:space="preserve"> פעילות הכרייה והחציבה של </w:t>
      </w:r>
      <w:r w:rsidRPr="00985E92">
        <w:rPr>
          <w:rFonts w:hint="eastAsia"/>
          <w:rtl/>
        </w:rPr>
        <w:t>מי</w:t>
      </w:r>
      <w:r w:rsidRPr="00985E92">
        <w:rPr>
          <w:rtl/>
        </w:rPr>
        <w:t>"ה</w:t>
      </w:r>
      <w:r w:rsidRPr="00985E92">
        <w:rPr>
          <w:rFonts w:hint="cs"/>
          <w:rtl/>
        </w:rPr>
        <w:t xml:space="preserve"> </w:t>
      </w:r>
    </w:p>
    <w:p w:rsidR="00EB672B" w:rsidRPr="00AF3B73" w:rsidP="00985E92" w14:paraId="0E55F83C" w14:textId="22783686">
      <w:pPr>
        <w:pStyle w:val="7317"/>
        <w:ind w:left="0"/>
      </w:pPr>
      <w:r w:rsidRPr="000041B6">
        <w:rPr>
          <w:rFonts w:hint="cs"/>
          <w:rtl/>
        </w:rPr>
        <w:t xml:space="preserve">מממצאי הביקורת עולה </w:t>
      </w:r>
      <w:r w:rsidRPr="000041B6">
        <w:rPr>
          <w:rtl/>
        </w:rPr>
        <w:t>כי</w:t>
      </w:r>
      <w:r w:rsidR="00E2370F">
        <w:rPr>
          <w:rFonts w:hint="cs"/>
          <w:rtl/>
        </w:rPr>
        <w:t xml:space="preserve"> </w:t>
      </w:r>
      <w:r w:rsidRPr="00E2370F" w:rsidR="00E2370F">
        <w:rPr>
          <w:rtl/>
        </w:rPr>
        <w:t xml:space="preserve">מאז שהאחריות לתחום הכרייה והחציבה הועברה למשרד </w:t>
      </w:r>
      <w:r w:rsidRPr="00E2370F" w:rsidR="00E2370F">
        <w:rPr>
          <w:rtl/>
        </w:rPr>
        <w:t>האנרגייה</w:t>
      </w:r>
      <w:r w:rsidRPr="00E2370F" w:rsidR="00E2370F">
        <w:rPr>
          <w:rtl/>
        </w:rPr>
        <w:t xml:space="preserve"> בשנת 1996 ובמשך שנים</w:t>
      </w:r>
      <w:r w:rsidRPr="000041B6">
        <w:rPr>
          <w:rtl/>
        </w:rPr>
        <w:t xml:space="preserve"> ארוכות</w:t>
      </w:r>
      <w:r w:rsidR="00000CA7">
        <w:rPr>
          <w:rFonts w:hint="cs"/>
          <w:rtl/>
        </w:rPr>
        <w:t>,</w:t>
      </w:r>
      <w:r w:rsidRPr="000041B6">
        <w:rPr>
          <w:rFonts w:hint="cs"/>
          <w:rtl/>
        </w:rPr>
        <w:t xml:space="preserve"> לא מילא</w:t>
      </w:r>
      <w:r w:rsidR="00625237">
        <w:rPr>
          <w:rFonts w:hint="cs"/>
          <w:rtl/>
        </w:rPr>
        <w:t xml:space="preserve"> </w:t>
      </w:r>
      <w:r w:rsidRPr="000041B6">
        <w:rPr>
          <w:rtl/>
        </w:rPr>
        <w:t xml:space="preserve">משרד </w:t>
      </w:r>
      <w:r w:rsidRPr="000041B6">
        <w:rPr>
          <w:rtl/>
        </w:rPr>
        <w:t>האנרגייה</w:t>
      </w:r>
      <w:r w:rsidRPr="000041B6">
        <w:rPr>
          <w:rFonts w:hint="cs"/>
          <w:rtl/>
        </w:rPr>
        <w:t xml:space="preserve"> את אחריותו הציבורית בנוגע </w:t>
      </w:r>
      <w:r w:rsidRPr="000041B6">
        <w:rPr>
          <w:rFonts w:hint="cs"/>
          <w:rtl/>
        </w:rPr>
        <w:t>ל</w:t>
      </w:r>
      <w:r w:rsidR="00E2370F">
        <w:rPr>
          <w:rFonts w:hint="cs"/>
          <w:rtl/>
        </w:rPr>
        <w:t>אסדרת</w:t>
      </w:r>
      <w:r w:rsidRPr="000041B6">
        <w:rPr>
          <w:rtl/>
        </w:rPr>
        <w:t xml:space="preserve"> פעילות הכרייה </w:t>
      </w:r>
      <w:r w:rsidRPr="000041B6">
        <w:rPr>
          <w:rFonts w:hint="cs"/>
          <w:rtl/>
        </w:rPr>
        <w:t>רחבת ההיקף (מאות אלפי מ"ק)</w:t>
      </w:r>
      <w:r w:rsidRPr="000041B6">
        <w:rPr>
          <w:rtl/>
        </w:rPr>
        <w:t xml:space="preserve"> שקיימה </w:t>
      </w:r>
      <w:r w:rsidRPr="000041B6">
        <w:rPr>
          <w:rtl/>
        </w:rPr>
        <w:t>מי"ה</w:t>
      </w:r>
      <w:r w:rsidRPr="000041B6">
        <w:rPr>
          <w:rtl/>
        </w:rPr>
        <w:t xml:space="preserve"> בשטח הזיכיון</w:t>
      </w:r>
      <w:r w:rsidRPr="000041B6">
        <w:rPr>
          <w:rFonts w:hint="cs"/>
          <w:rtl/>
        </w:rPr>
        <w:t xml:space="preserve">. מדובר </w:t>
      </w:r>
      <w:r w:rsidR="00625237">
        <w:rPr>
          <w:rFonts w:hint="cs"/>
          <w:rtl/>
        </w:rPr>
        <w:t>במחדל</w:t>
      </w:r>
      <w:r w:rsidRPr="000041B6">
        <w:rPr>
          <w:rFonts w:hint="cs"/>
          <w:rtl/>
        </w:rPr>
        <w:t xml:space="preserve"> רגולטורי מתמשך ומטריד, </w:t>
      </w:r>
      <w:r w:rsidR="00625237">
        <w:rPr>
          <w:rFonts w:hint="cs"/>
          <w:rtl/>
        </w:rPr>
        <w:t>בעל</w:t>
      </w:r>
      <w:r w:rsidRPr="000041B6">
        <w:rPr>
          <w:rFonts w:hint="cs"/>
          <w:rtl/>
        </w:rPr>
        <w:t xml:space="preserve"> השפעות סביבתיות וכלכליות מרחיקות לכת</w:t>
      </w:r>
      <w:r w:rsidRPr="00AF3B73">
        <w:rPr>
          <w:rFonts w:hint="cs"/>
          <w:rtl/>
        </w:rPr>
        <w:t xml:space="preserve">. </w:t>
      </w:r>
    </w:p>
    <w:p w:rsidR="00EB672B" w:rsidRPr="00AF3B73" w:rsidP="00EB672B" w14:paraId="1320DBEF" w14:textId="551349C1">
      <w:pPr>
        <w:pStyle w:val="7317"/>
        <w:rPr>
          <w:rtl/>
        </w:rPr>
      </w:pPr>
      <w:r w:rsidRPr="00985E92">
        <w:rPr>
          <w:rFonts w:hint="cs"/>
          <w:b/>
          <w:bCs/>
          <w:noProof/>
          <w:rtl/>
        </w:rPr>
        <w:drawing>
          <wp:anchor distT="0" distB="0" distL="114300" distR="114300" simplePos="0" relativeHeight="251693056" behindDoc="1" locked="0" layoutInCell="1" allowOverlap="1">
            <wp:simplePos x="0" y="0"/>
            <wp:positionH relativeFrom="column">
              <wp:posOffset>4556955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39"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985E92" w:rsidR="00985E92">
        <w:rPr>
          <w:rFonts w:hint="cs"/>
          <w:b/>
          <w:bCs/>
          <w:rtl/>
        </w:rPr>
        <w:t>היעדר מעקב, בקרה ופיקוח -</w:t>
      </w:r>
      <w:r w:rsidRPr="000041B6" w:rsidR="00985E92">
        <w:rPr>
          <w:rFonts w:hint="cs"/>
          <w:rtl/>
        </w:rPr>
        <w:t xml:space="preserve"> </w:t>
      </w:r>
      <w:r w:rsidRPr="000041B6" w:rsidR="00985E92">
        <w:rPr>
          <w:rtl/>
        </w:rPr>
        <w:t xml:space="preserve">נמצא כי עד שנת 2009 משרד </w:t>
      </w:r>
      <w:r w:rsidRPr="000041B6" w:rsidR="00985E92">
        <w:rPr>
          <w:rFonts w:hint="eastAsia"/>
          <w:rtl/>
        </w:rPr>
        <w:t>האנרגייה</w:t>
      </w:r>
      <w:r w:rsidRPr="000041B6" w:rsidR="00985E92">
        <w:rPr>
          <w:rtl/>
        </w:rPr>
        <w:t xml:space="preserve"> לא פיקח על פעולות החציבה והכרייה שביצעה </w:t>
      </w:r>
      <w:r w:rsidRPr="000041B6" w:rsidR="00985E92">
        <w:rPr>
          <w:rFonts w:hint="eastAsia"/>
          <w:rtl/>
        </w:rPr>
        <w:t>מי</w:t>
      </w:r>
      <w:r w:rsidRPr="000041B6" w:rsidR="00985E92">
        <w:rPr>
          <w:rtl/>
        </w:rPr>
        <w:t>"ה</w:t>
      </w:r>
      <w:r w:rsidRPr="000041B6" w:rsidR="00985E92">
        <w:rPr>
          <w:rtl/>
        </w:rPr>
        <w:t xml:space="preserve"> בשטח הזיכיון </w:t>
      </w:r>
      <w:hyperlink r:id="rId27" w:history="1">
        <w:r w:rsidRPr="000041B6" w:rsidR="00985E92">
          <w:rPr>
            <w:rFonts w:hint="eastAsia"/>
            <w:rtl/>
          </w:rPr>
          <w:t>ולא</w:t>
        </w:r>
        <w:r w:rsidRPr="000041B6" w:rsidR="00985E92">
          <w:rPr>
            <w:rtl/>
          </w:rPr>
          <w:t xml:space="preserve"> </w:t>
        </w:r>
        <w:r w:rsidRPr="000041B6" w:rsidR="00985E92">
          <w:rPr>
            <w:rFonts w:hint="eastAsia"/>
            <w:rtl/>
          </w:rPr>
          <w:t>אס</w:t>
        </w:r>
        <w:r w:rsidRPr="000041B6" w:rsidR="00985E92">
          <w:rPr>
            <w:rFonts w:hint="cs"/>
            <w:rtl/>
          </w:rPr>
          <w:t>ף</w:t>
        </w:r>
        <w:r w:rsidRPr="000041B6" w:rsidR="00985E92">
          <w:rPr>
            <w:rtl/>
          </w:rPr>
          <w:t xml:space="preserve"> </w:t>
        </w:r>
        <w:r w:rsidRPr="000041B6" w:rsidR="00985E92">
          <w:rPr>
            <w:rFonts w:hint="eastAsia"/>
            <w:rtl/>
          </w:rPr>
          <w:t>מידע</w:t>
        </w:r>
        <w:r w:rsidRPr="000041B6" w:rsidR="00985E92">
          <w:rPr>
            <w:rtl/>
          </w:rPr>
          <w:t xml:space="preserve"> </w:t>
        </w:r>
        <w:r w:rsidRPr="000041B6" w:rsidR="00985E92">
          <w:rPr>
            <w:rFonts w:hint="eastAsia"/>
            <w:rtl/>
          </w:rPr>
          <w:t>לגבי</w:t>
        </w:r>
        <w:r w:rsidRPr="000041B6" w:rsidR="00985E92">
          <w:rPr>
            <w:rtl/>
          </w:rPr>
          <w:t xml:space="preserve"> </w:t>
        </w:r>
        <w:r w:rsidRPr="000041B6" w:rsidR="00985E92">
          <w:rPr>
            <w:rFonts w:hint="eastAsia"/>
            <w:rtl/>
          </w:rPr>
          <w:t>הכמויות</w:t>
        </w:r>
      </w:hyperlink>
      <w:r w:rsidRPr="000041B6" w:rsidR="00985E92">
        <w:rPr>
          <w:rtl/>
        </w:rPr>
        <w:t xml:space="preserve"> והסוג של חומרי החציבה שנכרו, אף שבסמכות</w:t>
      </w:r>
      <w:r w:rsidRPr="000041B6" w:rsidR="00985E92">
        <w:rPr>
          <w:rFonts w:hint="cs"/>
          <w:rtl/>
        </w:rPr>
        <w:t>ו</w:t>
      </w:r>
      <w:r w:rsidRPr="000041B6" w:rsidR="00985E92">
        <w:rPr>
          <w:rtl/>
        </w:rPr>
        <w:t xml:space="preserve"> </w:t>
      </w:r>
      <w:r w:rsidRPr="000041B6" w:rsidR="00985E92">
        <w:rPr>
          <w:rFonts w:hint="eastAsia"/>
          <w:rtl/>
        </w:rPr>
        <w:t>ומחובת</w:t>
      </w:r>
      <w:r w:rsidRPr="000041B6" w:rsidR="00985E92">
        <w:rPr>
          <w:rFonts w:hint="cs"/>
          <w:rtl/>
        </w:rPr>
        <w:t>ו</w:t>
      </w:r>
      <w:r w:rsidRPr="000041B6" w:rsidR="00985E92">
        <w:rPr>
          <w:rtl/>
        </w:rPr>
        <w:t xml:space="preserve"> </w:t>
      </w:r>
      <w:r w:rsidRPr="000041B6" w:rsidR="00985E92">
        <w:rPr>
          <w:rFonts w:hint="eastAsia"/>
          <w:rtl/>
        </w:rPr>
        <w:t>היה</w:t>
      </w:r>
      <w:r w:rsidRPr="000041B6" w:rsidR="00985E92">
        <w:rPr>
          <w:rtl/>
        </w:rPr>
        <w:t xml:space="preserve"> לעשות זאת. </w:t>
      </w:r>
      <w:r w:rsidRPr="000041B6" w:rsidR="00985E92">
        <w:rPr>
          <w:rFonts w:hint="cs"/>
          <w:rtl/>
        </w:rPr>
        <w:t xml:space="preserve">נמצא כי בשנת 2009 סיכם משרד </w:t>
      </w:r>
      <w:r w:rsidRPr="000041B6" w:rsidR="00985E92">
        <w:rPr>
          <w:rFonts w:hint="cs"/>
          <w:rtl/>
        </w:rPr>
        <w:t>האנרגייה</w:t>
      </w:r>
      <w:r w:rsidRPr="000041B6" w:rsidR="00985E92">
        <w:rPr>
          <w:rFonts w:hint="cs"/>
          <w:rtl/>
        </w:rPr>
        <w:t xml:space="preserve"> עם </w:t>
      </w:r>
      <w:r w:rsidRPr="000041B6" w:rsidR="00985E92">
        <w:rPr>
          <w:rFonts w:hint="cs"/>
          <w:rtl/>
        </w:rPr>
        <w:t>מי"ה</w:t>
      </w:r>
      <w:r w:rsidRPr="000041B6" w:rsidR="00985E92">
        <w:rPr>
          <w:rFonts w:hint="cs"/>
          <w:rtl/>
        </w:rPr>
        <w:t xml:space="preserve"> על מתווה פיקוח, אולם המשרד לא עמד על מימושו המלא, ו</w:t>
      </w:r>
      <w:r w:rsidR="00E2370F">
        <w:rPr>
          <w:rFonts w:hint="cs"/>
          <w:rtl/>
        </w:rPr>
        <w:t xml:space="preserve">כן כי </w:t>
      </w:r>
      <w:r w:rsidRPr="000041B6" w:rsidR="00985E92">
        <w:rPr>
          <w:rFonts w:hint="cs"/>
          <w:rtl/>
        </w:rPr>
        <w:t xml:space="preserve">משנת 2011 עד למועד סיום הביקורת משרד </w:t>
      </w:r>
      <w:r w:rsidRPr="000041B6" w:rsidR="00985E92">
        <w:rPr>
          <w:rFonts w:hint="cs"/>
          <w:rtl/>
        </w:rPr>
        <w:t>האנרגייה</w:t>
      </w:r>
      <w:r w:rsidRPr="000041B6" w:rsidR="00985E92">
        <w:rPr>
          <w:rFonts w:hint="cs"/>
          <w:rtl/>
        </w:rPr>
        <w:t xml:space="preserve"> לא קיבל </w:t>
      </w:r>
      <w:r w:rsidRPr="000041B6" w:rsidR="00985E92">
        <w:rPr>
          <w:rFonts w:hint="cs"/>
          <w:rtl/>
        </w:rPr>
        <w:t>ממי"ה</w:t>
      </w:r>
      <w:r w:rsidRPr="000041B6" w:rsidR="00985E92">
        <w:rPr>
          <w:rFonts w:hint="cs"/>
          <w:rtl/>
        </w:rPr>
        <w:t xml:space="preserve"> דיווחים על כמויות החומרים שהיא הפיקה בתחום הזיכיון, לא ביצע סיורי פיקוח מלאים כפי שהוא נוהג לבצע באתרי כרייה אחרים ואין בידו נתונים או אומדן בנוגע לכמויות חומרי החציבה </w:t>
      </w:r>
      <w:r w:rsidRPr="000041B6" w:rsidR="00985E92">
        <w:rPr>
          <w:rFonts w:hint="cs"/>
          <w:rtl/>
        </w:rPr>
        <w:t>שמי"ה</w:t>
      </w:r>
      <w:r w:rsidRPr="000041B6" w:rsidR="00985E92">
        <w:rPr>
          <w:rFonts w:hint="cs"/>
          <w:rtl/>
        </w:rPr>
        <w:t xml:space="preserve"> כרתה, לאופן ביצוע הכרייה ומידת ניצול החומר. </w:t>
      </w:r>
      <w:r w:rsidRPr="000041B6" w:rsidR="00985E92">
        <w:rPr>
          <w:rtl/>
        </w:rPr>
        <w:t xml:space="preserve">בהיעדר בקרה </w:t>
      </w:r>
      <w:r w:rsidRPr="000041B6" w:rsidR="00985E92">
        <w:rPr>
          <w:rFonts w:hint="cs"/>
          <w:rtl/>
        </w:rPr>
        <w:t>ומידע כאמור</w:t>
      </w:r>
      <w:r w:rsidRPr="000041B6" w:rsidR="00985E92">
        <w:rPr>
          <w:rtl/>
        </w:rPr>
        <w:t xml:space="preserve">, לא הובטח ניצולם היעיל של משאבי הטבע, </w:t>
      </w:r>
      <w:r w:rsidRPr="00E2370F" w:rsidR="00E2370F">
        <w:rPr>
          <w:rtl/>
        </w:rPr>
        <w:t>נושא שיש לו השפעות כלכליות וסביבתיות</w:t>
      </w:r>
      <w:r w:rsidRPr="00AF3B73">
        <w:rPr>
          <w:rFonts w:hint="cs"/>
          <w:rtl/>
        </w:rPr>
        <w:t>.</w:t>
      </w:r>
    </w:p>
    <w:p w:rsidR="00EB672B" w:rsidP="00EB672B" w14:paraId="6EA213E6" w14:textId="09691154">
      <w:pPr>
        <w:pStyle w:val="7317"/>
        <w:rPr>
          <w:rtl/>
        </w:rPr>
      </w:pPr>
      <w:r w:rsidRPr="00985E92">
        <w:rPr>
          <w:rStyle w:val="7371"/>
          <w:rFonts w:hint="cs"/>
          <w:noProof/>
          <w:rtl/>
        </w:rPr>
        <w:drawing>
          <wp:anchor distT="0" distB="0" distL="114300" distR="114300" simplePos="0" relativeHeight="251694080" behindDoc="1" locked="0" layoutInCell="1" allowOverlap="1">
            <wp:simplePos x="0" y="0"/>
            <wp:positionH relativeFrom="column">
              <wp:posOffset>4556955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40"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985E92" w:rsidR="00985E92">
        <w:rPr>
          <w:rStyle w:val="7371"/>
          <w:rFonts w:hint="eastAsia"/>
          <w:rtl/>
        </w:rPr>
        <w:t>אי</w:t>
      </w:r>
      <w:r w:rsidRPr="00985E92" w:rsidR="00985E92">
        <w:rPr>
          <w:rStyle w:val="7371"/>
          <w:rtl/>
        </w:rPr>
        <w:t>-</w:t>
      </w:r>
      <w:r w:rsidRPr="00985E92" w:rsidR="00985E92">
        <w:rPr>
          <w:rStyle w:val="7371"/>
          <w:rFonts w:hint="cs"/>
          <w:rtl/>
        </w:rPr>
        <w:t>אסדרת</w:t>
      </w:r>
      <w:r w:rsidRPr="00985E92" w:rsidR="00985E92">
        <w:rPr>
          <w:rStyle w:val="7371"/>
          <w:rFonts w:hint="cs"/>
          <w:rtl/>
        </w:rPr>
        <w:t xml:space="preserve"> פעילות הכרייה של </w:t>
      </w:r>
      <w:r w:rsidRPr="00985E92" w:rsidR="00985E92">
        <w:rPr>
          <w:rStyle w:val="7371"/>
          <w:rFonts w:hint="cs"/>
          <w:rtl/>
        </w:rPr>
        <w:t>מי"ה</w:t>
      </w:r>
      <w:r w:rsidRPr="00985E92" w:rsidR="00985E92">
        <w:rPr>
          <w:rStyle w:val="7371"/>
          <w:rFonts w:hint="cs"/>
          <w:rtl/>
        </w:rPr>
        <w:t xml:space="preserve"> ברישיון חציבה -</w:t>
      </w:r>
      <w:r w:rsidRPr="000041B6" w:rsidR="00985E92">
        <w:rPr>
          <w:rFonts w:hint="cs"/>
          <w:rtl/>
        </w:rPr>
        <w:t xml:space="preserve"> </w:t>
      </w:r>
      <w:r w:rsidRPr="000041B6" w:rsidR="00985E92">
        <w:rPr>
          <w:rtl/>
        </w:rPr>
        <w:t xml:space="preserve">נמצא שהאסדרה </w:t>
      </w:r>
      <w:r w:rsidRPr="000041B6" w:rsidR="00985E92">
        <w:rPr>
          <w:rtl/>
        </w:rPr>
        <w:t>המינהלית</w:t>
      </w:r>
      <w:r w:rsidRPr="000041B6" w:rsidR="00985E92">
        <w:rPr>
          <w:rtl/>
        </w:rPr>
        <w:t xml:space="preserve"> באמצעות רישיון חציבה שמיושמת על ידי משרד </w:t>
      </w:r>
      <w:r w:rsidRPr="000041B6" w:rsidR="00985E92">
        <w:rPr>
          <w:rtl/>
        </w:rPr>
        <w:t>האנרגייה</w:t>
      </w:r>
      <w:r w:rsidRPr="000041B6" w:rsidR="00985E92">
        <w:rPr>
          <w:rtl/>
        </w:rPr>
        <w:t xml:space="preserve"> למול עשרות גורמים שמקיימים פעולות חציבה ברחבי הארץ, לא יושמה למול פעילות הכרייה של </w:t>
      </w:r>
      <w:r w:rsidRPr="000041B6" w:rsidR="00985E92">
        <w:rPr>
          <w:rtl/>
        </w:rPr>
        <w:t>מי"ה</w:t>
      </w:r>
      <w:r w:rsidRPr="000041B6" w:rsidR="00985E92">
        <w:rPr>
          <w:rtl/>
        </w:rPr>
        <w:t xml:space="preserve"> עד מועד סיום הביקורת (יוני 2024). הועלה כי גם לאחר שבשנת 2018 הביע משרד </w:t>
      </w:r>
      <w:r w:rsidRPr="000041B6" w:rsidR="00985E92">
        <w:rPr>
          <w:rtl/>
        </w:rPr>
        <w:t>האנרגייה</w:t>
      </w:r>
      <w:r w:rsidRPr="000041B6" w:rsidR="00985E92">
        <w:rPr>
          <w:rtl/>
        </w:rPr>
        <w:t xml:space="preserve"> את עמדתו ולפיה ראוי שפעילות הכרייה של </w:t>
      </w:r>
      <w:r w:rsidRPr="000041B6" w:rsidR="00985E92">
        <w:rPr>
          <w:rtl/>
        </w:rPr>
        <w:t>מי"ה</w:t>
      </w:r>
      <w:r w:rsidRPr="000041B6" w:rsidR="00985E92">
        <w:rPr>
          <w:rtl/>
        </w:rPr>
        <w:t xml:space="preserve"> בשטח הזיכיון תוסדר ברישיון חציבה - הוא לא נקט פעולות להסדרת רישיון זה, וכאשר שאלת הצורך ברישיון חציבה הועלתה פעם נוספת בשנת 2023 הוא הסתפק בחוות דעת משפטית ולפיה "ככל הנראה לא נדרש רישיון לפי הפקודה", בלי לבחון לעומק את ההנחות שעליהן נשענה חוות הדעת.</w:t>
      </w:r>
      <w:r w:rsidRPr="000041B6" w:rsidR="00985E92">
        <w:rPr>
          <w:rFonts w:hint="cs"/>
          <w:rtl/>
        </w:rPr>
        <w:t xml:space="preserve"> עלה כי רק בעקבות הביקורת הנוכחית של משרד מבקר המדינה והשאלות שעלו במסגרתה הוא החל לבחון שוב את עמדתו בנושא</w:t>
      </w:r>
      <w:r w:rsidRPr="00AF3B73">
        <w:rPr>
          <w:rFonts w:hint="cs"/>
          <w:rtl/>
        </w:rPr>
        <w:t xml:space="preserve">. </w:t>
      </w:r>
    </w:p>
    <w:p w:rsidR="00985E92" w:rsidRPr="00541FAA" w:rsidP="00541FAA" w14:paraId="362B5DF8" w14:textId="1CFCC7F1">
      <w:pPr>
        <w:pStyle w:val="7317"/>
        <w:rPr>
          <w:rtl/>
          <w:lang w:val="ru-RU"/>
        </w:rPr>
      </w:pPr>
      <w:r w:rsidRPr="00985E92">
        <w:rPr>
          <w:rStyle w:val="7371"/>
          <w:rFonts w:hint="cs"/>
          <w:noProof/>
          <w:rtl/>
        </w:rPr>
        <w:drawing>
          <wp:anchor distT="0" distB="0" distL="114300" distR="114300" simplePos="0" relativeHeight="251701248" behindDoc="1" locked="0" layoutInCell="1" allowOverlap="1">
            <wp:simplePos x="0" y="0"/>
            <wp:positionH relativeFrom="column">
              <wp:posOffset>4556955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717801209"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801209"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985E92">
        <w:rPr>
          <w:rStyle w:val="7371"/>
          <w:rFonts w:hint="cs"/>
          <w:rtl/>
        </w:rPr>
        <w:t xml:space="preserve">אי-גביית תשלום </w:t>
      </w:r>
      <w:r w:rsidRPr="00985E92">
        <w:rPr>
          <w:rStyle w:val="7371"/>
          <w:rFonts w:hint="cs"/>
          <w:rtl/>
        </w:rPr>
        <w:t>ממי"ה</w:t>
      </w:r>
      <w:r w:rsidRPr="00985E92">
        <w:rPr>
          <w:rStyle w:val="7371"/>
          <w:rFonts w:hint="cs"/>
          <w:rtl/>
        </w:rPr>
        <w:t xml:space="preserve"> בגין פעילות הכרייה שלה - </w:t>
      </w:r>
      <w:r w:rsidRPr="000041B6">
        <w:rPr>
          <w:rFonts w:hint="cs"/>
          <w:rtl/>
        </w:rPr>
        <w:t xml:space="preserve">משרד </w:t>
      </w:r>
      <w:r w:rsidRPr="000041B6">
        <w:rPr>
          <w:rFonts w:hint="cs"/>
          <w:rtl/>
        </w:rPr>
        <w:t>האנרגייה</w:t>
      </w:r>
      <w:r w:rsidRPr="000041B6">
        <w:rPr>
          <w:rFonts w:hint="cs"/>
          <w:rtl/>
        </w:rPr>
        <w:t xml:space="preserve"> </w:t>
      </w:r>
      <w:r w:rsidRPr="000041B6">
        <w:rPr>
          <w:rFonts w:hint="cs"/>
          <w:rtl/>
        </w:rPr>
        <w:t>ורמ"י</w:t>
      </w:r>
      <w:r w:rsidRPr="000041B6">
        <w:rPr>
          <w:rFonts w:hint="cs"/>
          <w:rtl/>
        </w:rPr>
        <w:t xml:space="preserve"> לא דרשו </w:t>
      </w:r>
      <w:r w:rsidRPr="000041B6">
        <w:rPr>
          <w:rFonts w:hint="cs"/>
          <w:rtl/>
        </w:rPr>
        <w:t>ממי"ה</w:t>
      </w:r>
      <w:r w:rsidRPr="000041B6">
        <w:rPr>
          <w:rFonts w:hint="cs"/>
          <w:rtl/>
        </w:rPr>
        <w:t xml:space="preserve"> לשלם בגין החומרים שהיא כורה זה שנים רבות בשטח הזיכיון, ולא בחנו את </w:t>
      </w:r>
      <w:r w:rsidRPr="00541FAA" w:rsidR="00541FAA">
        <w:rPr>
          <w:rtl/>
        </w:rPr>
        <w:t xml:space="preserve">ההצדקות לכך. לפי חישוב שביצוע משרד מבקר המדינה, בהנחה שהנתונים </w:t>
      </w:r>
      <w:r w:rsidRPr="00541FAA" w:rsidR="00541FAA">
        <w:rPr>
          <w:rtl/>
        </w:rPr>
        <w:t>שמי"ה</w:t>
      </w:r>
      <w:r w:rsidRPr="00541FAA" w:rsidR="00541FAA">
        <w:rPr>
          <w:rtl/>
        </w:rPr>
        <w:t xml:space="preserve"> העבירה למשרד </w:t>
      </w:r>
      <w:r w:rsidRPr="00541FAA" w:rsidR="00541FAA">
        <w:rPr>
          <w:rtl/>
        </w:rPr>
        <w:t>האנרגייה</w:t>
      </w:r>
      <w:r w:rsidRPr="00541FAA" w:rsidR="00541FAA">
        <w:rPr>
          <w:rtl/>
        </w:rPr>
        <w:t xml:space="preserve"> לגבי היקפי הכרייה בשנת 2010 הם נתונים מייצגים, הרי שמדובר בסכום שהיה עשוי להגיע במהלך העשור האחרון לאחר היוונו ליותר 120 מיליון ש"ח (כ-112 מיליון ש"ח </w:t>
      </w:r>
      <w:r w:rsidRPr="00541FAA" w:rsidR="00541FAA">
        <w:rPr>
          <w:rtl/>
        </w:rPr>
        <w:t>לרמ"י</w:t>
      </w:r>
      <w:r w:rsidRPr="00541FAA" w:rsidR="00541FAA">
        <w:rPr>
          <w:rtl/>
        </w:rPr>
        <w:t xml:space="preserve"> ויותר מ-8.5 מיליון ש"ח לקרן לשיקום מחצבות). יוער כי התשלום</w:t>
      </w:r>
      <w:r w:rsidRPr="000041B6">
        <w:rPr>
          <w:rFonts w:hint="cs"/>
          <w:rtl/>
        </w:rPr>
        <w:t xml:space="preserve"> בגין הכרייה הוא כלי</w:t>
      </w:r>
      <w:r w:rsidR="00F3374C">
        <w:t xml:space="preserve"> </w:t>
      </w:r>
      <w:r w:rsidRPr="00F3374C" w:rsidR="00F3374C">
        <w:rPr>
          <w:rtl/>
        </w:rPr>
        <w:t>משמעותי</w:t>
      </w:r>
      <w:r w:rsidRPr="000041B6">
        <w:rPr>
          <w:rFonts w:hint="cs"/>
          <w:rtl/>
        </w:rPr>
        <w:t xml:space="preserve"> ביותר לניהול בר קיימה של חומרי מחצבה, הקבוע בפקודת המכרות ובנהלי </w:t>
      </w:r>
      <w:r w:rsidRPr="000041B6">
        <w:rPr>
          <w:rFonts w:hint="cs"/>
          <w:rtl/>
        </w:rPr>
        <w:t>רמ"י</w:t>
      </w:r>
      <w:r w:rsidRPr="000041B6">
        <w:rPr>
          <w:rFonts w:hint="cs"/>
          <w:rtl/>
        </w:rPr>
        <w:t xml:space="preserve"> ומיושם בעשרות אתרי כרייה אחרים בארץ</w:t>
      </w:r>
      <w:r w:rsidRPr="00AF3B73">
        <w:rPr>
          <w:rFonts w:hint="cs"/>
          <w:rtl/>
        </w:rPr>
        <w:t xml:space="preserve">. </w:t>
      </w:r>
    </w:p>
    <w:p w:rsidR="00985E92" w:rsidP="00985E92" w14:paraId="40BF5175" w14:textId="00AE2E17">
      <w:pPr>
        <w:pStyle w:val="7317"/>
        <w:rPr>
          <w:rtl/>
        </w:rPr>
      </w:pPr>
      <w:r w:rsidRPr="00985E92">
        <w:rPr>
          <w:rStyle w:val="7371"/>
          <w:rFonts w:hint="cs"/>
          <w:noProof/>
          <w:rtl/>
        </w:rPr>
        <w:drawing>
          <wp:anchor distT="0" distB="0" distL="114300" distR="114300" simplePos="0" relativeHeight="251702272" behindDoc="1" locked="0" layoutInCell="1" allowOverlap="1">
            <wp:simplePos x="0" y="0"/>
            <wp:positionH relativeFrom="column">
              <wp:posOffset>4556760</wp:posOffset>
            </wp:positionH>
            <wp:positionV relativeFrom="paragraph">
              <wp:posOffset>37937</wp:posOffset>
            </wp:positionV>
            <wp:extent cx="162000" cy="162000"/>
            <wp:effectExtent l="0" t="0" r="3175" b="3175"/>
            <wp:wrapTight wrapText="bothSides">
              <wp:wrapPolygon>
                <wp:start x="0" y="0"/>
                <wp:lineTo x="0" y="15247"/>
                <wp:lineTo x="5082" y="20329"/>
                <wp:lineTo x="16941" y="20329"/>
                <wp:lineTo x="20329" y="15247"/>
                <wp:lineTo x="20329" y="0"/>
                <wp:lineTo x="0" y="0"/>
              </wp:wrapPolygon>
            </wp:wrapTight>
            <wp:docPr id="1830983086"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983086"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985E92">
        <w:rPr>
          <w:rStyle w:val="7371"/>
          <w:rFonts w:hint="cs"/>
          <w:rtl/>
        </w:rPr>
        <w:t>היעדר שיקום של אתרי כרייה נטושים -</w:t>
      </w:r>
      <w:r w:rsidRPr="000041B6">
        <w:rPr>
          <w:rFonts w:hint="cs"/>
          <w:rtl/>
        </w:rPr>
        <w:t xml:space="preserve"> </w:t>
      </w:r>
      <w:bookmarkStart w:id="9" w:name="_Hlk174455907"/>
      <w:r w:rsidRPr="000041B6">
        <w:rPr>
          <w:rFonts w:hint="cs"/>
          <w:rtl/>
        </w:rPr>
        <w:t xml:space="preserve">משרד </w:t>
      </w:r>
      <w:r w:rsidRPr="000041B6">
        <w:rPr>
          <w:rFonts w:hint="cs"/>
          <w:rtl/>
        </w:rPr>
        <w:t>האנרגייה</w:t>
      </w:r>
      <w:r w:rsidRPr="000041B6">
        <w:rPr>
          <w:rFonts w:hint="cs"/>
          <w:rtl/>
        </w:rPr>
        <w:t xml:space="preserve"> והמשרד </w:t>
      </w:r>
      <w:r w:rsidRPr="000041B6">
        <w:rPr>
          <w:rFonts w:hint="cs"/>
          <w:rtl/>
        </w:rPr>
        <w:t>להג"ס</w:t>
      </w:r>
      <w:r w:rsidRPr="000041B6">
        <w:rPr>
          <w:rFonts w:hint="cs"/>
          <w:rtl/>
        </w:rPr>
        <w:t xml:space="preserve">, לא דרשו </w:t>
      </w:r>
      <w:r w:rsidRPr="000041B6">
        <w:rPr>
          <w:rFonts w:hint="cs"/>
          <w:rtl/>
        </w:rPr>
        <w:t>ממי"ה</w:t>
      </w:r>
      <w:r w:rsidRPr="000041B6">
        <w:rPr>
          <w:rFonts w:hint="cs"/>
          <w:rtl/>
        </w:rPr>
        <w:t xml:space="preserve"> </w:t>
      </w:r>
      <w:bookmarkEnd w:id="9"/>
      <w:r w:rsidRPr="000041B6">
        <w:rPr>
          <w:rFonts w:hint="cs"/>
          <w:rtl/>
        </w:rPr>
        <w:t xml:space="preserve">לבצע שיקום מלא של אתרי הכרייה בתחום הזיכיון שבהם היא סיימה לבצע כרייה. </w:t>
      </w:r>
      <w:r w:rsidRPr="000041B6">
        <w:rPr>
          <w:rtl/>
        </w:rPr>
        <w:t xml:space="preserve">הפער באי-שיקום אתרי הכרייה מתחדד, שעה שמשרד </w:t>
      </w:r>
      <w:r w:rsidRPr="000041B6">
        <w:rPr>
          <w:rtl/>
        </w:rPr>
        <w:t>האנרגייה</w:t>
      </w:r>
      <w:r w:rsidRPr="000041B6">
        <w:rPr>
          <w:rtl/>
        </w:rPr>
        <w:t xml:space="preserve"> לא דרש </w:t>
      </w:r>
      <w:r w:rsidRPr="000041B6">
        <w:rPr>
          <w:rtl/>
        </w:rPr>
        <w:t>ממי"ה</w:t>
      </w:r>
      <w:r w:rsidRPr="000041B6">
        <w:rPr>
          <w:rtl/>
        </w:rPr>
        <w:t xml:space="preserve"> תשלום לקרן לשיקום מחצבות, תשלום שהיה יכול להיות אחד ממקורות המימון לביצוע השיקום</w:t>
      </w:r>
      <w:r w:rsidRPr="000041B6">
        <w:rPr>
          <w:rFonts w:hint="cs"/>
          <w:rtl/>
        </w:rPr>
        <w:t xml:space="preserve">. </w:t>
      </w:r>
      <w:r w:rsidRPr="000041B6">
        <w:rPr>
          <w:rtl/>
        </w:rPr>
        <w:t>אתרי כרייה נטושים שלא בוצעו בהם פעולות שיקום מהווים מפגע נופי וסביבתי. הם בגדר "פצע פתוח" בלב שטחים פתוחים וטבעיים בנוף הייחודי של ים המלח</w:t>
      </w:r>
      <w:r w:rsidRPr="00AF3B73">
        <w:rPr>
          <w:rFonts w:hint="cs"/>
          <w:rtl/>
        </w:rPr>
        <w:t xml:space="preserve">. </w:t>
      </w:r>
    </w:p>
    <w:p w:rsidR="00985E92" w:rsidP="00985E92" w14:paraId="4EC76180" w14:textId="79909681">
      <w:pPr>
        <w:pStyle w:val="7317"/>
        <w:rPr>
          <w:rtl/>
        </w:rPr>
      </w:pPr>
      <w:r w:rsidRPr="00985E92">
        <w:rPr>
          <w:rStyle w:val="7371"/>
          <w:rFonts w:hint="cs"/>
          <w:noProof/>
          <w:rtl/>
        </w:rPr>
        <w:drawing>
          <wp:anchor distT="0" distB="0" distL="114300" distR="114300" simplePos="0" relativeHeight="251703296" behindDoc="1" locked="0" layoutInCell="1" allowOverlap="1">
            <wp:simplePos x="0" y="0"/>
            <wp:positionH relativeFrom="column">
              <wp:posOffset>4556955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119691887"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91887"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985E92">
        <w:rPr>
          <w:rStyle w:val="7371"/>
          <w:rFonts w:hint="cs"/>
          <w:rtl/>
        </w:rPr>
        <w:t xml:space="preserve">ליקויים ביישום הוראות האסדרה התכנונית של אתרי הכרייה של </w:t>
      </w:r>
      <w:r w:rsidRPr="00985E92">
        <w:rPr>
          <w:rStyle w:val="7371"/>
          <w:rFonts w:hint="cs"/>
          <w:rtl/>
        </w:rPr>
        <w:t>מי"ה</w:t>
      </w:r>
      <w:r w:rsidRPr="00985E92">
        <w:rPr>
          <w:rStyle w:val="7371"/>
          <w:rFonts w:hint="cs"/>
          <w:rtl/>
        </w:rPr>
        <w:t xml:space="preserve"> -</w:t>
      </w:r>
      <w:r w:rsidRPr="000041B6">
        <w:rPr>
          <w:rFonts w:hint="cs"/>
          <w:rtl/>
        </w:rPr>
        <w:t xml:space="preserve"> </w:t>
      </w:r>
      <w:r w:rsidRPr="000041B6">
        <w:rPr>
          <w:rFonts w:hint="eastAsia"/>
          <w:rtl/>
        </w:rPr>
        <w:t>על</w:t>
      </w:r>
      <w:r w:rsidRPr="000041B6">
        <w:rPr>
          <w:rtl/>
        </w:rPr>
        <w:t xml:space="preserve"> אף </w:t>
      </w:r>
      <w:r w:rsidRPr="000041B6">
        <w:rPr>
          <w:rFonts w:hint="cs"/>
          <w:rtl/>
        </w:rPr>
        <w:t xml:space="preserve">הקבוע בהוראות התוכניות הסטטוטוריות החלות על </w:t>
      </w:r>
      <w:r w:rsidRPr="000041B6">
        <w:rPr>
          <w:rtl/>
        </w:rPr>
        <w:t xml:space="preserve">אתרי כרייה </w:t>
      </w:r>
      <w:r w:rsidRPr="000041B6">
        <w:rPr>
          <w:rtl/>
        </w:rPr>
        <w:t>שמי"ה</w:t>
      </w:r>
      <w:r w:rsidRPr="000041B6">
        <w:rPr>
          <w:rtl/>
        </w:rPr>
        <w:t xml:space="preserve"> מפעילה</w:t>
      </w:r>
      <w:r w:rsidR="00000CA7">
        <w:rPr>
          <w:rFonts w:hint="cs"/>
          <w:rtl/>
        </w:rPr>
        <w:t>,</w:t>
      </w:r>
      <w:r w:rsidRPr="000041B6">
        <w:rPr>
          <w:rFonts w:hint="cs"/>
          <w:rtl/>
        </w:rPr>
        <w:t xml:space="preserve"> רשות ניקוז ים המלח לא דרשה לקבל </w:t>
      </w:r>
      <w:r w:rsidRPr="000041B6">
        <w:rPr>
          <w:rFonts w:hint="cs"/>
          <w:rtl/>
        </w:rPr>
        <w:t>ממי"ה</w:t>
      </w:r>
      <w:r w:rsidRPr="000041B6">
        <w:rPr>
          <w:rFonts w:hint="cs"/>
          <w:rtl/>
        </w:rPr>
        <w:t xml:space="preserve"> תוכנית מדידה מעודכנת בדבר הכרייה שהיא מבצעת באתרים נחל </w:t>
      </w:r>
      <w:r w:rsidRPr="000041B6">
        <w:rPr>
          <w:rFonts w:hint="cs"/>
          <w:rtl/>
        </w:rPr>
        <w:t>חימר</w:t>
      </w:r>
      <w:r w:rsidRPr="000041B6">
        <w:rPr>
          <w:rFonts w:hint="cs"/>
          <w:rtl/>
        </w:rPr>
        <w:t xml:space="preserve"> ונחל צין, ולא ביצעה מעקב ובקרה בנושא </w:t>
      </w:r>
      <w:r w:rsidRPr="000041B6">
        <w:rPr>
          <w:rFonts w:hint="cs"/>
          <w:rtl/>
        </w:rPr>
        <w:t>ורט"ג</w:t>
      </w:r>
      <w:r w:rsidRPr="000041B6">
        <w:rPr>
          <w:rFonts w:hint="cs"/>
          <w:rtl/>
        </w:rPr>
        <w:t xml:space="preserve"> לא דרשה כי </w:t>
      </w:r>
      <w:r w:rsidRPr="000041B6">
        <w:rPr>
          <w:rFonts w:hint="cs"/>
          <w:rtl/>
        </w:rPr>
        <w:t>מי"ה</w:t>
      </w:r>
      <w:r w:rsidRPr="000041B6">
        <w:rPr>
          <w:rFonts w:hint="cs"/>
          <w:rtl/>
        </w:rPr>
        <w:t xml:space="preserve"> תבצע ניטור של המערכת האקולוגית ושל משטר הזרימה באתר הכרייה שהיא מפעילה בנחל </w:t>
      </w:r>
      <w:r w:rsidRPr="000041B6">
        <w:rPr>
          <w:rFonts w:hint="cs"/>
          <w:rtl/>
        </w:rPr>
        <w:t>חימר</w:t>
      </w:r>
      <w:r w:rsidRPr="000041B6">
        <w:rPr>
          <w:rFonts w:hint="cs"/>
          <w:rtl/>
        </w:rPr>
        <w:t>. הוראות אלו נועדו למזער את ההשפעה הסביבתית של הכרייה, ובכלל זאת למנוע התפשטות של מינים פולשים, פגיעה במערכת האקולוגית ושינוי במשטר הזרימה של נגר עילי, סחף ונחלים</w:t>
      </w:r>
      <w:r w:rsidRPr="00AF3B73">
        <w:rPr>
          <w:rFonts w:hint="cs"/>
          <w:rtl/>
        </w:rPr>
        <w:t xml:space="preserve">. </w:t>
      </w:r>
    </w:p>
    <w:p w:rsidR="00985E92" w:rsidRPr="000041B6" w:rsidP="00985E92" w14:paraId="5C7CBFDD" w14:textId="77777777">
      <w:pPr>
        <w:pStyle w:val="73512"/>
      </w:pPr>
      <w:r w:rsidRPr="000041B6">
        <w:rPr>
          <w:rFonts w:hint="eastAsia"/>
          <w:rtl/>
        </w:rPr>
        <w:t>האסדרה</w:t>
      </w:r>
      <w:r w:rsidRPr="000041B6">
        <w:rPr>
          <w:rtl/>
        </w:rPr>
        <w:t xml:space="preserve"> והפיקוח של </w:t>
      </w:r>
      <w:r w:rsidRPr="000041B6">
        <w:rPr>
          <w:rFonts w:hint="eastAsia"/>
          <w:rtl/>
        </w:rPr>
        <w:t>רמ</w:t>
      </w:r>
      <w:r w:rsidRPr="000041B6">
        <w:rPr>
          <w:rtl/>
        </w:rPr>
        <w:t>"י</w:t>
      </w:r>
      <w:r w:rsidRPr="000041B6">
        <w:rPr>
          <w:rtl/>
        </w:rPr>
        <w:t xml:space="preserve"> על השימושים </w:t>
      </w:r>
      <w:r w:rsidRPr="000041B6">
        <w:rPr>
          <w:rFonts w:hint="eastAsia"/>
          <w:rtl/>
        </w:rPr>
        <w:t>שמי</w:t>
      </w:r>
      <w:r w:rsidRPr="000041B6">
        <w:rPr>
          <w:rtl/>
        </w:rPr>
        <w:t>"ה</w:t>
      </w:r>
      <w:r w:rsidRPr="000041B6">
        <w:rPr>
          <w:rtl/>
        </w:rPr>
        <w:t xml:space="preserve"> </w:t>
      </w:r>
      <w:r w:rsidRPr="000041B6">
        <w:rPr>
          <w:rFonts w:hint="cs"/>
          <w:rtl/>
        </w:rPr>
        <w:t>מבצעת</w:t>
      </w:r>
      <w:r w:rsidRPr="000041B6">
        <w:rPr>
          <w:rtl/>
        </w:rPr>
        <w:t xml:space="preserve"> </w:t>
      </w:r>
      <w:r w:rsidRPr="000041B6">
        <w:rPr>
          <w:rFonts w:hint="cs"/>
          <w:rtl/>
        </w:rPr>
        <w:t>בשטח</w:t>
      </w:r>
      <w:r w:rsidRPr="000041B6">
        <w:rPr>
          <w:rtl/>
        </w:rPr>
        <w:t xml:space="preserve"> הזיכיון </w:t>
      </w:r>
    </w:p>
    <w:p w:rsidR="00985E92" w:rsidRPr="000041B6" w:rsidP="00985E92" w14:paraId="38D95C19" w14:textId="07FF84D2">
      <w:pPr>
        <w:pStyle w:val="7317"/>
        <w:ind w:left="0"/>
      </w:pPr>
      <w:r w:rsidRPr="000041B6">
        <w:rPr>
          <w:rtl/>
        </w:rPr>
        <w:t xml:space="preserve">ממצאי הביקורת מעלים ליקויים </w:t>
      </w:r>
      <w:r w:rsidRPr="00FF3494" w:rsidR="00FF3494">
        <w:rPr>
          <w:rtl/>
        </w:rPr>
        <w:t>לגבי</w:t>
      </w:r>
      <w:r w:rsidR="00FF3494">
        <w:rPr>
          <w:rFonts w:hint="cs"/>
          <w:rtl/>
        </w:rPr>
        <w:t xml:space="preserve"> </w:t>
      </w:r>
      <w:r w:rsidRPr="00FF3494" w:rsidR="00FF3494">
        <w:rPr>
          <w:rtl/>
        </w:rPr>
        <w:t>האופן</w:t>
      </w:r>
      <w:r w:rsidR="00FF3494">
        <w:rPr>
          <w:rFonts w:hint="cs"/>
          <w:rtl/>
        </w:rPr>
        <w:t xml:space="preserve"> </w:t>
      </w:r>
      <w:r w:rsidRPr="000041B6">
        <w:rPr>
          <w:rtl/>
        </w:rPr>
        <w:t xml:space="preserve">שבו התנהלה </w:t>
      </w:r>
      <w:r w:rsidRPr="000041B6">
        <w:rPr>
          <w:rtl/>
        </w:rPr>
        <w:t>רמ"י</w:t>
      </w:r>
      <w:r w:rsidRPr="000041B6">
        <w:rPr>
          <w:rtl/>
        </w:rPr>
        <w:t xml:space="preserve"> במשך עשרות שנים בכל הנוגע לניהול </w:t>
      </w:r>
      <w:r w:rsidRPr="000041B6">
        <w:rPr>
          <w:rFonts w:hint="cs"/>
          <w:rtl/>
        </w:rPr>
        <w:t xml:space="preserve">השטח הכלול </w:t>
      </w:r>
      <w:r w:rsidRPr="000041B6">
        <w:rPr>
          <w:rtl/>
        </w:rPr>
        <w:t xml:space="preserve">בתחום זיכיון ים המלח והפיקוח על השימושים </w:t>
      </w:r>
      <w:r w:rsidRPr="000041B6">
        <w:rPr>
          <w:rFonts w:hint="cs"/>
          <w:rtl/>
        </w:rPr>
        <w:t>שמי"ה</w:t>
      </w:r>
      <w:r w:rsidRPr="000041B6">
        <w:rPr>
          <w:rFonts w:hint="cs"/>
          <w:rtl/>
        </w:rPr>
        <w:t xml:space="preserve"> עשתה בו. </w:t>
      </w:r>
      <w:r w:rsidRPr="000041B6">
        <w:rPr>
          <w:rtl/>
        </w:rPr>
        <w:t>כתוצאה מכל אלו נפגע הפיקוח הממשלתי על הנעשה בתחום הזיכיון ונפגעה הקופה הציבורית.</w:t>
      </w:r>
    </w:p>
    <w:p w:rsidR="00985E92" w:rsidRPr="00985E92" w:rsidP="00985E92" w14:paraId="171DA669" w14:textId="0DA3D5DA">
      <w:pPr>
        <w:pStyle w:val="7370"/>
      </w:pPr>
      <w:r w:rsidRPr="00985E92">
        <w:rPr>
          <w:rStyle w:val="7372"/>
          <w:rFonts w:hint="cs"/>
          <w:bCs/>
          <w:noProof/>
          <w:rtl/>
        </w:rPr>
        <w:drawing>
          <wp:anchor distT="0" distB="0" distL="114300" distR="114300" simplePos="0" relativeHeight="251704320" behindDoc="1" locked="0" layoutInCell="1" allowOverlap="1">
            <wp:simplePos x="0" y="0"/>
            <wp:positionH relativeFrom="column">
              <wp:posOffset>4556955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1784982750"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982750"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985E92">
        <w:rPr>
          <w:rFonts w:hint="cs"/>
          <w:rtl/>
        </w:rPr>
        <w:t>אי-</w:t>
      </w:r>
      <w:r w:rsidRPr="00985E92">
        <w:rPr>
          <w:rFonts w:hint="cs"/>
          <w:rtl/>
        </w:rPr>
        <w:t>אסדרת</w:t>
      </w:r>
      <w:r w:rsidRPr="00985E92">
        <w:rPr>
          <w:rFonts w:hint="cs"/>
          <w:rtl/>
        </w:rPr>
        <w:t xml:space="preserve"> שימושים בשטח הזיכיון והיעדר פיקוח וגביית תשלום בגינם -</w:t>
      </w:r>
    </w:p>
    <w:p w:rsidR="00985E92" w:rsidRPr="000041B6" w:rsidP="002B4A75" w14:paraId="6785BBD2" w14:textId="2355749B">
      <w:pPr>
        <w:pStyle w:val="7317"/>
        <w:numPr>
          <w:ilvl w:val="0"/>
          <w:numId w:val="12"/>
        </w:numPr>
      </w:pPr>
      <w:r w:rsidRPr="000041B6">
        <w:rPr>
          <w:rFonts w:hint="cs"/>
          <w:rtl/>
        </w:rPr>
        <w:t xml:space="preserve">שטח הקרקעות השמורות הוא </w:t>
      </w:r>
      <w:r w:rsidRPr="000C249D" w:rsidR="000C249D">
        <w:rPr>
          <w:rtl/>
        </w:rPr>
        <w:t>כ-240,000</w:t>
      </w:r>
      <w:r w:rsidRPr="000C249D" w:rsidR="000C249D">
        <w:rPr>
          <w:rFonts w:hint="cs"/>
          <w:rtl/>
        </w:rPr>
        <w:t xml:space="preserve"> </w:t>
      </w:r>
      <w:r w:rsidRPr="000041B6">
        <w:rPr>
          <w:rFonts w:hint="cs"/>
          <w:rtl/>
        </w:rPr>
        <w:t xml:space="preserve">דונם, ולפי חוק הזיכיון שימוש בקרקעות אלו מצריך שינוי מעמדן לקרקעות חכורות ותשלום דמי חכירה בהתאם. בביקורת נמצא כי אף שבמהלך השנים הוקמו בשטח הקרקעות השמורות מתקנים המשמשים את </w:t>
      </w:r>
      <w:r w:rsidRPr="000041B6">
        <w:rPr>
          <w:rFonts w:hint="cs"/>
          <w:rtl/>
        </w:rPr>
        <w:t>מי"ה</w:t>
      </w:r>
      <w:r w:rsidRPr="000041B6">
        <w:rPr>
          <w:rFonts w:hint="cs"/>
          <w:rtl/>
        </w:rPr>
        <w:t xml:space="preserve"> (כגון תעלת ההזנה), </w:t>
      </w:r>
      <w:r w:rsidRPr="000041B6">
        <w:rPr>
          <w:rFonts w:hint="cs"/>
          <w:rtl/>
        </w:rPr>
        <w:t>רמ"י</w:t>
      </w:r>
      <w:r w:rsidRPr="000041B6">
        <w:rPr>
          <w:rFonts w:hint="cs"/>
          <w:rtl/>
        </w:rPr>
        <w:t xml:space="preserve"> לא פעלה לשנות את מעמד הקרקע בשטחים אלה לקרקעות חכורות כמתחייב לפי החוק, והיא אינה דורשת </w:t>
      </w:r>
      <w:r w:rsidRPr="000041B6">
        <w:rPr>
          <w:rFonts w:hint="cs"/>
          <w:rtl/>
        </w:rPr>
        <w:t>ממי"ה</w:t>
      </w:r>
      <w:r w:rsidRPr="000041B6">
        <w:rPr>
          <w:rFonts w:hint="cs"/>
          <w:rtl/>
        </w:rPr>
        <w:t xml:space="preserve"> תשלום בגין השימוש בהם. </w:t>
      </w:r>
      <w:r w:rsidRPr="00CC1F4F" w:rsidR="00CC1F4F">
        <w:rPr>
          <w:rtl/>
        </w:rPr>
        <w:t>עוד נמצא כי אף</w:t>
      </w:r>
      <w:r w:rsidRPr="000041B6">
        <w:rPr>
          <w:rFonts w:hint="cs"/>
          <w:rtl/>
        </w:rPr>
        <w:t xml:space="preserve"> שמדובר במקרקעין הכוללים ערכי טבע, נוף ומורשת, </w:t>
      </w:r>
      <w:r w:rsidRPr="000041B6">
        <w:rPr>
          <w:rFonts w:hint="cs"/>
          <w:rtl/>
        </w:rPr>
        <w:t>רמ"י</w:t>
      </w:r>
      <w:r w:rsidRPr="000041B6">
        <w:rPr>
          <w:rFonts w:hint="cs"/>
          <w:rtl/>
        </w:rPr>
        <w:t xml:space="preserve"> לא קיימה סיורי פיקוח בשטח הקרקעות השמורות והיא אינה יודעת על השימושים השונים שעושה </w:t>
      </w:r>
      <w:r w:rsidRPr="000041B6">
        <w:rPr>
          <w:rFonts w:hint="cs"/>
          <w:rtl/>
        </w:rPr>
        <w:t>מי"ה</w:t>
      </w:r>
      <w:r w:rsidRPr="000041B6">
        <w:rPr>
          <w:rFonts w:hint="cs"/>
          <w:rtl/>
        </w:rPr>
        <w:t xml:space="preserve"> בשטח זה. היעדר המידע בדבר השימושים של </w:t>
      </w:r>
      <w:r w:rsidRPr="000041B6">
        <w:rPr>
          <w:rFonts w:hint="cs"/>
          <w:rtl/>
        </w:rPr>
        <w:t>מי"ה</w:t>
      </w:r>
      <w:r w:rsidRPr="000041B6">
        <w:rPr>
          <w:rFonts w:hint="cs"/>
          <w:rtl/>
        </w:rPr>
        <w:t xml:space="preserve"> במקרקעין וגביית דמי החכירה בהתאם הם תוצאה של פיקוח חלש וחסר.</w:t>
      </w:r>
    </w:p>
    <w:p w:rsidR="00985E92" w:rsidRPr="000041B6" w:rsidP="002B4A75" w14:paraId="1083518A" w14:textId="640AE9CE">
      <w:pPr>
        <w:pStyle w:val="7317"/>
        <w:numPr>
          <w:ilvl w:val="0"/>
          <w:numId w:val="12"/>
        </w:numPr>
      </w:pPr>
      <w:r w:rsidRPr="000041B6">
        <w:rPr>
          <w:rFonts w:hint="cs"/>
          <w:rtl/>
        </w:rPr>
        <w:t xml:space="preserve">נמצא כי </w:t>
      </w:r>
      <w:r w:rsidRPr="000041B6">
        <w:rPr>
          <w:rtl/>
        </w:rPr>
        <w:t xml:space="preserve">אף ששטחים נרחבים מים המלח התייבשו מאז חוקק חוק הזיכיון, כך שנכון </w:t>
      </w:r>
      <w:r w:rsidR="00000CA7">
        <w:rPr>
          <w:rFonts w:hint="cs"/>
          <w:rtl/>
        </w:rPr>
        <w:t>לשנת 2024</w:t>
      </w:r>
      <w:r w:rsidRPr="000041B6">
        <w:rPr>
          <w:rtl/>
        </w:rPr>
        <w:t xml:space="preserve"> כ-</w:t>
      </w:r>
      <w:r w:rsidRPr="000041B6">
        <w:rPr>
          <w:rFonts w:hint="cs"/>
          <w:rtl/>
        </w:rPr>
        <w:t>250 קמ"ר</w:t>
      </w:r>
      <w:r w:rsidRPr="000041B6">
        <w:rPr>
          <w:rtl/>
        </w:rPr>
        <w:t xml:space="preserve"> שהיו בשטח ים המלח הפכו לקרקע</w:t>
      </w:r>
      <w:r w:rsidRPr="000041B6">
        <w:rPr>
          <w:rFonts w:hint="cs"/>
          <w:rtl/>
        </w:rPr>
        <w:t xml:space="preserve"> והוקמו </w:t>
      </w:r>
      <w:r w:rsidR="006D3E50">
        <w:rPr>
          <w:rFonts w:hint="cs"/>
          <w:rtl/>
        </w:rPr>
        <w:t>על חלקם</w:t>
      </w:r>
      <w:r w:rsidRPr="000041B6">
        <w:rPr>
          <w:rFonts w:hint="cs"/>
          <w:rtl/>
        </w:rPr>
        <w:t xml:space="preserve"> מתקנים תעשייתיים</w:t>
      </w:r>
      <w:r w:rsidRPr="000041B6">
        <w:rPr>
          <w:rtl/>
        </w:rPr>
        <w:t xml:space="preserve">, </w:t>
      </w:r>
      <w:r w:rsidRPr="000041B6">
        <w:rPr>
          <w:rtl/>
        </w:rPr>
        <w:t>רמ"י</w:t>
      </w:r>
      <w:r w:rsidRPr="000041B6">
        <w:rPr>
          <w:rtl/>
        </w:rPr>
        <w:t xml:space="preserve"> לא בחנה את מעמד הקרקע שנוצרה והאם נכון לגבות </w:t>
      </w:r>
      <w:r w:rsidR="00000CA7">
        <w:rPr>
          <w:rFonts w:hint="cs"/>
          <w:rtl/>
        </w:rPr>
        <w:t>דמי חכירה</w:t>
      </w:r>
      <w:r w:rsidRPr="000041B6">
        <w:rPr>
          <w:rtl/>
        </w:rPr>
        <w:t xml:space="preserve"> בגין השימושים המתקיימים בשטח זה</w:t>
      </w:r>
      <w:r w:rsidRPr="000041B6">
        <w:rPr>
          <w:rFonts w:hint="cs"/>
          <w:rtl/>
        </w:rPr>
        <w:t xml:space="preserve">. </w:t>
      </w:r>
    </w:p>
    <w:p w:rsidR="00985E92" w:rsidRPr="000041B6" w:rsidP="002B4A75" w14:paraId="18DBE457" w14:textId="523AFF75">
      <w:pPr>
        <w:pStyle w:val="7317"/>
        <w:numPr>
          <w:ilvl w:val="0"/>
          <w:numId w:val="12"/>
        </w:numPr>
      </w:pPr>
      <w:bookmarkStart w:id="10" w:name="_Hlk173952804"/>
      <w:r w:rsidRPr="000041B6">
        <w:rPr>
          <w:rFonts w:hint="eastAsia"/>
          <w:rtl/>
        </w:rPr>
        <w:t>נמצא</w:t>
      </w:r>
      <w:r w:rsidRPr="000041B6">
        <w:rPr>
          <w:rtl/>
        </w:rPr>
        <w:t xml:space="preserve"> כי </w:t>
      </w:r>
      <w:r w:rsidRPr="000041B6">
        <w:rPr>
          <w:rFonts w:hint="cs"/>
          <w:rtl/>
        </w:rPr>
        <w:t xml:space="preserve">אף </w:t>
      </w:r>
      <w:r w:rsidRPr="000041B6">
        <w:rPr>
          <w:rFonts w:hint="cs"/>
          <w:rtl/>
        </w:rPr>
        <w:t>ש</w:t>
      </w:r>
      <w:r w:rsidRPr="000041B6">
        <w:rPr>
          <w:rFonts w:hint="eastAsia"/>
          <w:rtl/>
        </w:rPr>
        <w:t>רמ</w:t>
      </w:r>
      <w:r w:rsidRPr="000041B6">
        <w:rPr>
          <w:rtl/>
        </w:rPr>
        <w:t>"י</w:t>
      </w:r>
      <w:r w:rsidRPr="000041B6">
        <w:rPr>
          <w:rtl/>
        </w:rPr>
        <w:t xml:space="preserve"> </w:t>
      </w:r>
      <w:r w:rsidRPr="000041B6">
        <w:rPr>
          <w:rFonts w:hint="cs"/>
          <w:rtl/>
        </w:rPr>
        <w:t xml:space="preserve">ידעה כי חלק מהחשמל המיוצר בתחנת הכוח החדשה </w:t>
      </w:r>
      <w:r w:rsidRPr="000041B6">
        <w:rPr>
          <w:rFonts w:hint="cs"/>
          <w:rtl/>
        </w:rPr>
        <w:t>שמי"ה</w:t>
      </w:r>
      <w:r w:rsidRPr="000041B6">
        <w:rPr>
          <w:rFonts w:hint="cs"/>
          <w:rtl/>
        </w:rPr>
        <w:t xml:space="preserve"> הקימה ושהחלה לפעול בשנת 2018 במפעל האשלג, אינו מיועד לשימוש עצמי של </w:t>
      </w:r>
      <w:r w:rsidRPr="000041B6">
        <w:rPr>
          <w:rFonts w:hint="cs"/>
          <w:rtl/>
        </w:rPr>
        <w:t>מי"ה</w:t>
      </w:r>
      <w:r w:rsidRPr="000041B6">
        <w:rPr>
          <w:rFonts w:hint="cs"/>
          <w:rtl/>
        </w:rPr>
        <w:t xml:space="preserve">, בניגוד להצהרה שנתנה לה </w:t>
      </w:r>
      <w:r w:rsidRPr="000041B6">
        <w:rPr>
          <w:rFonts w:hint="cs"/>
          <w:rtl/>
        </w:rPr>
        <w:t>מי"ה</w:t>
      </w:r>
      <w:r w:rsidRPr="000041B6">
        <w:rPr>
          <w:rFonts w:hint="cs"/>
          <w:rtl/>
        </w:rPr>
        <w:t xml:space="preserve"> כתנאי לחתימתה של </w:t>
      </w:r>
      <w:r w:rsidRPr="000041B6">
        <w:rPr>
          <w:rFonts w:hint="cs"/>
          <w:rtl/>
        </w:rPr>
        <w:t>רמ"י</w:t>
      </w:r>
      <w:r w:rsidRPr="000041B6">
        <w:rPr>
          <w:rFonts w:hint="cs"/>
          <w:rtl/>
        </w:rPr>
        <w:t xml:space="preserve"> על היתר הבנייה לתחנה, היא לא פעלה להסדרת השימוש או להפסקתו ולא גבתה תשלום בגין שימוש זה. </w:t>
      </w:r>
      <w:bookmarkStart w:id="11" w:name="_Hlk173952824"/>
      <w:bookmarkEnd w:id="10"/>
      <w:r w:rsidRPr="000041B6">
        <w:rPr>
          <w:rFonts w:hint="cs"/>
          <w:rtl/>
        </w:rPr>
        <w:t xml:space="preserve">העובדה כי </w:t>
      </w:r>
      <w:r w:rsidRPr="000C249D" w:rsidR="000C249D">
        <w:rPr>
          <w:rtl/>
        </w:rPr>
        <w:t>השימוש האמור בקרקע</w:t>
      </w:r>
      <w:r w:rsidRPr="000C249D" w:rsidR="000C249D">
        <w:rPr>
          <w:rFonts w:hint="cs"/>
          <w:rtl/>
        </w:rPr>
        <w:t xml:space="preserve"> </w:t>
      </w:r>
      <w:r w:rsidRPr="000041B6">
        <w:rPr>
          <w:rFonts w:hint="cs"/>
          <w:rtl/>
        </w:rPr>
        <w:t xml:space="preserve">ממשיך להתבצע במשך כשש שנים, זאת בלי </w:t>
      </w:r>
      <w:r w:rsidRPr="000041B6">
        <w:rPr>
          <w:rFonts w:hint="cs"/>
          <w:rtl/>
        </w:rPr>
        <w:t>שרמ"י</w:t>
      </w:r>
      <w:r w:rsidRPr="000041B6">
        <w:rPr>
          <w:rFonts w:hint="cs"/>
          <w:rtl/>
        </w:rPr>
        <w:t xml:space="preserve"> אפילו העבירה את טיוטת השומה בנושא </w:t>
      </w:r>
      <w:r w:rsidRPr="000041B6">
        <w:rPr>
          <w:rFonts w:hint="cs"/>
          <w:rtl/>
        </w:rPr>
        <w:t>למי"ה</w:t>
      </w:r>
      <w:r w:rsidRPr="000041B6">
        <w:rPr>
          <w:rFonts w:hint="cs"/>
          <w:rtl/>
        </w:rPr>
        <w:t xml:space="preserve">, מעידה על כשל </w:t>
      </w:r>
      <w:r w:rsidRPr="000041B6">
        <w:rPr>
          <w:rFonts w:hint="cs"/>
          <w:rtl/>
        </w:rPr>
        <w:t>באסדרת</w:t>
      </w:r>
      <w:r w:rsidRPr="000041B6">
        <w:rPr>
          <w:rFonts w:hint="cs"/>
          <w:rtl/>
        </w:rPr>
        <w:t xml:space="preserve"> השימוש האמור ובמימוש תפקידה של </w:t>
      </w:r>
      <w:r w:rsidRPr="000041B6">
        <w:rPr>
          <w:rFonts w:hint="cs"/>
          <w:rtl/>
        </w:rPr>
        <w:t>רמ"י</w:t>
      </w:r>
      <w:r w:rsidRPr="000041B6">
        <w:rPr>
          <w:rFonts w:hint="cs"/>
          <w:rtl/>
        </w:rPr>
        <w:t xml:space="preserve"> לניהול מקרקעי ישראל בתחום הזיכיון. </w:t>
      </w:r>
      <w:bookmarkEnd w:id="11"/>
    </w:p>
    <w:p w:rsidR="00985E92" w:rsidP="00985E92" w14:paraId="2CEFD8BF" w14:textId="785E5B0B">
      <w:pPr>
        <w:pStyle w:val="7317"/>
        <w:rPr>
          <w:rtl/>
        </w:rPr>
      </w:pPr>
      <w:r w:rsidRPr="00985E92">
        <w:rPr>
          <w:rStyle w:val="7371"/>
          <w:rFonts w:hint="cs"/>
          <w:noProof/>
          <w:rtl/>
        </w:rPr>
        <w:drawing>
          <wp:anchor distT="0" distB="0" distL="114300" distR="114300" simplePos="0" relativeHeight="251705344" behindDoc="1" locked="0" layoutInCell="1" allowOverlap="1">
            <wp:simplePos x="0" y="0"/>
            <wp:positionH relativeFrom="column">
              <wp:posOffset>4556955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1556272497"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272497"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985E92">
        <w:rPr>
          <w:rStyle w:val="7371"/>
          <w:rFonts w:hint="cs"/>
          <w:rtl/>
        </w:rPr>
        <w:t xml:space="preserve">גודל שטח הזיכיון </w:t>
      </w:r>
      <w:r w:rsidRPr="00985E92">
        <w:rPr>
          <w:rStyle w:val="7371"/>
          <w:rtl/>
        </w:rPr>
        <w:t>-</w:t>
      </w:r>
      <w:r w:rsidRPr="000041B6">
        <w:rPr>
          <w:rFonts w:hint="cs"/>
          <w:rtl/>
        </w:rPr>
        <w:t xml:space="preserve"> תחום הזיכיון הנרחב ניתן לפני יותר מ-60 שנה </w:t>
      </w:r>
      <w:r w:rsidRPr="000041B6">
        <w:rPr>
          <w:rFonts w:hint="cs"/>
          <w:rtl/>
        </w:rPr>
        <w:t>למי"ה</w:t>
      </w:r>
      <w:r w:rsidRPr="000041B6">
        <w:rPr>
          <w:rFonts w:hint="cs"/>
          <w:rtl/>
        </w:rPr>
        <w:t xml:space="preserve"> כדי לאפשר לה לממש את הזיכיון. במרוצת השנים התברר כי חלק משטח הזיכיון אינו נדרש לפעילותה של </w:t>
      </w:r>
      <w:r w:rsidRPr="000041B6">
        <w:rPr>
          <w:rFonts w:hint="cs"/>
          <w:rtl/>
        </w:rPr>
        <w:t>מי"ה</w:t>
      </w:r>
      <w:r w:rsidRPr="000041B6">
        <w:rPr>
          <w:rFonts w:hint="cs"/>
          <w:rtl/>
        </w:rPr>
        <w:t>, כך לדוגמה שטחים שעליהם בנויים מלונות</w:t>
      </w:r>
      <w:r w:rsidR="006D3E50">
        <w:rPr>
          <w:rFonts w:hint="cs"/>
          <w:rtl/>
        </w:rPr>
        <w:t xml:space="preserve"> </w:t>
      </w:r>
      <w:r w:rsidRPr="000041B6">
        <w:rPr>
          <w:rFonts w:hint="cs"/>
          <w:rtl/>
        </w:rPr>
        <w:t xml:space="preserve">ומבני מגורים. לדברי המועצה </w:t>
      </w:r>
      <w:r w:rsidRPr="000041B6">
        <w:rPr>
          <w:rFonts w:hint="cs"/>
          <w:rtl/>
        </w:rPr>
        <w:t xml:space="preserve">האזורית תמר, המצב שנוצר שבו </w:t>
      </w:r>
      <w:r w:rsidRPr="0037738B" w:rsidR="0037738B">
        <w:rPr>
          <w:rtl/>
        </w:rPr>
        <w:t>רמ"י</w:t>
      </w:r>
      <w:r w:rsidRPr="0037738B" w:rsidR="0037738B">
        <w:rPr>
          <w:rtl/>
        </w:rPr>
        <w:t xml:space="preserve"> דורשת</w:t>
      </w:r>
      <w:r w:rsidRPr="0037738B" w:rsidR="0037738B">
        <w:rPr>
          <w:rFonts w:hint="cs"/>
          <w:rtl/>
        </w:rPr>
        <w:t xml:space="preserve"> </w:t>
      </w:r>
      <w:r w:rsidRPr="000041B6">
        <w:rPr>
          <w:rFonts w:hint="cs"/>
          <w:rtl/>
        </w:rPr>
        <w:t xml:space="preserve">לקבל את אישור </w:t>
      </w:r>
      <w:r w:rsidRPr="000041B6">
        <w:rPr>
          <w:rFonts w:hint="cs"/>
          <w:rtl/>
        </w:rPr>
        <w:t>מי"ה</w:t>
      </w:r>
      <w:r w:rsidRPr="000041B6">
        <w:rPr>
          <w:rFonts w:hint="cs"/>
          <w:rtl/>
        </w:rPr>
        <w:t xml:space="preserve"> בכל היתר בנייה המבוקש בתחום הקרקעות החכורות, גם כאשר מדובר בשטחים המיועדים </w:t>
      </w:r>
      <w:r w:rsidRPr="0037738B" w:rsidR="0037738B">
        <w:rPr>
          <w:rtl/>
        </w:rPr>
        <w:t>למגורים ולמלונות</w:t>
      </w:r>
      <w:r w:rsidR="0037738B">
        <w:rPr>
          <w:rFonts w:hint="cs"/>
          <w:rtl/>
          <w:lang w:val="ru-RU"/>
        </w:rPr>
        <w:t>,</w:t>
      </w:r>
      <w:r w:rsidRPr="000041B6">
        <w:rPr>
          <w:rFonts w:hint="cs"/>
          <w:rtl/>
        </w:rPr>
        <w:t xml:space="preserve"> יצר הכבדה בירוקרטית מיותרת על תושבי האזור ועל היזמים ועיכובים בבנייה ובפיתוח שלא לצורך. נמצא כי פרט לניסיון אחד בשנות השבעים של המאה העשרים, </w:t>
      </w:r>
      <w:r w:rsidRPr="000041B6">
        <w:rPr>
          <w:rFonts w:hint="cs"/>
          <w:rtl/>
        </w:rPr>
        <w:t>רמ"י</w:t>
      </w:r>
      <w:r w:rsidRPr="000041B6">
        <w:rPr>
          <w:rFonts w:hint="cs"/>
          <w:rtl/>
        </w:rPr>
        <w:t xml:space="preserve"> - האחראית לניהול מקרקעי ישראל כנאמן הציבור, לא בחנה את האפשרות לפעול לצמצום תחום הזיכיון</w:t>
      </w:r>
      <w:r w:rsidRPr="00AF3B73">
        <w:rPr>
          <w:rFonts w:hint="cs"/>
          <w:rtl/>
        </w:rPr>
        <w:t xml:space="preserve">. </w:t>
      </w:r>
    </w:p>
    <w:p w:rsidR="00985E92" w:rsidP="00985E92" w14:paraId="72B71E63" w14:textId="26E384BA">
      <w:pPr>
        <w:pStyle w:val="7317"/>
        <w:rPr>
          <w:rtl/>
        </w:rPr>
      </w:pPr>
      <w:r w:rsidRPr="00985E92">
        <w:rPr>
          <w:rStyle w:val="7371"/>
          <w:rFonts w:hint="cs"/>
          <w:noProof/>
          <w:rtl/>
        </w:rPr>
        <w:drawing>
          <wp:anchor distT="0" distB="0" distL="114300" distR="114300" simplePos="0" relativeHeight="251706368" behindDoc="1" locked="0" layoutInCell="1" allowOverlap="1">
            <wp:simplePos x="0" y="0"/>
            <wp:positionH relativeFrom="column">
              <wp:posOffset>4556955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618932119"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932119"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985E92">
        <w:rPr>
          <w:rStyle w:val="7371"/>
          <w:rFonts w:hint="cs"/>
          <w:rtl/>
        </w:rPr>
        <w:t xml:space="preserve">התשלום בגין השטחים הכלולים בתחום הזיכיון </w:t>
      </w:r>
      <w:r w:rsidRPr="00985E92">
        <w:rPr>
          <w:rStyle w:val="7371"/>
          <w:rtl/>
        </w:rPr>
        <w:t>-</w:t>
      </w:r>
      <w:r w:rsidRPr="00985E92">
        <w:rPr>
          <w:rStyle w:val="7371"/>
          <w:rFonts w:hint="cs"/>
          <w:rtl/>
        </w:rPr>
        <w:t xml:space="preserve"> </w:t>
      </w:r>
      <w:r w:rsidRPr="000041B6">
        <w:rPr>
          <w:rFonts w:hint="cs"/>
          <w:rtl/>
        </w:rPr>
        <w:t xml:space="preserve">על פניו התשלום שנקבע בשנת 1975 בגין הקרקעות של </w:t>
      </w:r>
      <w:r w:rsidRPr="000041B6">
        <w:rPr>
          <w:rFonts w:hint="cs"/>
          <w:rtl/>
        </w:rPr>
        <w:t>מי"ה</w:t>
      </w:r>
      <w:r w:rsidRPr="000041B6">
        <w:rPr>
          <w:rFonts w:hint="cs"/>
          <w:rtl/>
        </w:rPr>
        <w:t xml:space="preserve"> בתחום הזיכיון הוא תשלום מופחת שכן הוא ממשיך להישען על השווי ההיסטורי של הקרקע שנקבע לפני עשרות שנים במטבע "לירה ישראלית" (ל"י): דמי החכירה לקרקע מפעל הם דמי חכירה המחושבים על בסיס השווי הנמוך ביותר שנקבע באותה התקופה לתעשייה - 75 ל"י לדונם; המנגנון שקבעה </w:t>
      </w:r>
      <w:r w:rsidRPr="000041B6">
        <w:rPr>
          <w:rFonts w:hint="cs"/>
          <w:rtl/>
        </w:rPr>
        <w:t>רמ"י</w:t>
      </w:r>
      <w:r w:rsidRPr="000041B6">
        <w:rPr>
          <w:rFonts w:hint="cs"/>
          <w:rtl/>
        </w:rPr>
        <w:t xml:space="preserve"> לעדכון דמי החכירה התבסס על החלוקה האמורה ועל סכומי החכירה המופחתים שנקבעו, כמו גם שווי הבסיס של הקרקע משנת 1975. </w:t>
      </w:r>
      <w:r w:rsidRPr="0037738B" w:rsidR="0037738B">
        <w:rPr>
          <w:rtl/>
        </w:rPr>
        <w:t xml:space="preserve">לפי נתוני </w:t>
      </w:r>
      <w:r w:rsidRPr="0037738B" w:rsidR="0037738B">
        <w:rPr>
          <w:rtl/>
        </w:rPr>
        <w:t>רמ"י</w:t>
      </w:r>
      <w:r w:rsidRPr="0037738B" w:rsidR="0037738B">
        <w:rPr>
          <w:rtl/>
        </w:rPr>
        <w:t xml:space="preserve">, נכון לשנת 2024 דמי החכירה השנתיים שמשלמת </w:t>
      </w:r>
      <w:r w:rsidRPr="0037738B" w:rsidR="0037738B">
        <w:rPr>
          <w:rtl/>
        </w:rPr>
        <w:t>מי"ה</w:t>
      </w:r>
      <w:r w:rsidRPr="0037738B" w:rsidR="0037738B">
        <w:rPr>
          <w:rtl/>
        </w:rPr>
        <w:t xml:space="preserve"> עומדים על כ-2.7 מיליון ש"ח</w:t>
      </w:r>
      <w:r w:rsidR="0037738B">
        <w:rPr>
          <w:rFonts w:hint="cs"/>
          <w:rtl/>
        </w:rPr>
        <w:t>.</w:t>
      </w:r>
      <w:r w:rsidRPr="000041B6">
        <w:rPr>
          <w:rFonts w:hint="cs"/>
          <w:rtl/>
        </w:rPr>
        <w:t xml:space="preserve"> </w:t>
      </w:r>
      <w:r w:rsidRPr="00C90525" w:rsidR="00C90525">
        <w:rPr>
          <w:rtl/>
        </w:rPr>
        <w:t xml:space="preserve">נמצא כי </w:t>
      </w:r>
      <w:r w:rsidRPr="00C90525" w:rsidR="00C90525">
        <w:rPr>
          <w:rtl/>
        </w:rPr>
        <w:t>רמ"י</w:t>
      </w:r>
      <w:r w:rsidR="00C90525">
        <w:rPr>
          <w:rFonts w:hint="cs"/>
          <w:rtl/>
        </w:rPr>
        <w:t xml:space="preserve"> </w:t>
      </w:r>
      <w:r w:rsidRPr="000041B6">
        <w:rPr>
          <w:rFonts w:hint="cs"/>
          <w:rtl/>
        </w:rPr>
        <w:t>- כגורם המנהל את מקרקעי ישראל, ומשרד האוצר - כמשרד האחראי לחוק הזיכיון, לא בחנו במהלך השנים את האפשרות לשינוי גובה דמי החכירה ולגביית תשלום עבור הקרקעות השמורות ששטחן הוא כ-240,000 דונם, זאת על אף הזמן שעבר והשינויים האפשריים שחלו בשווי הקרקע במרוצת השנים</w:t>
      </w:r>
      <w:r w:rsidRPr="00AF3B73">
        <w:rPr>
          <w:rFonts w:hint="cs"/>
          <w:rtl/>
        </w:rPr>
        <w:t xml:space="preserve">. </w:t>
      </w:r>
    </w:p>
    <w:p w:rsidR="00985E92" w:rsidRPr="000041B6" w:rsidP="00985E92" w14:paraId="5F70E4E6" w14:textId="77777777">
      <w:pPr>
        <w:pStyle w:val="73512"/>
        <w:rPr>
          <w:rtl/>
        </w:rPr>
      </w:pPr>
      <w:r w:rsidRPr="000041B6">
        <w:rPr>
          <w:rFonts w:hint="eastAsia"/>
          <w:rtl/>
        </w:rPr>
        <w:t>הטיפול</w:t>
      </w:r>
      <w:r w:rsidRPr="000041B6">
        <w:rPr>
          <w:rtl/>
        </w:rPr>
        <w:t xml:space="preserve"> במפגעי פסולת שיצרה </w:t>
      </w:r>
      <w:r w:rsidRPr="000041B6">
        <w:rPr>
          <w:rFonts w:hint="eastAsia"/>
          <w:rtl/>
        </w:rPr>
        <w:t>מי</w:t>
      </w:r>
      <w:r w:rsidRPr="000041B6">
        <w:rPr>
          <w:rtl/>
        </w:rPr>
        <w:t>"ה</w:t>
      </w:r>
      <w:r w:rsidRPr="000041B6">
        <w:rPr>
          <w:rtl/>
        </w:rPr>
        <w:t xml:space="preserve"> בתחום הזיכיון </w:t>
      </w:r>
    </w:p>
    <w:p w:rsidR="00985E92" w:rsidP="00985E92" w14:paraId="4E564A65" w14:textId="299324C9">
      <w:pPr>
        <w:pStyle w:val="7317"/>
        <w:ind w:left="0"/>
        <w:rPr>
          <w:rtl/>
        </w:rPr>
      </w:pPr>
      <w:r w:rsidRPr="000041B6">
        <w:rPr>
          <w:rtl/>
        </w:rPr>
        <w:t xml:space="preserve">כחלק מתהליך הייצור התעשייתי </w:t>
      </w:r>
      <w:r w:rsidRPr="000041B6">
        <w:rPr>
          <w:rtl/>
        </w:rPr>
        <w:t>מי"ה</w:t>
      </w:r>
      <w:r w:rsidRPr="000041B6">
        <w:rPr>
          <w:rtl/>
        </w:rPr>
        <w:t xml:space="preserve"> מייצרת כמויות פסולת אדירות המוערמות, בחלקן, באתרי פסולת המצויים בתחום הזיכיון</w:t>
      </w:r>
      <w:r w:rsidRPr="000041B6">
        <w:rPr>
          <w:rFonts w:hint="cs"/>
          <w:rtl/>
        </w:rPr>
        <w:t xml:space="preserve">. </w:t>
      </w:r>
      <w:r w:rsidRPr="000041B6">
        <w:rPr>
          <w:rtl/>
        </w:rPr>
        <w:t xml:space="preserve">ממצאי פרק זה מצביעים על כשל </w:t>
      </w:r>
      <w:r w:rsidRPr="000041B6">
        <w:rPr>
          <w:rtl/>
        </w:rPr>
        <w:t>אסדרתי</w:t>
      </w:r>
      <w:r w:rsidRPr="000041B6">
        <w:rPr>
          <w:rtl/>
        </w:rPr>
        <w:t xml:space="preserve"> חמור של המשרד </w:t>
      </w:r>
      <w:r w:rsidRPr="000041B6">
        <w:rPr>
          <w:rtl/>
        </w:rPr>
        <w:t>להג"ס</w:t>
      </w:r>
      <w:r w:rsidRPr="000041B6">
        <w:rPr>
          <w:rtl/>
        </w:rPr>
        <w:t xml:space="preserve"> המשקף היעדר פיקוח על הנעשה בתחום הזיכיון ומעיד על אוזלת יד של המשרד </w:t>
      </w:r>
      <w:r w:rsidRPr="000041B6">
        <w:rPr>
          <w:rtl/>
        </w:rPr>
        <w:t>להג"ס</w:t>
      </w:r>
      <w:r w:rsidRPr="000041B6">
        <w:rPr>
          <w:rtl/>
        </w:rPr>
        <w:t xml:space="preserve"> בטיפול במפגעי פסולת.</w:t>
      </w:r>
    </w:p>
    <w:p w:rsidR="00985E92" w:rsidRPr="000041B6" w:rsidP="00985E92" w14:paraId="495AFE6A" w14:textId="6E1EC496">
      <w:pPr>
        <w:pStyle w:val="7317"/>
      </w:pPr>
      <w:r w:rsidRPr="001D64AE">
        <w:rPr>
          <w:rStyle w:val="7340"/>
          <w:rFonts w:hint="cs"/>
          <w:noProof/>
          <w:rtl/>
        </w:rPr>
        <w:drawing>
          <wp:anchor distT="0" distB="0" distL="114300" distR="114300" simplePos="0" relativeHeight="251707392" behindDoc="1" locked="0" layoutInCell="1" allowOverlap="1">
            <wp:simplePos x="0" y="0"/>
            <wp:positionH relativeFrom="column">
              <wp:posOffset>4556955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1633668704"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668704"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1D64AE">
        <w:rPr>
          <w:rStyle w:val="7340"/>
          <w:rFonts w:hint="cs"/>
          <w:rtl/>
        </w:rPr>
        <w:t xml:space="preserve">היעדר טיפול בפסולת התעשייתית של </w:t>
      </w:r>
      <w:r w:rsidRPr="001D64AE">
        <w:rPr>
          <w:rStyle w:val="7340"/>
          <w:rFonts w:hint="cs"/>
          <w:rtl/>
        </w:rPr>
        <w:t>מי"ה</w:t>
      </w:r>
      <w:r w:rsidRPr="001D64AE">
        <w:rPr>
          <w:rStyle w:val="7340"/>
          <w:rFonts w:hint="cs"/>
          <w:rtl/>
        </w:rPr>
        <w:t xml:space="preserve"> -</w:t>
      </w:r>
      <w:r w:rsidRPr="000041B6">
        <w:rPr>
          <w:rFonts w:hint="cs"/>
          <w:rtl/>
        </w:rPr>
        <w:t xml:space="preserve"> </w:t>
      </w:r>
      <w:r w:rsidRPr="000041B6">
        <w:rPr>
          <w:rFonts w:hint="cs"/>
          <w:rtl/>
        </w:rPr>
        <w:t>מי"ה</w:t>
      </w:r>
      <w:r w:rsidRPr="000041B6">
        <w:rPr>
          <w:rFonts w:hint="cs"/>
          <w:rtl/>
        </w:rPr>
        <w:t xml:space="preserve"> עורמת מדי שנה כמויות נרחבות של פסולת בוצה מלחית (15,000 טונות בשנה), פסולת מלח (2,000,000 טונות בשנה) ומלח קצור. נמצא כי במשך עשרות שנים ועד למועד סיום הביקורת המשרד </w:t>
      </w:r>
      <w:r w:rsidRPr="000041B6">
        <w:rPr>
          <w:rFonts w:hint="cs"/>
          <w:rtl/>
        </w:rPr>
        <w:t>להג"ס</w:t>
      </w:r>
      <w:r w:rsidRPr="000041B6">
        <w:rPr>
          <w:rFonts w:hint="cs"/>
          <w:rtl/>
        </w:rPr>
        <w:t xml:space="preserve"> לא קבע במסגרת תנאי רישיונות העסק של מפעלי </w:t>
      </w:r>
      <w:r w:rsidRPr="000041B6">
        <w:rPr>
          <w:rFonts w:hint="cs"/>
          <w:rtl/>
        </w:rPr>
        <w:t>מי"ה</w:t>
      </w:r>
      <w:r w:rsidRPr="000041B6">
        <w:rPr>
          <w:rFonts w:hint="cs"/>
          <w:rtl/>
        </w:rPr>
        <w:t xml:space="preserve">, דרישות או הנחיות לגבי האופן שבו </w:t>
      </w:r>
      <w:r w:rsidRPr="000041B6">
        <w:rPr>
          <w:rFonts w:hint="cs"/>
          <w:rtl/>
        </w:rPr>
        <w:t>מי"ה</w:t>
      </w:r>
      <w:r w:rsidRPr="000041B6">
        <w:rPr>
          <w:rFonts w:hint="cs"/>
          <w:rtl/>
        </w:rPr>
        <w:t xml:space="preserve"> צריכה לטפל בזרמים השונים של הפסולת התעשייתית </w:t>
      </w:r>
      <w:r w:rsidR="006D3E50">
        <w:rPr>
          <w:rFonts w:hint="cs"/>
          <w:rtl/>
        </w:rPr>
        <w:t>שהיא מייצרת</w:t>
      </w:r>
      <w:r w:rsidRPr="000041B6">
        <w:rPr>
          <w:rFonts w:hint="cs"/>
          <w:rtl/>
        </w:rPr>
        <w:t xml:space="preserve">. בשנת 2023 הציב המשרד </w:t>
      </w:r>
      <w:r w:rsidRPr="000041B6">
        <w:rPr>
          <w:rFonts w:hint="cs"/>
          <w:rtl/>
        </w:rPr>
        <w:t>להג"ס</w:t>
      </w:r>
      <w:r w:rsidRPr="000041B6">
        <w:rPr>
          <w:rFonts w:hint="cs"/>
          <w:rtl/>
        </w:rPr>
        <w:t xml:space="preserve"> דרישה להגיש בתוך 12 חודשים תוכנית אסדרה לפסולת הבוצה המלחית במפעל המגנזיום ולסיים את האסדרה של אתר הבוצה המלחית עד סוף 2028, אולם גם </w:t>
      </w:r>
      <w:r w:rsidRPr="000041B6">
        <w:rPr>
          <w:rtl/>
        </w:rPr>
        <w:t xml:space="preserve">בחלוף יותר משנתיים מהמועד שבו הוא קבע עבור </w:t>
      </w:r>
      <w:r w:rsidRPr="000041B6">
        <w:rPr>
          <w:rtl/>
        </w:rPr>
        <w:t>מי"ה</w:t>
      </w:r>
      <w:r w:rsidRPr="000041B6">
        <w:rPr>
          <w:rtl/>
        </w:rPr>
        <w:t xml:space="preserve"> את התנאים האמורים הוא טרם עמד על כך שתוגש לו תוכנית אסדרה</w:t>
      </w:r>
      <w:r w:rsidRPr="000041B6">
        <w:rPr>
          <w:rFonts w:hint="cs"/>
          <w:rtl/>
        </w:rPr>
        <w:t>, והדבר</w:t>
      </w:r>
      <w:r w:rsidRPr="000041B6">
        <w:rPr>
          <w:rtl/>
        </w:rPr>
        <w:t xml:space="preserve"> מעלה ספק לגבי השלמת הסדרת האתר במועד הנדרש בתנאים.</w:t>
      </w:r>
      <w:r w:rsidRPr="000041B6">
        <w:rPr>
          <w:rFonts w:hint="cs"/>
          <w:rtl/>
        </w:rPr>
        <w:t xml:space="preserve"> עוד נמצא כי בסמוך </w:t>
      </w:r>
      <w:r w:rsidRPr="000041B6">
        <w:rPr>
          <w:rFonts w:hint="eastAsia"/>
          <w:rtl/>
        </w:rPr>
        <w:t>ל</w:t>
      </w:r>
      <w:r w:rsidRPr="000041B6">
        <w:rPr>
          <w:rFonts w:hint="cs"/>
          <w:rtl/>
        </w:rPr>
        <w:t>אחר ה</w:t>
      </w:r>
      <w:r w:rsidRPr="000041B6">
        <w:rPr>
          <w:rFonts w:hint="eastAsia"/>
          <w:rtl/>
        </w:rPr>
        <w:t>מועד</w:t>
      </w:r>
      <w:r w:rsidRPr="000041B6">
        <w:rPr>
          <w:rtl/>
        </w:rPr>
        <w:t xml:space="preserve"> </w:t>
      </w:r>
      <w:r w:rsidRPr="000041B6">
        <w:rPr>
          <w:rFonts w:hint="eastAsia"/>
          <w:rtl/>
        </w:rPr>
        <w:t>ש</w:t>
      </w:r>
      <w:r w:rsidRPr="000041B6">
        <w:rPr>
          <w:rtl/>
        </w:rPr>
        <w:t xml:space="preserve">בו </w:t>
      </w:r>
      <w:r w:rsidRPr="000041B6">
        <w:rPr>
          <w:rFonts w:hint="eastAsia"/>
          <w:rtl/>
        </w:rPr>
        <w:t>קבע</w:t>
      </w:r>
      <w:r w:rsidRPr="000041B6">
        <w:rPr>
          <w:rtl/>
        </w:rPr>
        <w:t xml:space="preserve"> המשרד </w:t>
      </w:r>
      <w:r w:rsidRPr="000041B6">
        <w:rPr>
          <w:rFonts w:hint="cs"/>
          <w:rtl/>
        </w:rPr>
        <w:t>כי</w:t>
      </w:r>
      <w:r w:rsidRPr="000041B6">
        <w:rPr>
          <w:rtl/>
        </w:rPr>
        <w:t xml:space="preserve"> מדובר בפסולת</w:t>
      </w:r>
      <w:r w:rsidRPr="000041B6">
        <w:rPr>
          <w:rFonts w:hint="cs"/>
          <w:rtl/>
        </w:rPr>
        <w:t xml:space="preserve"> (2023)</w:t>
      </w:r>
      <w:r w:rsidRPr="000041B6">
        <w:rPr>
          <w:rtl/>
        </w:rPr>
        <w:t xml:space="preserve">, </w:t>
      </w:r>
      <w:r w:rsidRPr="000041B6">
        <w:rPr>
          <w:rFonts w:hint="cs"/>
          <w:rtl/>
        </w:rPr>
        <w:t xml:space="preserve">החלה </w:t>
      </w:r>
      <w:r w:rsidRPr="000041B6">
        <w:rPr>
          <w:rFonts w:hint="cs"/>
          <w:rtl/>
        </w:rPr>
        <w:t>מי"ה</w:t>
      </w:r>
      <w:r w:rsidRPr="000041B6">
        <w:rPr>
          <w:rFonts w:hint="cs"/>
          <w:rtl/>
        </w:rPr>
        <w:t xml:space="preserve"> להשתמש</w:t>
      </w:r>
      <w:r w:rsidRPr="000041B6">
        <w:rPr>
          <w:rtl/>
        </w:rPr>
        <w:t xml:space="preserve"> ב</w:t>
      </w:r>
      <w:r w:rsidRPr="000041B6">
        <w:rPr>
          <w:rFonts w:hint="eastAsia"/>
          <w:rtl/>
        </w:rPr>
        <w:t>כל</w:t>
      </w:r>
      <w:r w:rsidRPr="000041B6">
        <w:rPr>
          <w:rtl/>
        </w:rPr>
        <w:t xml:space="preserve"> </w:t>
      </w:r>
      <w:r w:rsidRPr="000041B6">
        <w:rPr>
          <w:rFonts w:hint="eastAsia"/>
          <w:rtl/>
        </w:rPr>
        <w:t>פסולת</w:t>
      </w:r>
      <w:r w:rsidRPr="000041B6">
        <w:rPr>
          <w:rtl/>
        </w:rPr>
        <w:t xml:space="preserve"> הבוצה המלחית </w:t>
      </w:r>
      <w:r w:rsidRPr="000041B6">
        <w:rPr>
          <w:rFonts w:hint="eastAsia"/>
          <w:rtl/>
        </w:rPr>
        <w:t>כחומר</w:t>
      </w:r>
      <w:r w:rsidRPr="000041B6">
        <w:rPr>
          <w:rtl/>
        </w:rPr>
        <w:t xml:space="preserve"> </w:t>
      </w:r>
      <w:r w:rsidRPr="000041B6">
        <w:rPr>
          <w:rFonts w:hint="eastAsia"/>
          <w:rtl/>
        </w:rPr>
        <w:t>תשתית</w:t>
      </w:r>
      <w:r w:rsidRPr="000041B6">
        <w:rPr>
          <w:rtl/>
        </w:rPr>
        <w:t xml:space="preserve"> בתחומי הזיכיון במסגרת </w:t>
      </w:r>
      <w:r w:rsidRPr="000041B6">
        <w:rPr>
          <w:rFonts w:hint="eastAsia"/>
          <w:rtl/>
        </w:rPr>
        <w:t>פרויקטים</w:t>
      </w:r>
      <w:r w:rsidRPr="000041B6">
        <w:rPr>
          <w:rtl/>
        </w:rPr>
        <w:t xml:space="preserve"> שונים </w:t>
      </w:r>
      <w:r w:rsidRPr="000041B6">
        <w:rPr>
          <w:rFonts w:hint="eastAsia"/>
          <w:rtl/>
        </w:rPr>
        <w:t>שהיא</w:t>
      </w:r>
      <w:r w:rsidRPr="000041B6">
        <w:rPr>
          <w:rtl/>
        </w:rPr>
        <w:t xml:space="preserve"> </w:t>
      </w:r>
      <w:r w:rsidRPr="000041B6">
        <w:rPr>
          <w:rFonts w:hint="eastAsia"/>
          <w:rtl/>
        </w:rPr>
        <w:t>מבצעת</w:t>
      </w:r>
      <w:r w:rsidRPr="000041B6">
        <w:rPr>
          <w:rtl/>
        </w:rPr>
        <w:t xml:space="preserve"> ולפזרו במקומות</w:t>
      </w:r>
      <w:r w:rsidRPr="000041B6">
        <w:rPr>
          <w:rFonts w:hint="cs"/>
          <w:rtl/>
        </w:rPr>
        <w:t xml:space="preserve"> שונים בתחום הזיכיון,</w:t>
      </w:r>
      <w:r w:rsidRPr="000041B6">
        <w:rPr>
          <w:rtl/>
        </w:rPr>
        <w:t xml:space="preserve"> </w:t>
      </w:r>
      <w:r w:rsidRPr="000041B6">
        <w:rPr>
          <w:rFonts w:hint="eastAsia"/>
          <w:rtl/>
        </w:rPr>
        <w:t>ו</w:t>
      </w:r>
      <w:r w:rsidRPr="000041B6">
        <w:rPr>
          <w:rFonts w:hint="cs"/>
          <w:rtl/>
        </w:rPr>
        <w:t>הפסיקה להעביר את פסולת הבוצה</w:t>
      </w:r>
      <w:r w:rsidRPr="000041B6">
        <w:rPr>
          <w:rtl/>
        </w:rPr>
        <w:t xml:space="preserve"> לאתר הבוצה המלחי</w:t>
      </w:r>
      <w:r w:rsidRPr="000041B6">
        <w:rPr>
          <w:rFonts w:hint="cs"/>
          <w:rtl/>
        </w:rPr>
        <w:t>ת</w:t>
      </w:r>
      <w:r w:rsidR="006D3E50">
        <w:rPr>
          <w:rFonts w:hint="cs"/>
          <w:rtl/>
        </w:rPr>
        <w:t>.</w:t>
      </w:r>
      <w:r w:rsidRPr="000041B6">
        <w:rPr>
          <w:rFonts w:hint="cs"/>
          <w:rtl/>
        </w:rPr>
        <w:t xml:space="preserve"> זאת </w:t>
      </w:r>
      <w:r w:rsidRPr="000041B6">
        <w:rPr>
          <w:rFonts w:hint="eastAsia"/>
          <w:rtl/>
        </w:rPr>
        <w:t>בלי</w:t>
      </w:r>
      <w:r w:rsidRPr="000041B6">
        <w:rPr>
          <w:rtl/>
        </w:rPr>
        <w:t xml:space="preserve"> </w:t>
      </w:r>
      <w:r w:rsidRPr="000041B6">
        <w:rPr>
          <w:rFonts w:hint="eastAsia"/>
          <w:rtl/>
        </w:rPr>
        <w:t>שניתן</w:t>
      </w:r>
      <w:r w:rsidRPr="000041B6">
        <w:rPr>
          <w:rtl/>
        </w:rPr>
        <w:t xml:space="preserve"> </w:t>
      </w:r>
      <w:r w:rsidRPr="000041B6">
        <w:rPr>
          <w:rFonts w:hint="eastAsia"/>
          <w:rtl/>
        </w:rPr>
        <w:t>לכך</w:t>
      </w:r>
      <w:r w:rsidRPr="000041B6">
        <w:rPr>
          <w:rtl/>
        </w:rPr>
        <w:t xml:space="preserve"> </w:t>
      </w:r>
      <w:r w:rsidRPr="000041B6">
        <w:rPr>
          <w:rFonts w:hint="eastAsia"/>
          <w:rtl/>
        </w:rPr>
        <w:t>אישור</w:t>
      </w:r>
      <w:r w:rsidRPr="000041B6">
        <w:rPr>
          <w:rtl/>
        </w:rPr>
        <w:t xml:space="preserve"> </w:t>
      </w:r>
      <w:r w:rsidRPr="000041B6">
        <w:rPr>
          <w:rFonts w:hint="eastAsia"/>
          <w:rtl/>
        </w:rPr>
        <w:t>מסודר</w:t>
      </w:r>
      <w:r w:rsidRPr="000041B6">
        <w:rPr>
          <w:rtl/>
        </w:rPr>
        <w:t xml:space="preserve"> </w:t>
      </w:r>
      <w:r w:rsidRPr="000041B6">
        <w:rPr>
          <w:rFonts w:hint="eastAsia"/>
          <w:rtl/>
        </w:rPr>
        <w:t>של</w:t>
      </w:r>
      <w:r w:rsidRPr="000041B6">
        <w:rPr>
          <w:rtl/>
        </w:rPr>
        <w:t xml:space="preserve"> </w:t>
      </w:r>
      <w:r w:rsidRPr="000041B6">
        <w:rPr>
          <w:rFonts w:hint="eastAsia"/>
          <w:rtl/>
        </w:rPr>
        <w:t>גורמי</w:t>
      </w:r>
      <w:r w:rsidRPr="000041B6">
        <w:rPr>
          <w:rtl/>
        </w:rPr>
        <w:t xml:space="preserve"> </w:t>
      </w:r>
      <w:r w:rsidRPr="000041B6">
        <w:rPr>
          <w:rFonts w:hint="eastAsia"/>
          <w:rtl/>
        </w:rPr>
        <w:t>המקצוע</w:t>
      </w:r>
      <w:r w:rsidRPr="000041B6">
        <w:rPr>
          <w:rtl/>
        </w:rPr>
        <w:t xml:space="preserve"> </w:t>
      </w:r>
      <w:r w:rsidRPr="000041B6">
        <w:rPr>
          <w:rFonts w:hint="eastAsia"/>
          <w:rtl/>
        </w:rPr>
        <w:t>ב</w:t>
      </w:r>
      <w:r w:rsidRPr="000041B6">
        <w:rPr>
          <w:rFonts w:hint="cs"/>
          <w:rtl/>
        </w:rPr>
        <w:t>מטה ה</w:t>
      </w:r>
      <w:r w:rsidRPr="000041B6">
        <w:rPr>
          <w:rFonts w:hint="eastAsia"/>
          <w:rtl/>
        </w:rPr>
        <w:t>משרד</w:t>
      </w:r>
      <w:r w:rsidRPr="000041B6">
        <w:rPr>
          <w:rFonts w:hint="cs"/>
          <w:rtl/>
        </w:rPr>
        <w:t>, לרבות גורמי המקצוע אשר קבעו כי סיווג החומר הוא פסולת</w:t>
      </w:r>
      <w:r w:rsidRPr="000041B6">
        <w:rPr>
          <w:rtl/>
        </w:rPr>
        <w:t xml:space="preserve"> </w:t>
      </w:r>
      <w:r w:rsidRPr="000041B6">
        <w:rPr>
          <w:rFonts w:hint="eastAsia"/>
          <w:rtl/>
        </w:rPr>
        <w:t>ובלי</w:t>
      </w:r>
      <w:r w:rsidRPr="000041B6">
        <w:rPr>
          <w:rtl/>
        </w:rPr>
        <w:t xml:space="preserve"> שהמשרד דרש לקבל את הכמויות של הפסולת </w:t>
      </w:r>
      <w:r w:rsidRPr="000041B6">
        <w:rPr>
          <w:rFonts w:hint="eastAsia"/>
          <w:rtl/>
        </w:rPr>
        <w:t>שמי</w:t>
      </w:r>
      <w:r w:rsidRPr="000041B6">
        <w:rPr>
          <w:rtl/>
        </w:rPr>
        <w:t>"ה</w:t>
      </w:r>
      <w:r w:rsidRPr="000041B6">
        <w:rPr>
          <w:rtl/>
        </w:rPr>
        <w:t xml:space="preserve"> </w:t>
      </w:r>
      <w:r w:rsidRPr="000041B6">
        <w:rPr>
          <w:rFonts w:hint="eastAsia"/>
          <w:rtl/>
        </w:rPr>
        <w:t>עושה</w:t>
      </w:r>
      <w:r w:rsidRPr="000041B6">
        <w:rPr>
          <w:rtl/>
        </w:rPr>
        <w:t xml:space="preserve"> </w:t>
      </w:r>
      <w:r w:rsidRPr="000041B6">
        <w:rPr>
          <w:rFonts w:hint="eastAsia"/>
          <w:rtl/>
        </w:rPr>
        <w:t>בה</w:t>
      </w:r>
      <w:r w:rsidRPr="000041B6">
        <w:rPr>
          <w:rFonts w:hint="cs"/>
          <w:rtl/>
        </w:rPr>
        <w:t xml:space="preserve"> </w:t>
      </w:r>
      <w:r w:rsidRPr="000041B6">
        <w:rPr>
          <w:rFonts w:hint="eastAsia"/>
          <w:rtl/>
        </w:rPr>
        <w:t>שימוש</w:t>
      </w:r>
      <w:r w:rsidRPr="000041B6">
        <w:rPr>
          <w:rFonts w:hint="cs"/>
          <w:rtl/>
        </w:rPr>
        <w:t>.</w:t>
      </w:r>
    </w:p>
    <w:p w:rsidR="00985E92" w:rsidP="00985E92" w14:paraId="0C6112C0" w14:textId="11589EF0">
      <w:pPr>
        <w:pStyle w:val="7317"/>
        <w:rPr>
          <w:rtl/>
        </w:rPr>
      </w:pPr>
      <w:r w:rsidRPr="000041B6">
        <w:rPr>
          <w:rFonts w:hint="cs"/>
          <w:rtl/>
        </w:rPr>
        <w:t>האתרים שבהם הפסולות מוערמות מהווים מפגע נופי הנצפה למרחוק עם השפעות סביבתיות, ובהן נזקים אקולוגיים וזיהום הקרקע. בהר המלח, אליו מועברת פסולת המלח, אף נמצא כי קיים זיהום קרקע של כ-300,000 קוב כתוצאה מפינוי כמויות גדולות של מזוט אליו</w:t>
      </w:r>
      <w:r w:rsidRPr="00AF3B73">
        <w:rPr>
          <w:rFonts w:hint="cs"/>
          <w:rtl/>
        </w:rPr>
        <w:t xml:space="preserve">. </w:t>
      </w:r>
    </w:p>
    <w:p w:rsidR="00985E92" w:rsidRPr="00985E92" w:rsidP="00985E92" w14:paraId="30266781" w14:textId="77777777">
      <w:pPr>
        <w:pStyle w:val="734"/>
        <w:ind w:left="397"/>
        <w:rPr>
          <w:rtl/>
        </w:rPr>
      </w:pPr>
      <w:r w:rsidRPr="00985E92">
        <w:rPr>
          <w:rFonts w:hint="cs"/>
          <w:b w:val="0"/>
          <w:bCs w:val="0"/>
          <w:rtl/>
        </w:rPr>
        <w:t>תמונה 1:</w:t>
      </w:r>
      <w:r w:rsidRPr="00985E92">
        <w:rPr>
          <w:rFonts w:hint="cs"/>
          <w:rtl/>
        </w:rPr>
        <w:t xml:space="preserve"> הר המלח, יוני 2024</w:t>
      </w:r>
    </w:p>
    <w:p w:rsidR="00985E92" w:rsidP="00985E92" w14:paraId="4C5D88C5" w14:textId="77777777">
      <w:pPr>
        <w:ind w:left="397"/>
        <w:jc w:val="center"/>
        <w:rPr>
          <w:rtl/>
        </w:rPr>
      </w:pPr>
      <w:r>
        <w:rPr>
          <w:noProof/>
        </w:rPr>
        <w:drawing>
          <wp:inline distT="0" distB="0" distL="0" distR="0">
            <wp:extent cx="4388173" cy="4433883"/>
            <wp:effectExtent l="2540" t="0" r="0" b="0"/>
            <wp:docPr id="1" name="תמונה 1" descr="תמונה שמכילה בחוץ, שמיים, קרקע&#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descr="תמונה שמכילה בחוץ, שמיים, קרקע&#10;&#10;תוכן שנוצר על-ידי בינה מלאכותית עשוי להיות שגוי."/>
                    <pic:cNvPicPr>
                      <a:picLocks noChangeAspect="1" noChangeArrowheads="1"/>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bwMode="auto">
                    <a:xfrm rot="5400000">
                      <a:off x="0" y="0"/>
                      <a:ext cx="4403365" cy="4449233"/>
                    </a:xfrm>
                    <a:prstGeom prst="rect">
                      <a:avLst/>
                    </a:prstGeom>
                    <a:noFill/>
                    <a:ln>
                      <a:noFill/>
                    </a:ln>
                  </pic:spPr>
                </pic:pic>
              </a:graphicData>
            </a:graphic>
          </wp:inline>
        </w:drawing>
      </w:r>
    </w:p>
    <w:p w:rsidR="00985E92" w:rsidRPr="00000CA7" w:rsidP="00000CA7" w14:paraId="3B54BD4A" w14:textId="3E8AE412">
      <w:pPr>
        <w:pStyle w:val="738"/>
        <w:ind w:left="340"/>
      </w:pPr>
      <w:r w:rsidRPr="00000CA7">
        <w:rPr>
          <w:rtl/>
        </w:rPr>
        <w:t>המקור: משרד מבקר המדינה</w:t>
      </w:r>
      <w:r w:rsidRPr="00000CA7">
        <w:t>.</w:t>
      </w:r>
      <w:r w:rsidRPr="00000CA7">
        <w:rPr>
          <w:rFonts w:hint="cs"/>
          <w:rtl/>
        </w:rPr>
        <w:t xml:space="preserve"> </w:t>
      </w:r>
    </w:p>
    <w:p w:rsidR="00985E92" w:rsidRPr="000041B6" w:rsidP="00985E92" w14:paraId="426C87DA" w14:textId="152D6909">
      <w:pPr>
        <w:pStyle w:val="7317"/>
      </w:pPr>
      <w:r w:rsidRPr="00985E92">
        <w:rPr>
          <w:rStyle w:val="7371"/>
          <w:rFonts w:hint="cs"/>
          <w:noProof/>
          <w:rtl/>
        </w:rPr>
        <w:drawing>
          <wp:anchor distT="0" distB="0" distL="114300" distR="114300" simplePos="0" relativeHeight="251708416" behindDoc="1" locked="0" layoutInCell="1" allowOverlap="1">
            <wp:simplePos x="0" y="0"/>
            <wp:positionH relativeFrom="column">
              <wp:posOffset>4556955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1318552024"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552024"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985E92">
        <w:rPr>
          <w:rStyle w:val="7371"/>
          <w:rFonts w:hint="cs"/>
          <w:rtl/>
        </w:rPr>
        <w:t>אי-גביית היטל הטמנה</w:t>
      </w:r>
      <w:r w:rsidRPr="00985E92">
        <w:rPr>
          <w:rStyle w:val="7371"/>
          <w:rFonts w:hint="cs"/>
          <w:webHidden/>
          <w:rtl/>
        </w:rPr>
        <w:t xml:space="preserve"> על ידי המשרד </w:t>
      </w:r>
      <w:r w:rsidRPr="00985E92">
        <w:rPr>
          <w:rStyle w:val="7371"/>
          <w:rFonts w:hint="cs"/>
          <w:webHidden/>
          <w:rtl/>
        </w:rPr>
        <w:t>להג"ס</w:t>
      </w:r>
      <w:r w:rsidRPr="00985E92">
        <w:rPr>
          <w:rStyle w:val="7371"/>
          <w:rFonts w:hint="cs"/>
          <w:webHidden/>
          <w:rtl/>
        </w:rPr>
        <w:t xml:space="preserve"> בגין הפסולת התעשייתית של </w:t>
      </w:r>
      <w:r w:rsidRPr="00985E92">
        <w:rPr>
          <w:rStyle w:val="7371"/>
          <w:rFonts w:hint="cs"/>
          <w:webHidden/>
          <w:rtl/>
        </w:rPr>
        <w:t>מי"ה</w:t>
      </w:r>
      <w:r w:rsidRPr="00985E92">
        <w:rPr>
          <w:rStyle w:val="7371"/>
          <w:rFonts w:hint="cs"/>
          <w:webHidden/>
          <w:rtl/>
        </w:rPr>
        <w:t xml:space="preserve"> </w:t>
      </w:r>
      <w:r w:rsidRPr="00985E92">
        <w:rPr>
          <w:rStyle w:val="7371"/>
          <w:rFonts w:hint="cs"/>
          <w:rtl/>
        </w:rPr>
        <w:t xml:space="preserve">- </w:t>
      </w:r>
      <w:r w:rsidRPr="000041B6">
        <w:rPr>
          <w:rFonts w:hint="cs"/>
          <w:rtl/>
        </w:rPr>
        <w:t xml:space="preserve">נמצא כי אף שהתיקון לחוק שמירת הניקיון המחייב בהיטל הטמנה נכנס לתוקף בשנת 2007, המשרד </w:t>
      </w:r>
      <w:r w:rsidRPr="000041B6">
        <w:rPr>
          <w:rFonts w:hint="cs"/>
          <w:rtl/>
        </w:rPr>
        <w:t>להג"ס</w:t>
      </w:r>
      <w:r w:rsidRPr="000041B6">
        <w:rPr>
          <w:rFonts w:hint="cs"/>
          <w:rtl/>
        </w:rPr>
        <w:t xml:space="preserve"> לא חייב את </w:t>
      </w:r>
      <w:r w:rsidRPr="000041B6">
        <w:rPr>
          <w:rFonts w:hint="cs"/>
          <w:rtl/>
        </w:rPr>
        <w:t>מי"ה</w:t>
      </w:r>
      <w:r w:rsidRPr="000041B6">
        <w:rPr>
          <w:rFonts w:hint="cs"/>
          <w:rtl/>
        </w:rPr>
        <w:t xml:space="preserve"> בתשלום היטל הטמנה בגין הטמנת פסולת המלח ופסולת הבוצה המלחית</w:t>
      </w:r>
      <w:r w:rsidR="001A2FA2">
        <w:t xml:space="preserve"> </w:t>
      </w:r>
      <w:r w:rsidRPr="001A2FA2" w:rsidR="001A2FA2">
        <w:rPr>
          <w:rtl/>
        </w:rPr>
        <w:t>ולא בחן את האפשרות לחייב בהיטל האמור</w:t>
      </w:r>
      <w:r w:rsidRPr="000041B6">
        <w:rPr>
          <w:rFonts w:hint="cs"/>
          <w:rtl/>
        </w:rPr>
        <w:t xml:space="preserve">, על אף היקפי ההטמנה הנרחבים שלהם מדי שנה (2 מיליון טונות ו-15,000 טונות בהתאמה). כפועל יוצא מכך, מערומי פסולת בהיקף נרחב נמצאים בתחום הזיכיון בלי שמשולם בגינם היטל הטמנה שנועד להפנים עלויות חיצוניות, לעודד שימוש בשיטות חלופיות לטיפול בפסולת </w:t>
      </w:r>
      <w:r w:rsidRPr="000041B6">
        <w:rPr>
          <w:rFonts w:hint="cs"/>
          <w:rtl/>
        </w:rPr>
        <w:t xml:space="preserve">אשר צורכות פחות קרקע ופוגעות פחות בסביבה, ולהוות תמריץ לצמצום הפסולת המיוצרת. </w:t>
      </w:r>
    </w:p>
    <w:p w:rsidR="00985E92" w:rsidP="00985E92" w14:paraId="3D0898DB" w14:textId="2D68AA5A">
      <w:pPr>
        <w:pStyle w:val="7317"/>
        <w:rPr>
          <w:rtl/>
        </w:rPr>
      </w:pPr>
      <w:r w:rsidRPr="000041B6">
        <w:rPr>
          <w:rFonts w:hint="cs"/>
          <w:rtl/>
        </w:rPr>
        <w:t xml:space="preserve">לשם המחשה, לפי תחשיב שביצע משרד מבקר המדינה, אילו היה המשרד </w:t>
      </w:r>
      <w:r w:rsidRPr="000041B6">
        <w:rPr>
          <w:rFonts w:hint="cs"/>
          <w:rtl/>
        </w:rPr>
        <w:t>להג"ס</w:t>
      </w:r>
      <w:r w:rsidRPr="000041B6">
        <w:rPr>
          <w:rFonts w:hint="cs"/>
          <w:rtl/>
        </w:rPr>
        <w:t xml:space="preserve"> מחייב פסולות אלו בהיטל הטמנה, גובה ההיטל </w:t>
      </w:r>
      <w:r w:rsidRPr="000041B6">
        <w:rPr>
          <w:rFonts w:hint="cs"/>
          <w:rtl/>
        </w:rPr>
        <w:t>שהיתה</w:t>
      </w:r>
      <w:r w:rsidRPr="000041B6">
        <w:rPr>
          <w:rFonts w:hint="cs"/>
          <w:rtl/>
        </w:rPr>
        <w:t xml:space="preserve"> </w:t>
      </w:r>
      <w:r w:rsidRPr="000041B6">
        <w:rPr>
          <w:rFonts w:hint="cs"/>
          <w:rtl/>
        </w:rPr>
        <w:t>מי"ה</w:t>
      </w:r>
      <w:r w:rsidRPr="000041B6">
        <w:rPr>
          <w:rFonts w:hint="cs"/>
          <w:rtl/>
        </w:rPr>
        <w:t xml:space="preserve"> משלמת </w:t>
      </w:r>
      <w:r w:rsidRPr="000041B6">
        <w:rPr>
          <w:rFonts w:hint="eastAsia"/>
          <w:rtl/>
        </w:rPr>
        <w:t>לקרן</w:t>
      </w:r>
      <w:r w:rsidRPr="000041B6">
        <w:rPr>
          <w:rtl/>
        </w:rPr>
        <w:t xml:space="preserve"> </w:t>
      </w:r>
      <w:r w:rsidRPr="000041B6">
        <w:rPr>
          <w:rFonts w:hint="eastAsia"/>
          <w:rtl/>
        </w:rPr>
        <w:t>לשמירת</w:t>
      </w:r>
      <w:r w:rsidRPr="000041B6">
        <w:rPr>
          <w:rtl/>
        </w:rPr>
        <w:t xml:space="preserve"> </w:t>
      </w:r>
      <w:r w:rsidRPr="000041B6">
        <w:rPr>
          <w:rFonts w:hint="eastAsia"/>
          <w:rtl/>
        </w:rPr>
        <w:t>הניקיון</w:t>
      </w:r>
      <w:r w:rsidRPr="000041B6">
        <w:rPr>
          <w:rFonts w:hint="cs"/>
          <w:rtl/>
        </w:rPr>
        <w:t xml:space="preserve"> בשנת 2023 היה עומד על סכום שבין 90 מיליון ש"ח לבין 135 מיליון ש"ח (כ-90 מיליון ש"ח עד 134 מיליון ש"ח בגין פסולת המלח</w:t>
      </w:r>
      <w:r>
        <w:rPr>
          <w:vertAlign w:val="superscript"/>
          <w:rtl/>
        </w:rPr>
        <w:footnoteReference w:id="7"/>
      </w:r>
      <w:r w:rsidRPr="000041B6">
        <w:rPr>
          <w:rFonts w:hint="cs"/>
          <w:rtl/>
        </w:rPr>
        <w:t xml:space="preserve"> וכמיליון ש"ח</w:t>
      </w:r>
      <w:r>
        <w:rPr>
          <w:vertAlign w:val="superscript"/>
          <w:rtl/>
        </w:rPr>
        <w:footnoteReference w:id="8"/>
      </w:r>
      <w:r w:rsidRPr="000041B6">
        <w:rPr>
          <w:rFonts w:hint="cs"/>
          <w:rtl/>
        </w:rPr>
        <w:t xml:space="preserve"> בגין פסולת הבוצה המלחית). </w:t>
      </w:r>
    </w:p>
    <w:p w:rsidR="00985E92" w:rsidRPr="000041B6" w:rsidP="00985E92" w14:paraId="0F7118C3" w14:textId="77777777">
      <w:pPr>
        <w:pStyle w:val="73512"/>
        <w:rPr>
          <w:rtl/>
        </w:rPr>
      </w:pPr>
      <w:r w:rsidRPr="000041B6">
        <w:rPr>
          <w:rFonts w:hint="eastAsia"/>
          <w:rtl/>
        </w:rPr>
        <w:t>ממשקי</w:t>
      </w:r>
      <w:r w:rsidRPr="000041B6">
        <w:rPr>
          <w:rtl/>
        </w:rPr>
        <w:t xml:space="preserve"> העבודה והעברת מידע בין </w:t>
      </w:r>
      <w:r w:rsidRPr="000041B6">
        <w:rPr>
          <w:rFonts w:hint="eastAsia"/>
          <w:rtl/>
        </w:rPr>
        <w:t>מאסדרים</w:t>
      </w:r>
      <w:r w:rsidRPr="000041B6">
        <w:rPr>
          <w:rFonts w:hint="cs"/>
          <w:rtl/>
        </w:rPr>
        <w:t xml:space="preserve"> </w:t>
      </w:r>
      <w:bookmarkStart w:id="12" w:name="_Hlk174456597"/>
      <w:r w:rsidRPr="000041B6">
        <w:rPr>
          <w:rFonts w:hint="cs"/>
          <w:rtl/>
        </w:rPr>
        <w:t xml:space="preserve">לגבי פעילות </w:t>
      </w:r>
      <w:r w:rsidRPr="000041B6">
        <w:rPr>
          <w:rFonts w:hint="cs"/>
          <w:rtl/>
        </w:rPr>
        <w:t>מי"ה</w:t>
      </w:r>
      <w:r w:rsidRPr="000041B6">
        <w:rPr>
          <w:rFonts w:hint="cs"/>
          <w:rtl/>
        </w:rPr>
        <w:t xml:space="preserve"> בשטח הזיכיון</w:t>
      </w:r>
      <w:bookmarkEnd w:id="12"/>
    </w:p>
    <w:p w:rsidR="00985E92" w:rsidRPr="000041B6" w:rsidP="00985E92" w14:paraId="1BA15E3A" w14:textId="333010D2">
      <w:pPr>
        <w:pStyle w:val="7317"/>
      </w:pPr>
      <w:r w:rsidRPr="0063556C">
        <w:rPr>
          <w:rStyle w:val="7372"/>
          <w:rFonts w:hint="cs"/>
          <w:noProof/>
          <w:rtl/>
        </w:rPr>
        <w:drawing>
          <wp:anchor distT="0" distB="0" distL="114300" distR="114300" simplePos="0" relativeHeight="251709440" behindDoc="1" locked="0" layoutInCell="1" allowOverlap="1">
            <wp:simplePos x="0" y="0"/>
            <wp:positionH relativeFrom="column">
              <wp:posOffset>4556955</wp:posOffset>
            </wp:positionH>
            <wp:positionV relativeFrom="paragraph">
              <wp:posOffset>29845</wp:posOffset>
            </wp:positionV>
            <wp:extent cx="162000" cy="162000"/>
            <wp:effectExtent l="0" t="0" r="3175" b="3175"/>
            <wp:wrapTight wrapText="bothSides">
              <wp:wrapPolygon>
                <wp:start x="0" y="0"/>
                <wp:lineTo x="0" y="15247"/>
                <wp:lineTo x="5082" y="20329"/>
                <wp:lineTo x="15247" y="20329"/>
                <wp:lineTo x="20329" y="15247"/>
                <wp:lineTo x="20329" y="0"/>
                <wp:lineTo x="0" y="0"/>
              </wp:wrapPolygon>
            </wp:wrapTight>
            <wp:docPr id="333887754"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887754"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2000" cy="162000"/>
                    </a:xfrm>
                    <a:prstGeom prst="rect">
                      <a:avLst/>
                    </a:prstGeom>
                  </pic:spPr>
                </pic:pic>
              </a:graphicData>
            </a:graphic>
            <wp14:sizeRelH relativeFrom="margin">
              <wp14:pctWidth>0</wp14:pctWidth>
            </wp14:sizeRelH>
            <wp14:sizeRelV relativeFrom="margin">
              <wp14:pctHeight>0</wp14:pctHeight>
            </wp14:sizeRelV>
          </wp:anchor>
        </w:drawing>
      </w:r>
      <w:r w:rsidRPr="000041B6">
        <w:rPr>
          <w:rFonts w:hint="cs"/>
          <w:rtl/>
        </w:rPr>
        <w:t xml:space="preserve">ממצאי הביקורת מעידים על פערי מידע בין הגורמים </w:t>
      </w:r>
      <w:r w:rsidRPr="000041B6">
        <w:rPr>
          <w:rFonts w:hint="cs"/>
          <w:rtl/>
        </w:rPr>
        <w:t>המאסדרים</w:t>
      </w:r>
      <w:r w:rsidRPr="000041B6">
        <w:rPr>
          <w:rFonts w:hint="cs"/>
          <w:rtl/>
        </w:rPr>
        <w:t xml:space="preserve"> השונים הפועלים בתחום הזיכיון ובהם המשרד </w:t>
      </w:r>
      <w:r w:rsidRPr="000041B6">
        <w:rPr>
          <w:rFonts w:hint="cs"/>
          <w:rtl/>
        </w:rPr>
        <w:t>להג"ס</w:t>
      </w:r>
      <w:r w:rsidRPr="000041B6">
        <w:rPr>
          <w:rFonts w:hint="cs"/>
          <w:rtl/>
        </w:rPr>
        <w:t xml:space="preserve">, משרד </w:t>
      </w:r>
      <w:r w:rsidRPr="000041B6">
        <w:rPr>
          <w:rFonts w:hint="cs"/>
          <w:rtl/>
        </w:rPr>
        <w:t>האנרגייה</w:t>
      </w:r>
      <w:r w:rsidRPr="000041B6">
        <w:rPr>
          <w:rFonts w:hint="cs"/>
          <w:rtl/>
        </w:rPr>
        <w:t>, המועצה האזורית תמר</w:t>
      </w:r>
      <w:r w:rsidR="006D3E50">
        <w:rPr>
          <w:rFonts w:hint="cs"/>
          <w:rtl/>
        </w:rPr>
        <w:t xml:space="preserve"> </w:t>
      </w:r>
      <w:r w:rsidRPr="000041B6">
        <w:rPr>
          <w:rFonts w:hint="cs"/>
          <w:rtl/>
        </w:rPr>
        <w:t>ורמ"י</w:t>
      </w:r>
      <w:r w:rsidRPr="000041B6">
        <w:rPr>
          <w:rFonts w:hint="cs"/>
          <w:rtl/>
        </w:rPr>
        <w:t xml:space="preserve">, לגבי פעילות </w:t>
      </w:r>
      <w:r w:rsidRPr="000041B6">
        <w:rPr>
          <w:rFonts w:hint="cs"/>
          <w:rtl/>
        </w:rPr>
        <w:t>מי"ה</w:t>
      </w:r>
      <w:r w:rsidRPr="000041B6">
        <w:rPr>
          <w:rFonts w:hint="cs"/>
          <w:rtl/>
        </w:rPr>
        <w:t xml:space="preserve"> בתחום הזיכיון ועל היעדר תיאום בנושאים משותפים או משיקים שהטיפול בהם מחייב שיתוף פעולה ובחינה כוללת של כמה </w:t>
      </w:r>
      <w:r w:rsidRPr="000041B6">
        <w:rPr>
          <w:rFonts w:hint="cs"/>
          <w:rtl/>
        </w:rPr>
        <w:t>מאסדרים</w:t>
      </w:r>
      <w:r w:rsidRPr="000041B6">
        <w:rPr>
          <w:rFonts w:hint="cs"/>
          <w:rtl/>
        </w:rPr>
        <w:t xml:space="preserve"> יחדיו. פערים אלו הביאו לכך שלא אחת סמכויות שצריך היה לממש בתחום הזיכיון לא מומשו. כך לדוגמה: </w:t>
      </w:r>
    </w:p>
    <w:p w:rsidR="00985E92" w:rsidRPr="000041B6" w:rsidP="002B4A75" w14:paraId="18A88527" w14:textId="68A4A207">
      <w:pPr>
        <w:pStyle w:val="7317"/>
        <w:numPr>
          <w:ilvl w:val="0"/>
          <w:numId w:val="13"/>
        </w:numPr>
      </w:pPr>
      <w:bookmarkStart w:id="13" w:name="_Hlk191211131"/>
      <w:r w:rsidRPr="00F463EE">
        <w:rPr>
          <w:rtl/>
        </w:rPr>
        <w:t>בעוד</w:t>
      </w:r>
      <w:r>
        <w:rPr>
          <w:rFonts w:hint="cs"/>
          <w:rtl/>
        </w:rPr>
        <w:t xml:space="preserve"> </w:t>
      </w:r>
      <w:r w:rsidRPr="000041B6">
        <w:rPr>
          <w:rFonts w:hint="cs"/>
          <w:rtl/>
        </w:rPr>
        <w:t xml:space="preserve">שהמועצה האזורית תמר מיפתה את שטח הזיכיון וריכזה מידע חשוב לגבי </w:t>
      </w:r>
      <w:r w:rsidRPr="006D3E50" w:rsidR="006D3E50">
        <w:rPr>
          <w:rtl/>
        </w:rPr>
        <w:t xml:space="preserve">מתקנים ושימושים של </w:t>
      </w:r>
      <w:r w:rsidRPr="006D3E50" w:rsidR="006D3E50">
        <w:rPr>
          <w:rtl/>
        </w:rPr>
        <w:t>מי"ה</w:t>
      </w:r>
      <w:r w:rsidRPr="006D3E50" w:rsidR="006D3E50">
        <w:rPr>
          <w:rtl/>
        </w:rPr>
        <w:t xml:space="preserve"> המתקיימים בתחום הזיכיון</w:t>
      </w:r>
      <w:r w:rsidRPr="000041B6">
        <w:rPr>
          <w:rFonts w:hint="cs"/>
          <w:rtl/>
        </w:rPr>
        <w:t xml:space="preserve">, ואף העלתה מידע זה למאגר מידע ממוחשב ומתקדם, </w:t>
      </w:r>
      <w:r w:rsidRPr="000041B6">
        <w:rPr>
          <w:rFonts w:hint="cs"/>
          <w:rtl/>
        </w:rPr>
        <w:t>לרמ"י</w:t>
      </w:r>
      <w:r w:rsidRPr="000041B6">
        <w:rPr>
          <w:rFonts w:hint="cs"/>
          <w:rtl/>
        </w:rPr>
        <w:t xml:space="preserve"> ולמשרד </w:t>
      </w:r>
      <w:r w:rsidRPr="000041B6">
        <w:rPr>
          <w:rFonts w:hint="cs"/>
          <w:rtl/>
        </w:rPr>
        <w:t>להג"ס</w:t>
      </w:r>
      <w:r w:rsidRPr="000041B6">
        <w:rPr>
          <w:rFonts w:hint="cs"/>
          <w:rtl/>
        </w:rPr>
        <w:t xml:space="preserve"> לא היה מידע מספק </w:t>
      </w:r>
      <w:r w:rsidR="006D3E50">
        <w:rPr>
          <w:rFonts w:hint="cs"/>
          <w:rtl/>
        </w:rPr>
        <w:t>בנושא</w:t>
      </w:r>
      <w:r w:rsidRPr="000041B6">
        <w:rPr>
          <w:rFonts w:hint="cs"/>
          <w:rtl/>
        </w:rPr>
        <w:t xml:space="preserve">: המשרד </w:t>
      </w:r>
      <w:r w:rsidRPr="000041B6">
        <w:rPr>
          <w:rFonts w:hint="cs"/>
          <w:rtl/>
        </w:rPr>
        <w:t>להג"ס</w:t>
      </w:r>
      <w:r w:rsidRPr="000041B6">
        <w:rPr>
          <w:rFonts w:hint="cs"/>
          <w:rtl/>
        </w:rPr>
        <w:t xml:space="preserve"> לא הפעיל סמכויותיו בשטח הזיכיון ולא קבע תנאים סביבתיים ייעודיים ברישיון העסק של מתקנים רבים המופיעים במאגר המידע, </w:t>
      </w:r>
      <w:r w:rsidRPr="000041B6">
        <w:rPr>
          <w:rFonts w:hint="cs"/>
          <w:rtl/>
        </w:rPr>
        <w:t>ורמ"י</w:t>
      </w:r>
      <w:r w:rsidRPr="000041B6">
        <w:rPr>
          <w:rFonts w:hint="cs"/>
          <w:rtl/>
        </w:rPr>
        <w:t xml:space="preserve"> לא פעלה להסדרת שימושים שונים של </w:t>
      </w:r>
      <w:r w:rsidRPr="000041B6">
        <w:rPr>
          <w:rFonts w:hint="cs"/>
          <w:rtl/>
        </w:rPr>
        <w:t>מי"ה</w:t>
      </w:r>
      <w:r w:rsidRPr="000041B6">
        <w:rPr>
          <w:rFonts w:hint="cs"/>
          <w:rtl/>
        </w:rPr>
        <w:t xml:space="preserve"> שמידע לגביהם קיים בידי המועצה האזורית. </w:t>
      </w:r>
    </w:p>
    <w:bookmarkEnd w:id="13"/>
    <w:p w:rsidR="00985E92" w:rsidRPr="000041B6" w:rsidP="002B4A75" w14:paraId="1408F7D8" w14:textId="00289C8D">
      <w:pPr>
        <w:pStyle w:val="7317"/>
        <w:numPr>
          <w:ilvl w:val="0"/>
          <w:numId w:val="13"/>
        </w:numPr>
      </w:pPr>
      <w:r w:rsidRPr="000041B6">
        <w:rPr>
          <w:rtl/>
        </w:rPr>
        <w:t xml:space="preserve">כמות מים משמעותית של כרבע מכמות המים </w:t>
      </w:r>
      <w:r w:rsidRPr="000041B6">
        <w:rPr>
          <w:rtl/>
        </w:rPr>
        <w:t>שמי"ה</w:t>
      </w:r>
      <w:r w:rsidRPr="000041B6">
        <w:rPr>
          <w:rtl/>
        </w:rPr>
        <w:t xml:space="preserve"> שואבת מים המלח דולפת מבריכת האידוי התעשייתית הגדולה ביותר שלה, דליפה שיש לה השפעות סביבתיות וכן עלולות להיות לה השפעות נוספות דוגמת שינוי פני השטח ופגיעה ביציבות ההנדסית של </w:t>
      </w:r>
      <w:r w:rsidRPr="00F463EE" w:rsidR="00F463EE">
        <w:rPr>
          <w:rtl/>
        </w:rPr>
        <w:t>הבריכה</w:t>
      </w:r>
      <w:r w:rsidRPr="000041B6">
        <w:rPr>
          <w:rtl/>
        </w:rPr>
        <w:t xml:space="preserve">, זאת בלי שהדבר נבחן באופן רוחבי על ידי כלל </w:t>
      </w:r>
      <w:r w:rsidRPr="000041B6">
        <w:rPr>
          <w:rtl/>
        </w:rPr>
        <w:t>המאסדרים</w:t>
      </w:r>
      <w:r w:rsidRPr="000041B6">
        <w:rPr>
          <w:rtl/>
        </w:rPr>
        <w:t xml:space="preserve"> הנוגעים בדבר, בלי שהמשרד </w:t>
      </w:r>
      <w:r w:rsidRPr="000041B6">
        <w:rPr>
          <w:rtl/>
        </w:rPr>
        <w:t>להג"ס</w:t>
      </w:r>
      <w:r w:rsidRPr="000041B6">
        <w:rPr>
          <w:rtl/>
        </w:rPr>
        <w:t xml:space="preserve"> פעל בנושא וקבע תנאים ברישיון עסק כדי למנוע או לצמצם דליפה זו, ותוך שרשות המים סבורה כי אין זה מתפקידה לנקוט פעולות בנושא</w:t>
      </w:r>
      <w:r w:rsidR="006D3E50">
        <w:rPr>
          <w:rFonts w:hint="cs"/>
          <w:rtl/>
        </w:rPr>
        <w:t>.</w:t>
      </w:r>
    </w:p>
    <w:p w:rsidR="00985E92" w:rsidRPr="000041B6" w:rsidP="002B4A75" w14:paraId="3718E8AB" w14:textId="691949F0">
      <w:pPr>
        <w:pStyle w:val="7317"/>
        <w:numPr>
          <w:ilvl w:val="0"/>
          <w:numId w:val="13"/>
        </w:numPr>
      </w:pPr>
      <w:r w:rsidRPr="000041B6">
        <w:rPr>
          <w:rFonts w:hint="cs"/>
          <w:rtl/>
        </w:rPr>
        <w:t xml:space="preserve">מידע מהותי שהעבירה </w:t>
      </w:r>
      <w:r w:rsidRPr="000041B6">
        <w:rPr>
          <w:rFonts w:hint="cs"/>
          <w:rtl/>
        </w:rPr>
        <w:t>מי"ה</w:t>
      </w:r>
      <w:r w:rsidRPr="000041B6">
        <w:rPr>
          <w:rFonts w:hint="cs"/>
          <w:rtl/>
        </w:rPr>
        <w:t xml:space="preserve"> </w:t>
      </w:r>
      <w:r w:rsidRPr="000041B6">
        <w:rPr>
          <w:rFonts w:hint="cs"/>
          <w:rtl/>
        </w:rPr>
        <w:t>לרמ"י</w:t>
      </w:r>
      <w:r w:rsidRPr="000041B6">
        <w:rPr>
          <w:rFonts w:hint="cs"/>
          <w:rtl/>
        </w:rPr>
        <w:t xml:space="preserve"> ביחס להסדר אליו הגיעה עם המועצה האזורית תמר לגבי תחנת הכוח החדשה לא נבחן: </w:t>
      </w:r>
      <w:r w:rsidRPr="000041B6">
        <w:rPr>
          <w:rFonts w:hint="cs"/>
          <w:rtl/>
        </w:rPr>
        <w:t>מי"ה</w:t>
      </w:r>
      <w:r w:rsidRPr="000041B6">
        <w:rPr>
          <w:rFonts w:hint="cs"/>
          <w:rtl/>
        </w:rPr>
        <w:t xml:space="preserve"> העבירה </w:t>
      </w:r>
      <w:r w:rsidRPr="000041B6">
        <w:rPr>
          <w:rFonts w:hint="cs"/>
          <w:rtl/>
        </w:rPr>
        <w:t>לרמ"י</w:t>
      </w:r>
      <w:r w:rsidRPr="000041B6">
        <w:rPr>
          <w:rFonts w:hint="cs"/>
          <w:rtl/>
        </w:rPr>
        <w:t xml:space="preserve"> מידע לפיו מכירת חשמל המופק בתחנת הכוח החדשה למפעלים אחרים בקונצרן </w:t>
      </w:r>
      <w:r w:rsidRPr="000041B6">
        <w:rPr>
          <w:rFonts w:hint="cs"/>
          <w:rtl/>
        </w:rPr>
        <w:t>כי"ל</w:t>
      </w:r>
      <w:r w:rsidRPr="000041B6">
        <w:rPr>
          <w:rFonts w:hint="cs"/>
          <w:rtl/>
        </w:rPr>
        <w:t xml:space="preserve"> נחשבת לפי המועצה האזורית תמר כצריכה פנימית לצורך תשלום ארנונה. מידע מהותי זה, </w:t>
      </w:r>
      <w:r w:rsidRPr="000041B6">
        <w:rPr>
          <w:rtl/>
        </w:rPr>
        <w:t>אשר המועצה האזורית תמר טוענת כי אינו מדויק</w:t>
      </w:r>
      <w:r w:rsidRPr="000041B6">
        <w:rPr>
          <w:rFonts w:hint="cs"/>
          <w:rtl/>
        </w:rPr>
        <w:t xml:space="preserve">, לא נבדק, אף שיש בו כדי להשפיע על הסיווג </w:t>
      </w:r>
      <w:r w:rsidRPr="000041B6">
        <w:rPr>
          <w:rFonts w:hint="cs"/>
          <w:rtl/>
        </w:rPr>
        <w:t>שרמ"י</w:t>
      </w:r>
      <w:r w:rsidRPr="000041B6">
        <w:rPr>
          <w:rFonts w:hint="cs"/>
          <w:rtl/>
        </w:rPr>
        <w:t xml:space="preserve"> תקבע בנוגע לחשמל המיוצר בתחנת הכוח החדשה ונמכר ע</w:t>
      </w:r>
      <w:r w:rsidR="00F571AD">
        <w:rPr>
          <w:rFonts w:hint="cs"/>
          <w:rtl/>
        </w:rPr>
        <w:t>ל ידי</w:t>
      </w:r>
      <w:r w:rsidRPr="000041B6">
        <w:rPr>
          <w:rFonts w:hint="cs"/>
          <w:rtl/>
        </w:rPr>
        <w:t xml:space="preserve"> </w:t>
      </w:r>
      <w:r w:rsidRPr="000041B6">
        <w:rPr>
          <w:rFonts w:hint="cs"/>
          <w:rtl/>
        </w:rPr>
        <w:t>מי"ה</w:t>
      </w:r>
      <w:r w:rsidRPr="000041B6">
        <w:rPr>
          <w:rFonts w:hint="cs"/>
          <w:rtl/>
        </w:rPr>
        <w:t xml:space="preserve"> למפעלים אחרים בקונצרן, ולהשפיע על היקף התשלום שיידרש </w:t>
      </w:r>
      <w:r w:rsidRPr="000041B6">
        <w:rPr>
          <w:rFonts w:hint="cs"/>
          <w:rtl/>
        </w:rPr>
        <w:t>ממי"ה</w:t>
      </w:r>
      <w:r w:rsidRPr="000041B6">
        <w:rPr>
          <w:rFonts w:hint="cs"/>
          <w:rtl/>
        </w:rPr>
        <w:t xml:space="preserve">. </w:t>
      </w:r>
    </w:p>
    <w:p w:rsidR="00985E92" w:rsidP="00985E92" w14:paraId="01944451" w14:textId="69F24D3D">
      <w:pPr>
        <w:pStyle w:val="7317"/>
        <w:rPr>
          <w:rtl/>
        </w:rPr>
      </w:pPr>
      <w:r w:rsidRPr="000041B6">
        <w:rPr>
          <w:rFonts w:hint="cs"/>
          <w:rtl/>
        </w:rPr>
        <w:t xml:space="preserve">כתוצאה מכך נפגעה המשילות בתחום הזיכיון, וגורמים </w:t>
      </w:r>
      <w:r w:rsidRPr="000041B6">
        <w:rPr>
          <w:rFonts w:hint="cs"/>
          <w:rtl/>
        </w:rPr>
        <w:t>מאסדרים</w:t>
      </w:r>
      <w:r w:rsidRPr="000041B6">
        <w:rPr>
          <w:rFonts w:hint="cs"/>
          <w:rtl/>
        </w:rPr>
        <w:t xml:space="preserve"> שונים לא נקטו צעדים כדי להבטיח כי </w:t>
      </w:r>
      <w:r w:rsidRPr="00062D24" w:rsidR="00062D24">
        <w:rPr>
          <w:rtl/>
        </w:rPr>
        <w:t>פעילותה של</w:t>
      </w:r>
      <w:r w:rsidRPr="000041B6">
        <w:rPr>
          <w:rFonts w:hint="cs"/>
          <w:rtl/>
        </w:rPr>
        <w:t xml:space="preserve"> </w:t>
      </w:r>
      <w:r w:rsidRPr="000041B6">
        <w:rPr>
          <w:rFonts w:hint="cs"/>
          <w:rtl/>
        </w:rPr>
        <w:t>מי"ה</w:t>
      </w:r>
      <w:r w:rsidRPr="000041B6">
        <w:rPr>
          <w:rFonts w:hint="cs"/>
          <w:rtl/>
        </w:rPr>
        <w:t xml:space="preserve"> לא תפגע באינטרסים ציבוריים חיוניים, ובהם שמירה על </w:t>
      </w:r>
      <w:r w:rsidR="006D3E50">
        <w:rPr>
          <w:rFonts w:hint="cs"/>
          <w:rtl/>
        </w:rPr>
        <w:t xml:space="preserve">המקרקעין </w:t>
      </w:r>
      <w:r w:rsidR="00000CA7">
        <w:rPr>
          <w:rFonts w:hint="cs"/>
          <w:rtl/>
        </w:rPr>
        <w:t>ו</w:t>
      </w:r>
      <w:r w:rsidRPr="000041B6">
        <w:rPr>
          <w:rFonts w:hint="cs"/>
          <w:rtl/>
        </w:rPr>
        <w:t>הסביבה</w:t>
      </w:r>
      <w:r w:rsidRPr="00AF3B73">
        <w:rPr>
          <w:rFonts w:hint="cs"/>
          <w:rtl/>
        </w:rPr>
        <w:t xml:space="preserve">. </w:t>
      </w:r>
    </w:p>
    <w:p w:rsidR="00EB672B" w:rsidRPr="000B463F" w:rsidP="00C035DE" w14:paraId="5AE2419C" w14:textId="77777777">
      <w:pPr>
        <w:spacing w:before="480" w:after="240"/>
      </w:pPr>
      <w:r>
        <w:rPr>
          <w:noProof/>
        </w:rPr>
        <w:drawing>
          <wp:inline distT="0" distB="0" distL="0" distR="0">
            <wp:extent cx="2209800" cy="190500"/>
            <wp:effectExtent l="0" t="0" r="0" b="0"/>
            <wp:docPr id="374811198" name="תמונה 3" descr="ממצאים חיובי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811198" name="תמונה 3" descr="ממצאים חיוביים"/>
                    <pic:cNvPicPr/>
                  </pic:nvPicPr>
                  <pic:blipFill>
                    <a:blip xmlns:r="http://schemas.openxmlformats.org/officeDocument/2006/relationships" r:embed="rId2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209800" cy="190500"/>
                    </a:xfrm>
                    <a:prstGeom prst="rect">
                      <a:avLst/>
                    </a:prstGeom>
                  </pic:spPr>
                </pic:pic>
              </a:graphicData>
            </a:graphic>
          </wp:inline>
        </w:drawing>
      </w:r>
    </w:p>
    <w:p w:rsidR="00EB672B" w:rsidRPr="00CA4EB1" w:rsidP="00EB672B" w14:paraId="3D4B0578" w14:textId="166F93ED">
      <w:pPr>
        <w:pStyle w:val="7317"/>
        <w:rPr>
          <w:rtl/>
        </w:rPr>
      </w:pPr>
      <w:r w:rsidRPr="000A798D">
        <w:rPr>
          <w:rFonts w:hint="cs"/>
          <w:rtl/>
        </w:rPr>
        <w:t xml:space="preserve">המשרד </w:t>
      </w:r>
      <w:r w:rsidRPr="000A798D">
        <w:rPr>
          <w:rFonts w:hint="cs"/>
          <w:rtl/>
        </w:rPr>
        <w:t>להג"ס</w:t>
      </w:r>
      <w:r w:rsidRPr="000A798D">
        <w:rPr>
          <w:rFonts w:hint="cs"/>
          <w:rtl/>
        </w:rPr>
        <w:t xml:space="preserve"> קבע בשנת 2023 ברישיון העסק של מפעל המגנזיום תנאים סביבתיים נוספים, הכוללים דרישות סביבתיות מקיפות. פעולה זו והנימוקים שציין המשרד בבסיס החלטתו וכן אמירתו של המשרד ולפיה מטרת התנאים הנוספים היא למנוע סכנה לפגיעה באיכות הסביבה, מלמדים על </w:t>
      </w:r>
      <w:r w:rsidRPr="00A57C29" w:rsidR="00A57C29">
        <w:rPr>
          <w:rtl/>
        </w:rPr>
        <w:t xml:space="preserve">פערי אסדרה משמעותיים לגבי התנהלותה של </w:t>
      </w:r>
      <w:r w:rsidRPr="00A57C29" w:rsidR="00A57C29">
        <w:rPr>
          <w:rtl/>
        </w:rPr>
        <w:t>מי"ה</w:t>
      </w:r>
      <w:r w:rsidR="00A57C29">
        <w:rPr>
          <w:rFonts w:hint="cs"/>
          <w:rtl/>
        </w:rPr>
        <w:t>.</w:t>
      </w:r>
    </w:p>
    <w:p w:rsidR="00EB672B" w:rsidRPr="006F49D3" w:rsidP="006F49D3" w14:paraId="021D9A4C" w14:textId="77777777">
      <w:pPr>
        <w:pStyle w:val="7327"/>
        <w:rPr>
          <w:rtl/>
        </w:rPr>
      </w:pPr>
      <w:r w:rsidRPr="006F49D3">
        <w:rPr>
          <w:rFonts w:hint="cs"/>
          <w:rtl/>
        </w:rPr>
        <w:t>עיקרי המלצות הביקורת</w:t>
      </w:r>
    </w:p>
    <w:p w:rsidR="00EB672B" w:rsidRPr="007C7D40" w:rsidP="00EB672B" w14:paraId="44B516F2" w14:textId="372D26CD">
      <w:pPr>
        <w:pStyle w:val="7317"/>
      </w:pPr>
      <w:r w:rsidRPr="0063556C">
        <w:rPr>
          <w:rStyle w:val="7372"/>
          <w:rFonts w:hint="cs"/>
          <w:noProof/>
          <w:rtl/>
        </w:rPr>
        <w:drawing>
          <wp:anchor distT="0" distB="1440180" distL="107950" distR="114300" simplePos="0" relativeHeight="251682816" behindDoc="1" locked="0" layoutInCell="1" allowOverlap="1">
            <wp:simplePos x="0" y="0"/>
            <wp:positionH relativeFrom="column">
              <wp:posOffset>4519930</wp:posOffset>
            </wp:positionH>
            <wp:positionV relativeFrom="paragraph">
              <wp:posOffset>23624</wp:posOffset>
            </wp:positionV>
            <wp:extent cx="143510" cy="161925"/>
            <wp:effectExtent l="0" t="0" r="0" b="3175"/>
            <wp:wrapTight wrapText="bothSides">
              <wp:wrapPolygon>
                <wp:start x="3823" y="0"/>
                <wp:lineTo x="0" y="1694"/>
                <wp:lineTo x="0" y="13553"/>
                <wp:lineTo x="1912" y="20329"/>
                <wp:lineTo x="15292" y="20329"/>
                <wp:lineTo x="19115" y="16941"/>
                <wp:lineTo x="19115" y="1694"/>
                <wp:lineTo x="15292" y="0"/>
                <wp:lineTo x="3823" y="0"/>
              </wp:wrapPolygon>
            </wp:wrapTight>
            <wp:docPr id="1451066628"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066628"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3510" cy="161925"/>
                    </a:xfrm>
                    <a:prstGeom prst="rect">
                      <a:avLst/>
                    </a:prstGeom>
                  </pic:spPr>
                </pic:pic>
              </a:graphicData>
            </a:graphic>
            <wp14:sizeRelH relativeFrom="margin">
              <wp14:pctWidth>0</wp14:pctWidth>
            </wp14:sizeRelH>
            <wp14:sizeRelV relativeFrom="margin">
              <wp14:pctHeight>0</wp14:pctHeight>
            </wp14:sizeRelV>
          </wp:anchor>
        </w:drawing>
      </w:r>
      <w:r w:rsidRPr="000A798D" w:rsidR="00EC554F">
        <w:rPr>
          <w:rtl/>
        </w:rPr>
        <w:t xml:space="preserve">על המשרד </w:t>
      </w:r>
      <w:r w:rsidRPr="000A798D" w:rsidR="00EC554F">
        <w:rPr>
          <w:rtl/>
        </w:rPr>
        <w:t>להג"ס</w:t>
      </w:r>
      <w:r w:rsidRPr="000A798D" w:rsidR="00EC554F">
        <w:rPr>
          <w:rtl/>
        </w:rPr>
        <w:t xml:space="preserve"> </w:t>
      </w:r>
      <w:r w:rsidRPr="000A798D" w:rsidR="00EC554F">
        <w:rPr>
          <w:rFonts w:hint="cs"/>
          <w:rtl/>
        </w:rPr>
        <w:t xml:space="preserve">לפעול </w:t>
      </w:r>
      <w:r w:rsidRPr="000A798D" w:rsidR="00EC554F">
        <w:rPr>
          <w:rtl/>
        </w:rPr>
        <w:t xml:space="preserve">בהקדם </w:t>
      </w:r>
      <w:r w:rsidRPr="000A798D" w:rsidR="00EC554F">
        <w:rPr>
          <w:rFonts w:hint="cs"/>
          <w:rtl/>
        </w:rPr>
        <w:t>ל</w:t>
      </w:r>
      <w:r w:rsidRPr="000A798D" w:rsidR="00EC554F">
        <w:rPr>
          <w:rtl/>
        </w:rPr>
        <w:t>אסדרת</w:t>
      </w:r>
      <w:r w:rsidRPr="000A798D" w:rsidR="00EC554F">
        <w:rPr>
          <w:rtl/>
        </w:rPr>
        <w:t xml:space="preserve"> תנאים סביבתיים</w:t>
      </w:r>
      <w:r w:rsidR="00137248">
        <w:rPr>
          <w:rFonts w:hint="cs"/>
          <w:rtl/>
        </w:rPr>
        <w:t xml:space="preserve"> ייעודיים</w:t>
      </w:r>
      <w:r w:rsidRPr="000A798D" w:rsidR="00EC554F">
        <w:rPr>
          <w:rtl/>
        </w:rPr>
        <w:t xml:space="preserve"> </w:t>
      </w:r>
      <w:r w:rsidRPr="000A798D" w:rsidR="00EC554F">
        <w:rPr>
          <w:rtl/>
        </w:rPr>
        <w:t>ברשיון</w:t>
      </w:r>
      <w:r w:rsidRPr="000A798D" w:rsidR="00EC554F">
        <w:rPr>
          <w:rtl/>
        </w:rPr>
        <w:t xml:space="preserve"> העסק של </w:t>
      </w:r>
      <w:r w:rsidRPr="000A798D" w:rsidR="00EC554F">
        <w:rPr>
          <w:rtl/>
        </w:rPr>
        <w:t>מי"ה</w:t>
      </w:r>
      <w:r w:rsidRPr="000A798D" w:rsidR="00EC554F">
        <w:rPr>
          <w:rtl/>
        </w:rPr>
        <w:t xml:space="preserve"> לגבי כלל הפעילויות שהיא מבצעת בתחום הזיכיון, אלו אשר נמצאות בשטח </w:t>
      </w:r>
      <w:r w:rsidRPr="00A57C29" w:rsidR="00A57C29">
        <w:rPr>
          <w:rtl/>
        </w:rPr>
        <w:t>המפעלים</w:t>
      </w:r>
      <w:r w:rsidR="00A57C29">
        <w:rPr>
          <w:rFonts w:hint="cs"/>
          <w:rtl/>
        </w:rPr>
        <w:t xml:space="preserve"> </w:t>
      </w:r>
      <w:r w:rsidRPr="000A798D" w:rsidR="00EC554F">
        <w:rPr>
          <w:rtl/>
        </w:rPr>
        <w:t xml:space="preserve">ואלו אשר נמצאות מחוץ לשטח </w:t>
      </w:r>
      <w:r w:rsidRPr="00A57C29" w:rsidR="00A57C29">
        <w:rPr>
          <w:rtl/>
        </w:rPr>
        <w:t>המפעלים</w:t>
      </w:r>
      <w:r w:rsidRPr="007C7D40">
        <w:rPr>
          <w:rFonts w:hint="cs"/>
          <w:rtl/>
        </w:rPr>
        <w:t xml:space="preserve">. </w:t>
      </w:r>
      <w:r w:rsidRPr="00A57C29" w:rsidR="00A57C29">
        <w:rPr>
          <w:rtl/>
        </w:rPr>
        <w:t xml:space="preserve">מן הראוי כי המועצה האזורית תמר תהיה מעורבת בקיומו של תהליך המסדיר את עדכון התנאים </w:t>
      </w:r>
      <w:r w:rsidRPr="00A57C29" w:rsidR="00A57C29">
        <w:rPr>
          <w:rtl/>
        </w:rPr>
        <w:t>למי"ה</w:t>
      </w:r>
      <w:r w:rsidRPr="00A57C29" w:rsidR="00A57C29">
        <w:rPr>
          <w:rtl/>
        </w:rPr>
        <w:t xml:space="preserve"> כדי לוודא שפעילות תעשייתית רחבת היקף בתחומה פועלת תחת רגולציה הולמת</w:t>
      </w:r>
      <w:r w:rsidR="00C90525">
        <w:rPr>
          <w:rFonts w:hint="cs"/>
          <w:rtl/>
        </w:rPr>
        <w:t>.</w:t>
      </w:r>
    </w:p>
    <w:p w:rsidR="00EB672B" w:rsidRPr="007C7D40" w:rsidP="00EB672B" w14:paraId="723E2ABD" w14:textId="2949A9CC">
      <w:pPr>
        <w:pStyle w:val="7317"/>
      </w:pPr>
      <w:r w:rsidRPr="0063556C">
        <w:rPr>
          <w:rStyle w:val="7372"/>
          <w:rFonts w:hint="cs"/>
          <w:noProof/>
          <w:rtl/>
        </w:rPr>
        <w:drawing>
          <wp:anchor distT="0" distB="1440180" distL="107950" distR="114300" simplePos="0" relativeHeight="251683840" behindDoc="1" locked="0" layoutInCell="1" allowOverlap="1">
            <wp:simplePos x="0" y="0"/>
            <wp:positionH relativeFrom="column">
              <wp:posOffset>4521200</wp:posOffset>
            </wp:positionH>
            <wp:positionV relativeFrom="paragraph">
              <wp:posOffset>23624</wp:posOffset>
            </wp:positionV>
            <wp:extent cx="144000" cy="162000"/>
            <wp:effectExtent l="0" t="0" r="0" b="3175"/>
            <wp:wrapTight wrapText="bothSides">
              <wp:wrapPolygon>
                <wp:start x="3823" y="0"/>
                <wp:lineTo x="0" y="1694"/>
                <wp:lineTo x="0" y="13553"/>
                <wp:lineTo x="1912" y="20329"/>
                <wp:lineTo x="15292" y="20329"/>
                <wp:lineTo x="19115" y="16941"/>
                <wp:lineTo x="19115" y="1694"/>
                <wp:lineTo x="15292" y="0"/>
                <wp:lineTo x="3823" y="0"/>
              </wp:wrapPolygon>
            </wp:wrapTight>
            <wp:docPr id="14"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4000" cy="162000"/>
                    </a:xfrm>
                    <a:prstGeom prst="rect">
                      <a:avLst/>
                    </a:prstGeom>
                  </pic:spPr>
                </pic:pic>
              </a:graphicData>
            </a:graphic>
            <wp14:sizeRelH relativeFrom="margin">
              <wp14:pctWidth>0</wp14:pctWidth>
            </wp14:sizeRelH>
            <wp14:sizeRelV relativeFrom="margin">
              <wp14:pctHeight>0</wp14:pctHeight>
            </wp14:sizeRelV>
          </wp:anchor>
        </w:drawing>
      </w:r>
      <w:r w:rsidRPr="000A798D" w:rsidR="00EC554F">
        <w:rPr>
          <w:rtl/>
        </w:rPr>
        <w:t xml:space="preserve">על משרד </w:t>
      </w:r>
      <w:r w:rsidRPr="000A798D" w:rsidR="00EC554F">
        <w:rPr>
          <w:rtl/>
        </w:rPr>
        <w:t>האנרגייה</w:t>
      </w:r>
      <w:r w:rsidRPr="000A798D" w:rsidR="00EC554F">
        <w:rPr>
          <w:rtl/>
        </w:rPr>
        <w:t xml:space="preserve"> להקפיד לבצע פיקוח על פעולות </w:t>
      </w:r>
      <w:r w:rsidR="00137248">
        <w:rPr>
          <w:rFonts w:hint="cs"/>
          <w:rtl/>
        </w:rPr>
        <w:t>הכרייה</w:t>
      </w:r>
      <w:r w:rsidRPr="000A798D" w:rsidR="00EC554F">
        <w:rPr>
          <w:rtl/>
        </w:rPr>
        <w:t xml:space="preserve"> המתקיימות בתחום הזיכיון, כפי שה</w:t>
      </w:r>
      <w:r w:rsidRPr="000A798D" w:rsidR="00EC554F">
        <w:rPr>
          <w:rFonts w:hint="cs"/>
          <w:rtl/>
        </w:rPr>
        <w:t>וא</w:t>
      </w:r>
      <w:r w:rsidRPr="000A798D" w:rsidR="00EC554F">
        <w:rPr>
          <w:rtl/>
        </w:rPr>
        <w:t xml:space="preserve"> עוש</w:t>
      </w:r>
      <w:r w:rsidRPr="000A798D" w:rsidR="00EC554F">
        <w:rPr>
          <w:rFonts w:hint="cs"/>
          <w:rtl/>
        </w:rPr>
        <w:t>ה</w:t>
      </w:r>
      <w:r w:rsidRPr="000A798D" w:rsidR="00EC554F">
        <w:rPr>
          <w:rtl/>
        </w:rPr>
        <w:t xml:space="preserve"> לגבי אתרי כרייה </w:t>
      </w:r>
      <w:r w:rsidRPr="000A798D" w:rsidR="00EC554F">
        <w:rPr>
          <w:rFonts w:hint="cs"/>
          <w:rtl/>
        </w:rPr>
        <w:t xml:space="preserve">אחרים </w:t>
      </w:r>
      <w:r w:rsidRPr="000A798D" w:rsidR="00EC554F">
        <w:rPr>
          <w:rtl/>
        </w:rPr>
        <w:t>בארץ</w:t>
      </w:r>
      <w:r w:rsidRPr="000A798D" w:rsidR="00EC554F">
        <w:rPr>
          <w:rFonts w:hint="cs"/>
          <w:rtl/>
        </w:rPr>
        <w:t>,</w:t>
      </w:r>
      <w:r w:rsidRPr="000A798D" w:rsidR="00EC554F">
        <w:rPr>
          <w:rFonts w:hint="eastAsia"/>
          <w:rtl/>
        </w:rPr>
        <w:t xml:space="preserve"> ובכלל</w:t>
      </w:r>
      <w:r w:rsidRPr="000A798D" w:rsidR="00EC554F">
        <w:rPr>
          <w:rtl/>
        </w:rPr>
        <w:t xml:space="preserve"> </w:t>
      </w:r>
      <w:r w:rsidRPr="000A798D" w:rsidR="00EC554F">
        <w:rPr>
          <w:rFonts w:hint="eastAsia"/>
          <w:rtl/>
        </w:rPr>
        <w:t>זאת</w:t>
      </w:r>
      <w:r w:rsidRPr="000A798D" w:rsidR="00EC554F">
        <w:rPr>
          <w:rtl/>
        </w:rPr>
        <w:t xml:space="preserve"> </w:t>
      </w:r>
      <w:r w:rsidRPr="000A798D" w:rsidR="00EC554F">
        <w:rPr>
          <w:rFonts w:hint="eastAsia"/>
          <w:rtl/>
        </w:rPr>
        <w:t>לדרוש</w:t>
      </w:r>
      <w:r w:rsidRPr="000A798D" w:rsidR="00EC554F">
        <w:rPr>
          <w:rtl/>
        </w:rPr>
        <w:t xml:space="preserve"> </w:t>
      </w:r>
      <w:r w:rsidRPr="000A798D" w:rsidR="00EC554F">
        <w:rPr>
          <w:rFonts w:hint="eastAsia"/>
          <w:rtl/>
        </w:rPr>
        <w:t>קבלת</w:t>
      </w:r>
      <w:r w:rsidRPr="000A798D" w:rsidR="00EC554F">
        <w:rPr>
          <w:rtl/>
        </w:rPr>
        <w:t xml:space="preserve"> </w:t>
      </w:r>
      <w:r w:rsidRPr="000A798D" w:rsidR="00EC554F">
        <w:rPr>
          <w:rFonts w:hint="eastAsia"/>
          <w:rtl/>
        </w:rPr>
        <w:t>דיווחים</w:t>
      </w:r>
      <w:r w:rsidRPr="000A798D" w:rsidR="00EC554F">
        <w:rPr>
          <w:rtl/>
        </w:rPr>
        <w:t xml:space="preserve"> </w:t>
      </w:r>
      <w:r w:rsidRPr="000A798D" w:rsidR="00EC554F">
        <w:rPr>
          <w:rFonts w:hint="eastAsia"/>
          <w:rtl/>
        </w:rPr>
        <w:t>על</w:t>
      </w:r>
      <w:r w:rsidRPr="000A798D" w:rsidR="00EC554F">
        <w:rPr>
          <w:rtl/>
        </w:rPr>
        <w:t xml:space="preserve"> </w:t>
      </w:r>
      <w:r w:rsidRPr="000A798D" w:rsidR="00EC554F">
        <w:rPr>
          <w:rFonts w:hint="eastAsia"/>
          <w:rtl/>
        </w:rPr>
        <w:t>כמויות</w:t>
      </w:r>
      <w:r w:rsidRPr="000A798D" w:rsidR="00EC554F">
        <w:rPr>
          <w:rtl/>
        </w:rPr>
        <w:t xml:space="preserve"> </w:t>
      </w:r>
      <w:r w:rsidRPr="000A798D" w:rsidR="00EC554F">
        <w:rPr>
          <w:rFonts w:hint="eastAsia"/>
          <w:rtl/>
        </w:rPr>
        <w:t>חומרי</w:t>
      </w:r>
      <w:r w:rsidRPr="000A798D" w:rsidR="00EC554F">
        <w:rPr>
          <w:rtl/>
        </w:rPr>
        <w:t xml:space="preserve"> </w:t>
      </w:r>
      <w:r w:rsidRPr="000A798D" w:rsidR="00EC554F">
        <w:rPr>
          <w:rFonts w:hint="eastAsia"/>
          <w:rtl/>
        </w:rPr>
        <w:t>ה</w:t>
      </w:r>
      <w:r w:rsidRPr="000A798D" w:rsidR="00EC554F">
        <w:rPr>
          <w:rFonts w:hint="cs"/>
          <w:rtl/>
        </w:rPr>
        <w:t>כרייה</w:t>
      </w:r>
      <w:r w:rsidRPr="000A798D" w:rsidR="00EC554F">
        <w:rPr>
          <w:rtl/>
        </w:rPr>
        <w:t xml:space="preserve"> המופקים בתחום הזיכיון ונתונים לגבי הליך הפקת החומר ומידת הניצול שלו ולקיים סיורי פיקוח בשטח. </w:t>
      </w:r>
      <w:r w:rsidRPr="000A798D" w:rsidR="00EC554F">
        <w:rPr>
          <w:rFonts w:hint="cs"/>
          <w:rtl/>
        </w:rPr>
        <w:t>כמו כן</w:t>
      </w:r>
      <w:r w:rsidR="00137248">
        <w:rPr>
          <w:rFonts w:hint="cs"/>
          <w:rtl/>
        </w:rPr>
        <w:t xml:space="preserve"> </w:t>
      </w:r>
      <w:r w:rsidRPr="000A798D" w:rsidR="00EC554F">
        <w:rPr>
          <w:rFonts w:hint="cs"/>
          <w:rtl/>
        </w:rPr>
        <w:t>על המשרד לשוב ולבחון את עמדתו בנוגע למתן רישיון חציבה לאתרי הכרייה בתחום הזיכיון ולגבש עמדה סדורה ומלאה בנושא</w:t>
      </w:r>
      <w:r w:rsidRPr="007C7D40">
        <w:rPr>
          <w:rtl/>
        </w:rPr>
        <w:t xml:space="preserve">. </w:t>
      </w:r>
    </w:p>
    <w:p w:rsidR="00EB672B" w:rsidRPr="007C7D40" w:rsidP="00EB672B" w14:paraId="55FA89EC" w14:textId="0A026A16">
      <w:pPr>
        <w:pStyle w:val="7317"/>
        <w:rPr>
          <w:rtl/>
        </w:rPr>
      </w:pPr>
      <w:r w:rsidRPr="0063556C">
        <w:rPr>
          <w:rStyle w:val="7372"/>
          <w:rFonts w:hint="cs"/>
          <w:noProof/>
          <w:rtl/>
        </w:rPr>
        <w:drawing>
          <wp:anchor distT="0" distB="1440180" distL="107950" distR="114300" simplePos="0" relativeHeight="251684864" behindDoc="1" locked="0" layoutInCell="1" allowOverlap="1">
            <wp:simplePos x="0" y="0"/>
            <wp:positionH relativeFrom="column">
              <wp:posOffset>4521200</wp:posOffset>
            </wp:positionH>
            <wp:positionV relativeFrom="paragraph">
              <wp:posOffset>31244</wp:posOffset>
            </wp:positionV>
            <wp:extent cx="144000" cy="162000"/>
            <wp:effectExtent l="0" t="0" r="0" b="3175"/>
            <wp:wrapTight wrapText="bothSides">
              <wp:wrapPolygon>
                <wp:start x="3823" y="0"/>
                <wp:lineTo x="0" y="1694"/>
                <wp:lineTo x="0" y="13553"/>
                <wp:lineTo x="1912" y="20329"/>
                <wp:lineTo x="15292" y="20329"/>
                <wp:lineTo x="19115" y="16941"/>
                <wp:lineTo x="19115" y="1694"/>
                <wp:lineTo x="15292" y="0"/>
                <wp:lineTo x="3823" y="0"/>
              </wp:wrapPolygon>
            </wp:wrapTight>
            <wp:docPr id="20"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4000" cy="162000"/>
                    </a:xfrm>
                    <a:prstGeom prst="rect">
                      <a:avLst/>
                    </a:prstGeom>
                  </pic:spPr>
                </pic:pic>
              </a:graphicData>
            </a:graphic>
            <wp14:sizeRelH relativeFrom="margin">
              <wp14:pctWidth>0</wp14:pctWidth>
            </wp14:sizeRelH>
            <wp14:sizeRelV relativeFrom="margin">
              <wp14:pctHeight>0</wp14:pctHeight>
            </wp14:sizeRelV>
          </wp:anchor>
        </w:drawing>
      </w:r>
      <w:r w:rsidRPr="000A798D" w:rsidR="00EC554F">
        <w:rPr>
          <w:rtl/>
        </w:rPr>
        <w:t xml:space="preserve">על משרד </w:t>
      </w:r>
      <w:r w:rsidRPr="000A798D" w:rsidR="00EC554F">
        <w:rPr>
          <w:rtl/>
        </w:rPr>
        <w:t>האנרגייה</w:t>
      </w:r>
      <w:r w:rsidRPr="000A798D" w:rsidR="00EC554F">
        <w:rPr>
          <w:rtl/>
        </w:rPr>
        <w:t xml:space="preserve"> </w:t>
      </w:r>
      <w:r w:rsidRPr="000A798D" w:rsidR="00EC554F">
        <w:rPr>
          <w:rtl/>
        </w:rPr>
        <w:t>ורמ"י</w:t>
      </w:r>
      <w:r w:rsidRPr="000A798D" w:rsidR="00EC554F">
        <w:rPr>
          <w:rtl/>
        </w:rPr>
        <w:t xml:space="preserve"> לפעול בהקדם לבחינה יסודית של סוגיית גביית </w:t>
      </w:r>
      <w:r w:rsidRPr="000A798D" w:rsidR="00EC554F">
        <w:rPr>
          <w:rFonts w:hint="cs"/>
          <w:rtl/>
        </w:rPr>
        <w:t xml:space="preserve">התשלום </w:t>
      </w:r>
      <w:r w:rsidRPr="000A798D" w:rsidR="00EC554F">
        <w:rPr>
          <w:rtl/>
        </w:rPr>
        <w:t>ממי"ה</w:t>
      </w:r>
      <w:r w:rsidRPr="000A798D" w:rsidR="00EC554F">
        <w:rPr>
          <w:rtl/>
        </w:rPr>
        <w:t xml:space="preserve"> בגין פעולות הכרייה שהיא ביצעה בעבר ומבצעת כיום בתחום הזיכיון</w:t>
      </w:r>
      <w:r w:rsidRPr="000A798D" w:rsidR="00EC554F">
        <w:rPr>
          <w:rFonts w:hint="cs"/>
          <w:rtl/>
        </w:rPr>
        <w:t xml:space="preserve"> ולנקוט פעולות בהתאם לתוצאות הבחינה</w:t>
      </w:r>
      <w:r w:rsidRPr="007C7D40">
        <w:rPr>
          <w:rFonts w:hint="cs"/>
          <w:rtl/>
        </w:rPr>
        <w:t>.</w:t>
      </w:r>
    </w:p>
    <w:p w:rsidR="00EB672B" w:rsidRPr="007C7D40" w:rsidP="00EB672B" w14:paraId="078A06EB" w14:textId="323B975A">
      <w:pPr>
        <w:pStyle w:val="7317"/>
        <w:rPr>
          <w:rtl/>
        </w:rPr>
      </w:pPr>
      <w:r w:rsidRPr="0063556C">
        <w:rPr>
          <w:rStyle w:val="7372"/>
          <w:rFonts w:hint="cs"/>
          <w:noProof/>
          <w:rtl/>
        </w:rPr>
        <w:drawing>
          <wp:anchor distT="0" distB="1440180" distL="107950" distR="114300" simplePos="0" relativeHeight="251685888" behindDoc="1" locked="0" layoutInCell="1" allowOverlap="1">
            <wp:simplePos x="0" y="0"/>
            <wp:positionH relativeFrom="column">
              <wp:posOffset>4521200</wp:posOffset>
            </wp:positionH>
            <wp:positionV relativeFrom="paragraph">
              <wp:posOffset>31244</wp:posOffset>
            </wp:positionV>
            <wp:extent cx="144000" cy="162000"/>
            <wp:effectExtent l="0" t="0" r="0" b="3175"/>
            <wp:wrapTight wrapText="bothSides">
              <wp:wrapPolygon>
                <wp:start x="3823" y="0"/>
                <wp:lineTo x="0" y="1694"/>
                <wp:lineTo x="0" y="13553"/>
                <wp:lineTo x="1912" y="20329"/>
                <wp:lineTo x="15292" y="20329"/>
                <wp:lineTo x="19115" y="16941"/>
                <wp:lineTo x="19115" y="1694"/>
                <wp:lineTo x="15292" y="0"/>
                <wp:lineTo x="3823" y="0"/>
              </wp:wrapPolygon>
            </wp:wrapTight>
            <wp:docPr id="22"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4000" cy="162000"/>
                    </a:xfrm>
                    <a:prstGeom prst="rect">
                      <a:avLst/>
                    </a:prstGeom>
                  </pic:spPr>
                </pic:pic>
              </a:graphicData>
            </a:graphic>
            <wp14:sizeRelH relativeFrom="margin">
              <wp14:pctWidth>0</wp14:pctWidth>
            </wp14:sizeRelH>
            <wp14:sizeRelV relativeFrom="margin">
              <wp14:pctHeight>0</wp14:pctHeight>
            </wp14:sizeRelV>
          </wp:anchor>
        </w:drawing>
      </w:r>
      <w:r w:rsidRPr="000A798D" w:rsidR="00EC554F">
        <w:rPr>
          <w:rtl/>
        </w:rPr>
        <w:t xml:space="preserve">על משרד האוצר, כמשרד האחראי לחוק הזיכיון, על משרדי </w:t>
      </w:r>
      <w:r w:rsidRPr="000A798D" w:rsidR="00EC554F">
        <w:rPr>
          <w:rtl/>
        </w:rPr>
        <w:t>האנרגייה</w:t>
      </w:r>
      <w:r w:rsidRPr="000A798D" w:rsidR="00EC554F">
        <w:rPr>
          <w:rtl/>
        </w:rPr>
        <w:t xml:space="preserve"> </w:t>
      </w:r>
      <w:r w:rsidRPr="000A798D" w:rsidR="00EC554F">
        <w:rPr>
          <w:rtl/>
        </w:rPr>
        <w:t>והג"ס</w:t>
      </w:r>
      <w:r w:rsidRPr="000A798D" w:rsidR="00EC554F">
        <w:rPr>
          <w:rtl/>
        </w:rPr>
        <w:t xml:space="preserve"> </w:t>
      </w:r>
      <w:r w:rsidRPr="000A798D" w:rsidR="00EC554F">
        <w:rPr>
          <w:rtl/>
        </w:rPr>
        <w:t>ורמ"י</w:t>
      </w:r>
      <w:r w:rsidRPr="000A798D" w:rsidR="00EC554F">
        <w:rPr>
          <w:rtl/>
        </w:rPr>
        <w:t xml:space="preserve"> לפעול </w:t>
      </w:r>
      <w:r w:rsidRPr="000A798D" w:rsidR="00EC554F">
        <w:rPr>
          <w:rFonts w:hint="cs"/>
          <w:rtl/>
        </w:rPr>
        <w:t xml:space="preserve">כדי להבטיח </w:t>
      </w:r>
      <w:r w:rsidRPr="000A798D" w:rsidR="00EC554F">
        <w:rPr>
          <w:rtl/>
        </w:rPr>
        <w:t xml:space="preserve">כי אתרי הכרייה הנטושים שבהם </w:t>
      </w:r>
      <w:r w:rsidRPr="000A798D" w:rsidR="00EC554F">
        <w:rPr>
          <w:rtl/>
        </w:rPr>
        <w:t>מי"ה</w:t>
      </w:r>
      <w:r w:rsidRPr="000A798D" w:rsidR="00EC554F">
        <w:rPr>
          <w:rtl/>
        </w:rPr>
        <w:t xml:space="preserve"> השתמשה במשך השנים ישוקמו ולא יהוו מפגע סביבתי, באופן המגשים את עקרון </w:t>
      </w:r>
      <w:r w:rsidRPr="00A57C29" w:rsidR="00A57C29">
        <w:rPr>
          <w:rtl/>
        </w:rPr>
        <w:t>"המזהם משלם"</w:t>
      </w:r>
      <w:r w:rsidRPr="000A798D" w:rsidR="00EC554F">
        <w:rPr>
          <w:rtl/>
        </w:rPr>
        <w:t xml:space="preserve">. מאחר שתקופת הזיכיון עתידה להסתיים בשנת 2030, ועל הפרק עומד פרסום מכרז לזכיין הבא, על המשרדים האמורים לוודא כי אתרי הכרייה הנטושים ישוקמו עד תום תקופת הזיכיון וכן לבחון את האפשרות לגבות ערבות או בטוחה אחרת שיבטיחו כי </w:t>
      </w:r>
      <w:r w:rsidRPr="000A798D" w:rsidR="00EC554F">
        <w:rPr>
          <w:rtl/>
        </w:rPr>
        <w:t>מי"ה</w:t>
      </w:r>
      <w:r w:rsidRPr="000A798D" w:rsidR="00EC554F">
        <w:rPr>
          <w:rtl/>
        </w:rPr>
        <w:t xml:space="preserve"> תבצע את השיקום הנדרש</w:t>
      </w:r>
      <w:r w:rsidRPr="007C7D40">
        <w:rPr>
          <w:rFonts w:hint="cs"/>
          <w:rtl/>
        </w:rPr>
        <w:t>.</w:t>
      </w:r>
    </w:p>
    <w:p w:rsidR="00EB672B" w:rsidRPr="007C7D40" w:rsidP="00EB672B" w14:paraId="5538133A" w14:textId="34F4FE4F">
      <w:pPr>
        <w:pStyle w:val="7317"/>
      </w:pPr>
      <w:r w:rsidRPr="0063556C">
        <w:rPr>
          <w:rStyle w:val="7372"/>
          <w:rFonts w:hint="cs"/>
          <w:noProof/>
          <w:rtl/>
        </w:rPr>
        <w:drawing>
          <wp:anchor distT="0" distB="1440180" distL="107950" distR="114300" simplePos="0" relativeHeight="251686912" behindDoc="1" locked="0" layoutInCell="1" allowOverlap="1">
            <wp:simplePos x="0" y="0"/>
            <wp:positionH relativeFrom="column">
              <wp:posOffset>4521200</wp:posOffset>
            </wp:positionH>
            <wp:positionV relativeFrom="paragraph">
              <wp:posOffset>21719</wp:posOffset>
            </wp:positionV>
            <wp:extent cx="143510" cy="161925"/>
            <wp:effectExtent l="0" t="0" r="0" b="3175"/>
            <wp:wrapTight wrapText="bothSides">
              <wp:wrapPolygon>
                <wp:start x="3823" y="0"/>
                <wp:lineTo x="0" y="1694"/>
                <wp:lineTo x="0" y="13553"/>
                <wp:lineTo x="1912" y="20329"/>
                <wp:lineTo x="15292" y="20329"/>
                <wp:lineTo x="19115" y="16941"/>
                <wp:lineTo x="19115" y="1694"/>
                <wp:lineTo x="15292" y="0"/>
                <wp:lineTo x="3823" y="0"/>
              </wp:wrapPolygon>
            </wp:wrapTight>
            <wp:docPr id="23"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3510" cy="161925"/>
                    </a:xfrm>
                    <a:prstGeom prst="rect">
                      <a:avLst/>
                    </a:prstGeom>
                  </pic:spPr>
                </pic:pic>
              </a:graphicData>
            </a:graphic>
            <wp14:sizeRelH relativeFrom="margin">
              <wp14:pctWidth>0</wp14:pctWidth>
            </wp14:sizeRelH>
            <wp14:sizeRelV relativeFrom="margin">
              <wp14:pctHeight>0</wp14:pctHeight>
            </wp14:sizeRelV>
          </wp:anchor>
        </w:drawing>
      </w:r>
      <w:r w:rsidRPr="000A798D" w:rsidR="00EC554F">
        <w:rPr>
          <w:rtl/>
        </w:rPr>
        <w:t xml:space="preserve">על רשות ניקוז ים המלח להקפיד למלא אחר ההוראות הקבועות בתוכניות הסטטוטוריות נחל צין ונחל </w:t>
      </w:r>
      <w:r w:rsidRPr="000A798D" w:rsidR="00EC554F">
        <w:rPr>
          <w:rtl/>
        </w:rPr>
        <w:t>חימר</w:t>
      </w:r>
      <w:r w:rsidRPr="000A798D" w:rsidR="00EC554F">
        <w:rPr>
          <w:rtl/>
        </w:rPr>
        <w:t xml:space="preserve">, לקבל לידיה </w:t>
      </w:r>
      <w:r w:rsidRPr="000A798D" w:rsidR="00EC554F">
        <w:rPr>
          <w:rtl/>
        </w:rPr>
        <w:t>ממי"ה</w:t>
      </w:r>
      <w:r w:rsidRPr="000A798D" w:rsidR="00EC554F">
        <w:rPr>
          <w:rtl/>
        </w:rPr>
        <w:t xml:space="preserve"> מדי שנה את תוכניות המדידה בדבר </w:t>
      </w:r>
      <w:r w:rsidRPr="005409B6" w:rsidR="005409B6">
        <w:rPr>
          <w:rtl/>
        </w:rPr>
        <w:t>בורות</w:t>
      </w:r>
      <w:r w:rsidR="005409B6">
        <w:rPr>
          <w:rFonts w:hint="cs"/>
          <w:rtl/>
        </w:rPr>
        <w:t xml:space="preserve"> </w:t>
      </w:r>
      <w:r w:rsidRPr="000A798D" w:rsidR="00EC554F">
        <w:rPr>
          <w:rtl/>
        </w:rPr>
        <w:t xml:space="preserve">הכרייה </w:t>
      </w:r>
      <w:r w:rsidRPr="000A798D" w:rsidR="00EC554F">
        <w:rPr>
          <w:rFonts w:hint="cs"/>
          <w:rtl/>
        </w:rPr>
        <w:t xml:space="preserve">ולוודא </w:t>
      </w:r>
      <w:r w:rsidRPr="000A798D" w:rsidR="00EC554F">
        <w:rPr>
          <w:rtl/>
        </w:rPr>
        <w:t xml:space="preserve">כי הכרייה מתבצעת בהתאם לקבוע בתוכנית. על </w:t>
      </w:r>
      <w:r w:rsidRPr="000A798D" w:rsidR="00EC554F">
        <w:rPr>
          <w:rtl/>
        </w:rPr>
        <w:t>רט"ג</w:t>
      </w:r>
      <w:r w:rsidRPr="000A798D" w:rsidR="00EC554F">
        <w:rPr>
          <w:rtl/>
        </w:rPr>
        <w:t xml:space="preserve"> לממש את סמכויותיה לפי תוכנית נחל </w:t>
      </w:r>
      <w:r w:rsidRPr="000A798D" w:rsidR="00EC554F">
        <w:rPr>
          <w:rtl/>
        </w:rPr>
        <w:t>חימר</w:t>
      </w:r>
      <w:r w:rsidRPr="000A798D" w:rsidR="00EC554F">
        <w:rPr>
          <w:rtl/>
        </w:rPr>
        <w:t xml:space="preserve"> ולדרוש </w:t>
      </w:r>
      <w:r w:rsidRPr="000A798D" w:rsidR="00EC554F">
        <w:rPr>
          <w:rtl/>
        </w:rPr>
        <w:t>ממי"ה</w:t>
      </w:r>
      <w:r w:rsidRPr="000A798D" w:rsidR="00EC554F">
        <w:rPr>
          <w:rtl/>
        </w:rPr>
        <w:t xml:space="preserve"> כי תבצע ניטור של המערכת האקולוגית ומשטר הזרימה, זאת כדי לצמצם ולמזער את ההשפעות הסביבתיות של הכרייה</w:t>
      </w:r>
      <w:r w:rsidRPr="007C7D40">
        <w:rPr>
          <w:rFonts w:hint="cs"/>
          <w:rtl/>
        </w:rPr>
        <w:t>.</w:t>
      </w:r>
    </w:p>
    <w:p w:rsidR="00EB672B" w:rsidP="00EB672B" w14:paraId="63467834" w14:textId="4645B3A0">
      <w:pPr>
        <w:pStyle w:val="7317"/>
        <w:rPr>
          <w:rtl/>
        </w:rPr>
      </w:pPr>
      <w:r w:rsidRPr="0063556C">
        <w:rPr>
          <w:rStyle w:val="7372"/>
          <w:rFonts w:hint="cs"/>
          <w:noProof/>
          <w:rtl/>
        </w:rPr>
        <w:drawing>
          <wp:anchor distT="0" distB="1440180" distL="107950" distR="114300" simplePos="0" relativeHeight="251687936" behindDoc="1" locked="0" layoutInCell="1" allowOverlap="1">
            <wp:simplePos x="0" y="0"/>
            <wp:positionH relativeFrom="column">
              <wp:posOffset>4521200</wp:posOffset>
            </wp:positionH>
            <wp:positionV relativeFrom="paragraph">
              <wp:posOffset>36324</wp:posOffset>
            </wp:positionV>
            <wp:extent cx="144000" cy="162000"/>
            <wp:effectExtent l="0" t="0" r="0" b="3175"/>
            <wp:wrapTight wrapText="bothSides">
              <wp:wrapPolygon>
                <wp:start x="3823" y="0"/>
                <wp:lineTo x="0" y="1694"/>
                <wp:lineTo x="0" y="13553"/>
                <wp:lineTo x="1912" y="20329"/>
                <wp:lineTo x="15292" y="20329"/>
                <wp:lineTo x="19115" y="16941"/>
                <wp:lineTo x="19115" y="1694"/>
                <wp:lineTo x="15292" y="0"/>
                <wp:lineTo x="3823" y="0"/>
              </wp:wrapPolygon>
            </wp:wrapTight>
            <wp:docPr id="29" name="Picture 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4000" cy="162000"/>
                    </a:xfrm>
                    <a:prstGeom prst="rect">
                      <a:avLst/>
                    </a:prstGeom>
                  </pic:spPr>
                </pic:pic>
              </a:graphicData>
            </a:graphic>
            <wp14:sizeRelH relativeFrom="margin">
              <wp14:pctWidth>0</wp14:pctWidth>
            </wp14:sizeRelH>
            <wp14:sizeRelV relativeFrom="margin">
              <wp14:pctHeight>0</wp14:pctHeight>
            </wp14:sizeRelV>
          </wp:anchor>
        </w:drawing>
      </w:r>
      <w:r w:rsidRPr="000A798D" w:rsidR="00EC554F">
        <w:rPr>
          <w:rtl/>
        </w:rPr>
        <w:t xml:space="preserve">על </w:t>
      </w:r>
      <w:r w:rsidRPr="000A798D" w:rsidR="00EC554F">
        <w:rPr>
          <w:rtl/>
        </w:rPr>
        <w:t>רמ"י</w:t>
      </w:r>
      <w:r w:rsidRPr="000A798D" w:rsidR="00EC554F">
        <w:rPr>
          <w:rtl/>
        </w:rPr>
        <w:t xml:space="preserve"> לחולל שינוי יסודי בכל הנוגע למעקב, </w:t>
      </w:r>
      <w:r w:rsidRPr="000A798D" w:rsidR="00EC554F">
        <w:rPr>
          <w:rFonts w:hint="cs"/>
          <w:rtl/>
        </w:rPr>
        <w:t>ל</w:t>
      </w:r>
      <w:r w:rsidRPr="000A798D" w:rsidR="00EC554F">
        <w:rPr>
          <w:rtl/>
        </w:rPr>
        <w:t>פיקוח ו</w:t>
      </w:r>
      <w:r w:rsidRPr="000A798D" w:rsidR="00EC554F">
        <w:rPr>
          <w:rFonts w:hint="cs"/>
          <w:rtl/>
        </w:rPr>
        <w:t>ל</w:t>
      </w:r>
      <w:r w:rsidRPr="000A798D" w:rsidR="00EC554F">
        <w:rPr>
          <w:rtl/>
        </w:rPr>
        <w:t xml:space="preserve">אכיפה שהיא מקיימת בשטח הזיכיון של </w:t>
      </w:r>
      <w:r w:rsidRPr="000A798D" w:rsidR="00EC554F">
        <w:rPr>
          <w:rtl/>
        </w:rPr>
        <w:t>מי"ה</w:t>
      </w:r>
      <w:r w:rsidRPr="000A798D" w:rsidR="00EC554F">
        <w:rPr>
          <w:rtl/>
        </w:rPr>
        <w:t xml:space="preserve"> ולהבטיח כי היא פועלת בהתאם לתפקידה בחוק - שמירה על המקרקעין כמשאב ציבורי ופ</w:t>
      </w:r>
      <w:r w:rsidR="00137248">
        <w:rPr>
          <w:rFonts w:hint="cs"/>
          <w:rtl/>
        </w:rPr>
        <w:t>י</w:t>
      </w:r>
      <w:r w:rsidRPr="000A798D" w:rsidR="00EC554F">
        <w:rPr>
          <w:rtl/>
        </w:rPr>
        <w:t>ק</w:t>
      </w:r>
      <w:r w:rsidR="00137248">
        <w:rPr>
          <w:rFonts w:hint="cs"/>
          <w:rtl/>
        </w:rPr>
        <w:t>ו</w:t>
      </w:r>
      <w:r w:rsidRPr="000A798D" w:rsidR="00EC554F">
        <w:rPr>
          <w:rtl/>
        </w:rPr>
        <w:t>ח עליהם</w:t>
      </w:r>
      <w:r w:rsidRPr="008E57FE">
        <w:rPr>
          <w:rFonts w:hint="cs"/>
          <w:rtl/>
        </w:rPr>
        <w:t>.</w:t>
      </w:r>
    </w:p>
    <w:p w:rsidR="00362505" w:rsidP="00362505" w14:paraId="74A7651D" w14:textId="6B022BBA">
      <w:pPr>
        <w:pStyle w:val="7317"/>
        <w:rPr>
          <w:rtl/>
        </w:rPr>
      </w:pPr>
      <w:r w:rsidRPr="0063556C">
        <w:rPr>
          <w:rStyle w:val="7372"/>
          <w:rFonts w:hint="cs"/>
          <w:noProof/>
          <w:rtl/>
        </w:rPr>
        <w:drawing>
          <wp:anchor distT="0" distB="1440180" distL="107950" distR="114300" simplePos="0" relativeHeight="251695104" behindDoc="1" locked="0" layoutInCell="1" allowOverlap="1">
            <wp:simplePos x="0" y="0"/>
            <wp:positionH relativeFrom="column">
              <wp:posOffset>4521200</wp:posOffset>
            </wp:positionH>
            <wp:positionV relativeFrom="paragraph">
              <wp:posOffset>36324</wp:posOffset>
            </wp:positionV>
            <wp:extent cx="144000" cy="162000"/>
            <wp:effectExtent l="0" t="0" r="0" b="3175"/>
            <wp:wrapTight wrapText="bothSides">
              <wp:wrapPolygon>
                <wp:start x="3823" y="0"/>
                <wp:lineTo x="0" y="1694"/>
                <wp:lineTo x="0" y="13553"/>
                <wp:lineTo x="1912" y="20329"/>
                <wp:lineTo x="15292" y="20329"/>
                <wp:lineTo x="19115" y="16941"/>
                <wp:lineTo x="19115" y="1694"/>
                <wp:lineTo x="15292" y="0"/>
                <wp:lineTo x="3823" y="0"/>
              </wp:wrapPolygon>
            </wp:wrapTight>
            <wp:docPr id="364147197" name="תמונה 36414719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147197" name="תמונה 364147197">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4000" cy="162000"/>
                    </a:xfrm>
                    <a:prstGeom prst="rect">
                      <a:avLst/>
                    </a:prstGeom>
                  </pic:spPr>
                </pic:pic>
              </a:graphicData>
            </a:graphic>
            <wp14:sizeRelH relativeFrom="margin">
              <wp14:pctWidth>0</wp14:pctWidth>
            </wp14:sizeRelH>
            <wp14:sizeRelV relativeFrom="margin">
              <wp14:pctHeight>0</wp14:pctHeight>
            </wp14:sizeRelV>
          </wp:anchor>
        </w:drawing>
      </w:r>
      <w:r w:rsidRPr="000A798D" w:rsidR="00EC554F">
        <w:rPr>
          <w:rtl/>
        </w:rPr>
        <w:t xml:space="preserve">על </w:t>
      </w:r>
      <w:r w:rsidRPr="000A798D" w:rsidR="00EC554F">
        <w:rPr>
          <w:rtl/>
        </w:rPr>
        <w:t>רמ"י</w:t>
      </w:r>
      <w:r w:rsidRPr="000A798D" w:rsidR="00EC554F">
        <w:rPr>
          <w:rtl/>
        </w:rPr>
        <w:t xml:space="preserve"> לממש את סמכויותיה ולבצע בהקדם פיקוח על הקרקעות השמורות (ששטחן </w:t>
      </w:r>
      <w:r w:rsidR="00137248">
        <w:rPr>
          <w:rtl/>
        </w:rPr>
        <w:br/>
      </w:r>
      <w:r w:rsidRPr="000A798D" w:rsidR="00EC554F">
        <w:rPr>
          <w:rtl/>
        </w:rPr>
        <w:t>כ-240,000 דונם)</w:t>
      </w:r>
      <w:r w:rsidRPr="000A798D" w:rsidR="00EC554F">
        <w:rPr>
          <w:rFonts w:hint="cs"/>
          <w:rtl/>
        </w:rPr>
        <w:t xml:space="preserve">. על </w:t>
      </w:r>
      <w:r w:rsidRPr="000A798D" w:rsidR="00EC554F">
        <w:rPr>
          <w:rFonts w:hint="cs"/>
          <w:rtl/>
        </w:rPr>
        <w:t>רמ"י</w:t>
      </w:r>
      <w:r w:rsidRPr="000A798D" w:rsidR="00EC554F">
        <w:rPr>
          <w:rtl/>
        </w:rPr>
        <w:t xml:space="preserve"> לפעול להסדרת ההחכרה </w:t>
      </w:r>
      <w:bookmarkStart w:id="14" w:name="_Hlk174340673"/>
      <w:r w:rsidRPr="000A798D" w:rsidR="00EC554F">
        <w:rPr>
          <w:rtl/>
        </w:rPr>
        <w:t xml:space="preserve">של הקרקעות </w:t>
      </w:r>
      <w:r w:rsidRPr="000A798D" w:rsidR="00EC554F">
        <w:rPr>
          <w:rFonts w:hint="cs"/>
          <w:rtl/>
        </w:rPr>
        <w:t>השמורות ש</w:t>
      </w:r>
      <w:r w:rsidRPr="000A798D" w:rsidR="00EC554F">
        <w:rPr>
          <w:rtl/>
        </w:rPr>
        <w:t xml:space="preserve">בהן </w:t>
      </w:r>
      <w:r w:rsidRPr="000A798D" w:rsidR="00EC554F">
        <w:rPr>
          <w:rtl/>
        </w:rPr>
        <w:t>מי"ה</w:t>
      </w:r>
      <w:r w:rsidRPr="000A798D" w:rsidR="00EC554F">
        <w:rPr>
          <w:rtl/>
        </w:rPr>
        <w:t xml:space="preserve"> מבצעת שימוש בפועל ולגביית הכספים </w:t>
      </w:r>
      <w:r w:rsidRPr="005409B6" w:rsidR="005409B6">
        <w:rPr>
          <w:rtl/>
        </w:rPr>
        <w:t>שיכולים</w:t>
      </w:r>
      <w:r w:rsidR="005409B6">
        <w:rPr>
          <w:rFonts w:hint="cs"/>
          <w:rtl/>
        </w:rPr>
        <w:t xml:space="preserve"> </w:t>
      </w:r>
      <w:r w:rsidRPr="000A798D" w:rsidR="00EC554F">
        <w:rPr>
          <w:rtl/>
        </w:rPr>
        <w:t>להשתלם לקופת המדינה בגין שימושים אלו</w:t>
      </w:r>
      <w:bookmarkEnd w:id="14"/>
      <w:r w:rsidRPr="000A798D" w:rsidR="00EC554F">
        <w:rPr>
          <w:rFonts w:hint="cs"/>
          <w:rtl/>
        </w:rPr>
        <w:t xml:space="preserve"> ולבחון, בתיאום עם משרד האוצר, אם יש מקום והצדקה לחייב את </w:t>
      </w:r>
      <w:r w:rsidRPr="000A798D" w:rsidR="00EC554F">
        <w:rPr>
          <w:rFonts w:hint="cs"/>
          <w:rtl/>
        </w:rPr>
        <w:t>מי"ה</w:t>
      </w:r>
      <w:r w:rsidRPr="000A798D" w:rsidR="00EC554F">
        <w:rPr>
          <w:rFonts w:hint="cs"/>
          <w:rtl/>
        </w:rPr>
        <w:t xml:space="preserve"> בתשלום דמי חכירה בגין השימוש שהיא מבצעת בפועל בשטח שהיה בעבר חלק מים המלח והתייבש</w:t>
      </w:r>
      <w:r w:rsidRPr="000A798D" w:rsidR="00EC554F">
        <w:rPr>
          <w:rtl/>
        </w:rPr>
        <w:t>.</w:t>
      </w:r>
      <w:r w:rsidRPr="000A798D" w:rsidR="00EC554F">
        <w:rPr>
          <w:rFonts w:hint="eastAsia"/>
          <w:rtl/>
        </w:rPr>
        <w:t xml:space="preserve"> בראייה</w:t>
      </w:r>
      <w:r w:rsidRPr="000A798D" w:rsidR="00EC554F">
        <w:rPr>
          <w:rtl/>
        </w:rPr>
        <w:t xml:space="preserve"> </w:t>
      </w:r>
      <w:r w:rsidRPr="000A798D" w:rsidR="00EC554F">
        <w:rPr>
          <w:rFonts w:hint="eastAsia"/>
          <w:rtl/>
        </w:rPr>
        <w:t>צופה</w:t>
      </w:r>
      <w:r w:rsidRPr="000A798D" w:rsidR="00EC554F">
        <w:rPr>
          <w:rtl/>
        </w:rPr>
        <w:t xml:space="preserve"> </w:t>
      </w:r>
      <w:r w:rsidRPr="000A798D" w:rsidR="00EC554F">
        <w:rPr>
          <w:rFonts w:hint="eastAsia"/>
          <w:rtl/>
        </w:rPr>
        <w:t>פני</w:t>
      </w:r>
      <w:r w:rsidRPr="000A798D" w:rsidR="00EC554F">
        <w:rPr>
          <w:rtl/>
        </w:rPr>
        <w:t xml:space="preserve"> </w:t>
      </w:r>
      <w:r w:rsidRPr="000A798D" w:rsidR="00EC554F">
        <w:rPr>
          <w:rFonts w:hint="eastAsia"/>
          <w:rtl/>
        </w:rPr>
        <w:t>עתיד</w:t>
      </w:r>
      <w:r w:rsidRPr="000A798D" w:rsidR="00EC554F">
        <w:rPr>
          <w:rtl/>
        </w:rPr>
        <w:t xml:space="preserve"> מוצע כי </w:t>
      </w:r>
      <w:r w:rsidRPr="000A798D" w:rsidR="00EC554F">
        <w:rPr>
          <w:rFonts w:hint="eastAsia"/>
          <w:rtl/>
        </w:rPr>
        <w:t>הגורמים</w:t>
      </w:r>
      <w:r w:rsidRPr="000A798D" w:rsidR="00EC554F">
        <w:rPr>
          <w:rtl/>
        </w:rPr>
        <w:t xml:space="preserve"> האמורים </w:t>
      </w:r>
      <w:r w:rsidRPr="000A798D" w:rsidR="00EC554F">
        <w:rPr>
          <w:rFonts w:hint="eastAsia"/>
          <w:rtl/>
        </w:rPr>
        <w:t>יגבשו</w:t>
      </w:r>
      <w:r w:rsidRPr="000A798D" w:rsidR="00EC554F">
        <w:rPr>
          <w:rtl/>
        </w:rPr>
        <w:t xml:space="preserve"> מנגנון תשלום הלוקח בחשבון </w:t>
      </w:r>
      <w:r w:rsidRPr="000A798D" w:rsidR="00EC554F">
        <w:rPr>
          <w:rFonts w:hint="eastAsia"/>
          <w:rtl/>
        </w:rPr>
        <w:t>את</w:t>
      </w:r>
      <w:r w:rsidRPr="000A798D" w:rsidR="00EC554F">
        <w:rPr>
          <w:rFonts w:hint="cs"/>
          <w:rtl/>
        </w:rPr>
        <w:t xml:space="preserve"> </w:t>
      </w:r>
      <w:r w:rsidRPr="000A798D" w:rsidR="00EC554F">
        <w:rPr>
          <w:rtl/>
        </w:rPr>
        <w:t xml:space="preserve">היווצרותם של שטחי קרקע נרחבים </w:t>
      </w:r>
      <w:r w:rsidRPr="000A798D" w:rsidR="00EC554F">
        <w:rPr>
          <w:rFonts w:hint="eastAsia"/>
          <w:rtl/>
        </w:rPr>
        <w:t>בגין</w:t>
      </w:r>
      <w:r w:rsidRPr="000A798D" w:rsidR="00EC554F">
        <w:rPr>
          <w:rFonts w:hint="cs"/>
          <w:rtl/>
        </w:rPr>
        <w:t xml:space="preserve"> </w:t>
      </w:r>
      <w:r w:rsidRPr="000A798D" w:rsidR="00EC554F">
        <w:rPr>
          <w:rtl/>
        </w:rPr>
        <w:t>ירידת המפלס</w:t>
      </w:r>
      <w:r w:rsidR="00000CA7">
        <w:rPr>
          <w:rFonts w:hint="cs"/>
          <w:rtl/>
        </w:rPr>
        <w:t xml:space="preserve"> של ים המלח</w:t>
      </w:r>
      <w:r w:rsidRPr="000A798D" w:rsidR="00EC554F">
        <w:rPr>
          <w:rtl/>
        </w:rPr>
        <w:t xml:space="preserve"> ו</w:t>
      </w:r>
      <w:r w:rsidRPr="000A798D" w:rsidR="00EC554F">
        <w:rPr>
          <w:rFonts w:hint="eastAsia"/>
          <w:rtl/>
        </w:rPr>
        <w:t>י</w:t>
      </w:r>
      <w:r w:rsidRPr="000A798D" w:rsidR="00EC554F">
        <w:rPr>
          <w:rtl/>
        </w:rPr>
        <w:t>יתנו</w:t>
      </w:r>
      <w:r w:rsidRPr="000A798D" w:rsidR="00EC554F">
        <w:rPr>
          <w:rFonts w:hint="cs"/>
          <w:rtl/>
        </w:rPr>
        <w:t xml:space="preserve"> </w:t>
      </w:r>
      <w:r w:rsidRPr="000A798D" w:rsidR="00EC554F">
        <w:rPr>
          <w:rFonts w:hint="eastAsia"/>
          <w:rtl/>
        </w:rPr>
        <w:t>את</w:t>
      </w:r>
      <w:r w:rsidRPr="000A798D" w:rsidR="00EC554F">
        <w:rPr>
          <w:rtl/>
        </w:rPr>
        <w:t xml:space="preserve"> דעתם בנושא במסגרת הזיכיון העתידי</w:t>
      </w:r>
      <w:r w:rsidRPr="008E57FE">
        <w:rPr>
          <w:rFonts w:hint="cs"/>
          <w:rtl/>
        </w:rPr>
        <w:t>.</w:t>
      </w:r>
    </w:p>
    <w:p w:rsidR="00362505" w:rsidP="00362505" w14:paraId="64F1A374" w14:textId="0A2677C2">
      <w:pPr>
        <w:pStyle w:val="7317"/>
        <w:rPr>
          <w:rtl/>
        </w:rPr>
      </w:pPr>
      <w:r w:rsidRPr="0063556C">
        <w:rPr>
          <w:rStyle w:val="7372"/>
          <w:rFonts w:hint="cs"/>
          <w:noProof/>
          <w:rtl/>
        </w:rPr>
        <w:drawing>
          <wp:anchor distT="0" distB="1440180" distL="107950" distR="114300" simplePos="0" relativeHeight="251696128" behindDoc="1" locked="0" layoutInCell="1" allowOverlap="1">
            <wp:simplePos x="0" y="0"/>
            <wp:positionH relativeFrom="column">
              <wp:posOffset>4521200</wp:posOffset>
            </wp:positionH>
            <wp:positionV relativeFrom="paragraph">
              <wp:posOffset>36324</wp:posOffset>
            </wp:positionV>
            <wp:extent cx="144000" cy="162000"/>
            <wp:effectExtent l="0" t="0" r="0" b="3175"/>
            <wp:wrapTight wrapText="bothSides">
              <wp:wrapPolygon>
                <wp:start x="3823" y="0"/>
                <wp:lineTo x="0" y="1694"/>
                <wp:lineTo x="0" y="13553"/>
                <wp:lineTo x="1912" y="20329"/>
                <wp:lineTo x="15292" y="20329"/>
                <wp:lineTo x="19115" y="16941"/>
                <wp:lineTo x="19115" y="1694"/>
                <wp:lineTo x="15292" y="0"/>
                <wp:lineTo x="3823" y="0"/>
              </wp:wrapPolygon>
            </wp:wrapTight>
            <wp:docPr id="1623734442" name="תמונה 162373444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734442" name="תמונה 162373444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4000" cy="162000"/>
                    </a:xfrm>
                    <a:prstGeom prst="rect">
                      <a:avLst/>
                    </a:prstGeom>
                  </pic:spPr>
                </pic:pic>
              </a:graphicData>
            </a:graphic>
            <wp14:sizeRelH relativeFrom="margin">
              <wp14:pctWidth>0</wp14:pctWidth>
            </wp14:sizeRelH>
            <wp14:sizeRelV relativeFrom="margin">
              <wp14:pctHeight>0</wp14:pctHeight>
            </wp14:sizeRelV>
          </wp:anchor>
        </w:drawing>
      </w:r>
      <w:r w:rsidRPr="000A798D" w:rsidR="00EC554F">
        <w:rPr>
          <w:rtl/>
        </w:rPr>
        <w:t xml:space="preserve">על </w:t>
      </w:r>
      <w:r w:rsidRPr="000A798D" w:rsidR="00EC554F">
        <w:rPr>
          <w:rtl/>
        </w:rPr>
        <w:t>רמ"י</w:t>
      </w:r>
      <w:r w:rsidRPr="000A798D" w:rsidR="00EC554F">
        <w:rPr>
          <w:rtl/>
        </w:rPr>
        <w:t xml:space="preserve"> לפעול לאלתר לתיקון הליקויים בנוגע </w:t>
      </w:r>
      <w:r w:rsidRPr="000A798D" w:rsidR="00EC554F">
        <w:rPr>
          <w:rtl/>
        </w:rPr>
        <w:t>לאסדרת</w:t>
      </w:r>
      <w:r w:rsidRPr="000A798D" w:rsidR="00EC554F">
        <w:rPr>
          <w:rtl/>
        </w:rPr>
        <w:t xml:space="preserve"> השימוש בתחנת הכ</w:t>
      </w:r>
      <w:r w:rsidRPr="000A798D" w:rsidR="00EC554F">
        <w:rPr>
          <w:rFonts w:hint="cs"/>
          <w:rtl/>
        </w:rPr>
        <w:t>ו</w:t>
      </w:r>
      <w:r w:rsidRPr="000A798D" w:rsidR="00EC554F">
        <w:rPr>
          <w:rtl/>
        </w:rPr>
        <w:t xml:space="preserve">ח החדשה </w:t>
      </w:r>
      <w:r w:rsidRPr="005409B6" w:rsidR="005409B6">
        <w:rPr>
          <w:rtl/>
        </w:rPr>
        <w:t>במפעל האשלג</w:t>
      </w:r>
      <w:r w:rsidRPr="000A798D" w:rsidR="00EC554F">
        <w:rPr>
          <w:rtl/>
        </w:rPr>
        <w:t xml:space="preserve"> ולפעול לגביית </w:t>
      </w:r>
      <w:r w:rsidRPr="005409B6" w:rsidR="005409B6">
        <w:rPr>
          <w:rtl/>
        </w:rPr>
        <w:t>התשלום המתחייב משימוש זה</w:t>
      </w:r>
      <w:r w:rsidRPr="008E57FE">
        <w:rPr>
          <w:rFonts w:hint="cs"/>
          <w:rtl/>
        </w:rPr>
        <w:t>.</w:t>
      </w:r>
    </w:p>
    <w:p w:rsidR="00362505" w:rsidP="00362505" w14:paraId="62699D10" w14:textId="3932C551">
      <w:pPr>
        <w:pStyle w:val="7317"/>
        <w:rPr>
          <w:rtl/>
        </w:rPr>
      </w:pPr>
      <w:r w:rsidRPr="0063556C">
        <w:rPr>
          <w:rStyle w:val="7372"/>
          <w:rFonts w:hint="cs"/>
          <w:noProof/>
          <w:rtl/>
        </w:rPr>
        <w:drawing>
          <wp:anchor distT="0" distB="1440180" distL="107950" distR="114300" simplePos="0" relativeHeight="251697152" behindDoc="1" locked="0" layoutInCell="1" allowOverlap="1">
            <wp:simplePos x="0" y="0"/>
            <wp:positionH relativeFrom="column">
              <wp:posOffset>4521200</wp:posOffset>
            </wp:positionH>
            <wp:positionV relativeFrom="paragraph">
              <wp:posOffset>36324</wp:posOffset>
            </wp:positionV>
            <wp:extent cx="144000" cy="162000"/>
            <wp:effectExtent l="0" t="0" r="0" b="3175"/>
            <wp:wrapTight wrapText="bothSides">
              <wp:wrapPolygon>
                <wp:start x="3823" y="0"/>
                <wp:lineTo x="0" y="1694"/>
                <wp:lineTo x="0" y="13553"/>
                <wp:lineTo x="1912" y="20329"/>
                <wp:lineTo x="15292" y="20329"/>
                <wp:lineTo x="19115" y="16941"/>
                <wp:lineTo x="19115" y="1694"/>
                <wp:lineTo x="15292" y="0"/>
                <wp:lineTo x="3823" y="0"/>
              </wp:wrapPolygon>
            </wp:wrapTight>
            <wp:docPr id="466323398" name="תמונה 46632339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323398" name="תמונה 466323398">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4000" cy="162000"/>
                    </a:xfrm>
                    <a:prstGeom prst="rect">
                      <a:avLst/>
                    </a:prstGeom>
                  </pic:spPr>
                </pic:pic>
              </a:graphicData>
            </a:graphic>
            <wp14:sizeRelH relativeFrom="margin">
              <wp14:pctWidth>0</wp14:pctWidth>
            </wp14:sizeRelH>
            <wp14:sizeRelV relativeFrom="margin">
              <wp14:pctHeight>0</wp14:pctHeight>
            </wp14:sizeRelV>
          </wp:anchor>
        </w:drawing>
      </w:r>
      <w:r w:rsidRPr="000A798D" w:rsidR="00EC554F">
        <w:rPr>
          <w:rtl/>
        </w:rPr>
        <w:t xml:space="preserve">מומלץ </w:t>
      </w:r>
      <w:r w:rsidRPr="00F571AD" w:rsidR="00F571AD">
        <w:rPr>
          <w:rtl/>
        </w:rPr>
        <w:t xml:space="preserve">כי </w:t>
      </w:r>
      <w:r w:rsidRPr="00F571AD" w:rsidR="00F571AD">
        <w:rPr>
          <w:rtl/>
        </w:rPr>
        <w:t>רמ"י</w:t>
      </w:r>
      <w:r w:rsidRPr="00F571AD" w:rsidR="00F571AD">
        <w:rPr>
          <w:rtl/>
        </w:rPr>
        <w:t xml:space="preserve"> ומשרד האוצר יבחנו מול </w:t>
      </w:r>
      <w:r w:rsidRPr="00F571AD" w:rsidR="00F571AD">
        <w:rPr>
          <w:rtl/>
        </w:rPr>
        <w:t>מי"ה</w:t>
      </w:r>
      <w:r w:rsidRPr="00F571AD" w:rsidR="00F571AD">
        <w:rPr>
          <w:rtl/>
        </w:rPr>
        <w:t xml:space="preserve"> את צמצום שטח הזיכיון מפעם לפעם ויפנו אליה לפי הצורך כדי ששטחים שאינם נדרשים לה ייגרעו מתחום הזיכיון; וכי </w:t>
      </w:r>
      <w:r w:rsidRPr="00F571AD" w:rsidR="00F571AD">
        <w:rPr>
          <w:rtl/>
        </w:rPr>
        <w:t>רמ"י</w:t>
      </w:r>
      <w:r w:rsidRPr="00F571AD" w:rsidR="00F571AD">
        <w:rPr>
          <w:rtl/>
        </w:rPr>
        <w:t xml:space="preserve"> תשקול לייתר את הדרישה שלה לקבל את אישור </w:t>
      </w:r>
      <w:r w:rsidRPr="00F571AD" w:rsidR="00F571AD">
        <w:rPr>
          <w:rtl/>
        </w:rPr>
        <w:t>מי"ה</w:t>
      </w:r>
      <w:r w:rsidRPr="00F571AD" w:rsidR="00F571AD">
        <w:rPr>
          <w:rtl/>
        </w:rPr>
        <w:t xml:space="preserve"> לגבי היתרי </w:t>
      </w:r>
      <w:r w:rsidRPr="00F571AD" w:rsidR="00F571AD">
        <w:rPr>
          <w:rtl/>
        </w:rPr>
        <w:t>בניייה</w:t>
      </w:r>
      <w:r w:rsidRPr="00F571AD" w:rsidR="00F571AD">
        <w:rPr>
          <w:rtl/>
        </w:rPr>
        <w:t xml:space="preserve"> כאשר מדובר בקרקעות חכורות שלגביהן כבר אושרה תוכנית </w:t>
      </w:r>
      <w:r w:rsidRPr="00F571AD" w:rsidR="00F571AD">
        <w:rPr>
          <w:rtl/>
        </w:rPr>
        <w:t>סטוטוטורית</w:t>
      </w:r>
      <w:r w:rsidRPr="00F571AD" w:rsidR="00F571AD">
        <w:rPr>
          <w:rtl/>
        </w:rPr>
        <w:t xml:space="preserve"> המייעדת את הקרקע לשימוש מסוג מסוים, דוגמת שימוש למגורים. בראייה צופה פני עתיד ולקראת חידוש הזיכיון הבא, פרט לצורך לצמצם את שטח הזיכיון העתידי, מוצע גם כי חוק הזיכיון העתידי </w:t>
      </w:r>
      <w:r w:rsidRPr="005409B6" w:rsidR="005409B6">
        <w:rPr>
          <w:rtl/>
        </w:rPr>
        <w:t>יכלול</w:t>
      </w:r>
      <w:r w:rsidR="005409B6">
        <w:rPr>
          <w:rFonts w:hint="cs"/>
          <w:rtl/>
        </w:rPr>
        <w:t xml:space="preserve"> </w:t>
      </w:r>
      <w:r w:rsidRPr="00F571AD" w:rsidR="00F571AD">
        <w:rPr>
          <w:rtl/>
        </w:rPr>
        <w:t>מנגנון של גריעת שטחים בהמשך, אם יימצא כי הם אינם דרושים לצורך הזיכיון</w:t>
      </w:r>
      <w:r w:rsidRPr="008E57FE">
        <w:rPr>
          <w:rFonts w:hint="cs"/>
          <w:rtl/>
        </w:rPr>
        <w:t>.</w:t>
      </w:r>
    </w:p>
    <w:p w:rsidR="00362505" w:rsidP="00362505" w14:paraId="1F43BF31" w14:textId="5F5FD4D0">
      <w:pPr>
        <w:pStyle w:val="7317"/>
        <w:rPr>
          <w:rtl/>
        </w:rPr>
      </w:pPr>
      <w:r w:rsidRPr="0063556C">
        <w:rPr>
          <w:rStyle w:val="7372"/>
          <w:rFonts w:hint="cs"/>
          <w:noProof/>
          <w:rtl/>
        </w:rPr>
        <w:drawing>
          <wp:anchor distT="0" distB="1440180" distL="107950" distR="114300" simplePos="0" relativeHeight="251698176" behindDoc="1" locked="0" layoutInCell="1" allowOverlap="1">
            <wp:simplePos x="0" y="0"/>
            <wp:positionH relativeFrom="column">
              <wp:posOffset>4521200</wp:posOffset>
            </wp:positionH>
            <wp:positionV relativeFrom="paragraph">
              <wp:posOffset>36324</wp:posOffset>
            </wp:positionV>
            <wp:extent cx="144000" cy="162000"/>
            <wp:effectExtent l="0" t="0" r="0" b="3175"/>
            <wp:wrapTight wrapText="bothSides">
              <wp:wrapPolygon>
                <wp:start x="3823" y="0"/>
                <wp:lineTo x="0" y="1694"/>
                <wp:lineTo x="0" y="13553"/>
                <wp:lineTo x="1912" y="20329"/>
                <wp:lineTo x="15292" y="20329"/>
                <wp:lineTo x="19115" y="16941"/>
                <wp:lineTo x="19115" y="1694"/>
                <wp:lineTo x="15292" y="0"/>
                <wp:lineTo x="3823" y="0"/>
              </wp:wrapPolygon>
            </wp:wrapTight>
            <wp:docPr id="1488676059" name="תמונה 14886760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676059" name="תמונה 14886760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4000" cy="162000"/>
                    </a:xfrm>
                    <a:prstGeom prst="rect">
                      <a:avLst/>
                    </a:prstGeom>
                  </pic:spPr>
                </pic:pic>
              </a:graphicData>
            </a:graphic>
            <wp14:sizeRelH relativeFrom="margin">
              <wp14:pctWidth>0</wp14:pctWidth>
            </wp14:sizeRelH>
            <wp14:sizeRelV relativeFrom="margin">
              <wp14:pctHeight>0</wp14:pctHeight>
            </wp14:sizeRelV>
          </wp:anchor>
        </w:drawing>
      </w:r>
      <w:r w:rsidRPr="000A798D" w:rsidR="00EC554F">
        <w:rPr>
          <w:rtl/>
        </w:rPr>
        <w:t xml:space="preserve">מומלץ כי </w:t>
      </w:r>
      <w:r w:rsidRPr="000A798D" w:rsidR="00EC554F">
        <w:rPr>
          <w:rtl/>
        </w:rPr>
        <w:t>רמ"י</w:t>
      </w:r>
      <w:r w:rsidRPr="000A798D" w:rsidR="00EC554F">
        <w:rPr>
          <w:rtl/>
        </w:rPr>
        <w:t xml:space="preserve"> ומשרד האוצר יפעלו לעדכון דמי החכירה באופן שהם ישקפו את שווי השימוש העדכני בקרקע</w:t>
      </w:r>
      <w:r w:rsidRPr="000A798D" w:rsidR="00EC554F">
        <w:rPr>
          <w:rFonts w:hint="cs"/>
          <w:rtl/>
        </w:rPr>
        <w:t>,</w:t>
      </w:r>
      <w:r w:rsidRPr="000A798D" w:rsidR="00EC554F">
        <w:rPr>
          <w:rtl/>
        </w:rPr>
        <w:t xml:space="preserve"> </w:t>
      </w:r>
      <w:r w:rsidRPr="000A798D" w:rsidR="00EC554F">
        <w:rPr>
          <w:rFonts w:hint="cs"/>
          <w:rtl/>
        </w:rPr>
        <w:t>ואת האפשרות לקביעת תשלום נפרד בגין הקרקעות השמורות, שכן במצב הקיים אין לבעל הזיכיון תמריץ לצמצום השטח, שהוא משאב ציבורי יקר, גם אם מתברר שהוא אינו נדרש לפעילותו.</w:t>
      </w:r>
      <w:r w:rsidRPr="000A798D" w:rsidR="00EC554F">
        <w:rPr>
          <w:rtl/>
        </w:rPr>
        <w:t xml:space="preserve"> כמו כן, הגם שקיים מנגנון עדכון מדי 7 שנים, התשלום בגין הקרקעות החכורות ושטח המפעל </w:t>
      </w:r>
      <w:bookmarkStart w:id="15" w:name="_Hlk174008163"/>
      <w:r w:rsidRPr="000A798D" w:rsidR="00EC554F">
        <w:rPr>
          <w:rFonts w:hint="cs"/>
          <w:rtl/>
        </w:rPr>
        <w:t xml:space="preserve">הוא </w:t>
      </w:r>
      <w:r w:rsidRPr="000A798D" w:rsidR="00EC554F">
        <w:rPr>
          <w:rtl/>
        </w:rPr>
        <w:t>לפי ערכי קרקע ישנים ומופחת</w:t>
      </w:r>
      <w:bookmarkEnd w:id="15"/>
      <w:r w:rsidRPr="000A798D" w:rsidR="00EC554F">
        <w:rPr>
          <w:rtl/>
        </w:rPr>
        <w:t>ים</w:t>
      </w:r>
      <w:r w:rsidRPr="000A798D" w:rsidR="00EC554F">
        <w:rPr>
          <w:rFonts w:hint="cs"/>
          <w:rtl/>
        </w:rPr>
        <w:t xml:space="preserve">. מצב זה </w:t>
      </w:r>
      <w:r w:rsidRPr="000A798D" w:rsidR="00EC554F">
        <w:rPr>
          <w:rtl/>
        </w:rPr>
        <w:t>פוגע בעקרון השוויון ובצדק החלוקתי, ויש לפעול לתיקונו בהקדם</w:t>
      </w:r>
      <w:r w:rsidRPr="008E57FE">
        <w:rPr>
          <w:rFonts w:hint="cs"/>
          <w:rtl/>
        </w:rPr>
        <w:t>.</w:t>
      </w:r>
    </w:p>
    <w:p w:rsidR="00E97F6C" w:rsidP="00362505" w14:paraId="5484DC6E" w14:textId="7A74135D">
      <w:pPr>
        <w:pStyle w:val="7317"/>
        <w:rPr>
          <w:rtl/>
        </w:rPr>
      </w:pPr>
      <w:r w:rsidRPr="0063556C">
        <w:rPr>
          <w:rStyle w:val="7372"/>
          <w:rFonts w:hint="cs"/>
          <w:noProof/>
          <w:rtl/>
        </w:rPr>
        <w:drawing>
          <wp:anchor distT="0" distB="1440180" distL="107950" distR="114300" simplePos="0" relativeHeight="251718656" behindDoc="1" locked="0" layoutInCell="1" allowOverlap="1">
            <wp:simplePos x="0" y="0"/>
            <wp:positionH relativeFrom="column">
              <wp:posOffset>4536440</wp:posOffset>
            </wp:positionH>
            <wp:positionV relativeFrom="paragraph">
              <wp:posOffset>23370</wp:posOffset>
            </wp:positionV>
            <wp:extent cx="143510" cy="161925"/>
            <wp:effectExtent l="0" t="0" r="0" b="3175"/>
            <wp:wrapTight wrapText="bothSides">
              <wp:wrapPolygon>
                <wp:start x="1912" y="0"/>
                <wp:lineTo x="0" y="1694"/>
                <wp:lineTo x="0" y="20329"/>
                <wp:lineTo x="19115" y="20329"/>
                <wp:lineTo x="19115" y="0"/>
                <wp:lineTo x="1912" y="0"/>
              </wp:wrapPolygon>
            </wp:wrapTight>
            <wp:docPr id="636401773" name="תמונה 14886760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401773" name="תמונה 14886760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3510" cy="161925"/>
                    </a:xfrm>
                    <a:prstGeom prst="rect">
                      <a:avLst/>
                    </a:prstGeom>
                  </pic:spPr>
                </pic:pic>
              </a:graphicData>
            </a:graphic>
            <wp14:sizeRelH relativeFrom="margin">
              <wp14:pctWidth>0</wp14:pctWidth>
            </wp14:sizeRelH>
            <wp14:sizeRelV relativeFrom="margin">
              <wp14:pctHeight>0</wp14:pctHeight>
            </wp14:sizeRelV>
          </wp:anchor>
        </w:drawing>
      </w:r>
      <w:r w:rsidRPr="00E97F6C">
        <w:rPr>
          <w:rtl/>
        </w:rPr>
        <w:t xml:space="preserve">על המשרד </w:t>
      </w:r>
      <w:r w:rsidRPr="00E97F6C">
        <w:rPr>
          <w:rtl/>
        </w:rPr>
        <w:t>להג"ס</w:t>
      </w:r>
      <w:r w:rsidRPr="00E97F6C">
        <w:rPr>
          <w:rtl/>
        </w:rPr>
        <w:t xml:space="preserve"> לקבוע בהקדם תנאים בנושא האסדרה של זרמי הפסולת השונים והטיפול בהם במסגרת תנאי רישיון העסק של </w:t>
      </w:r>
      <w:r w:rsidRPr="00E97F6C">
        <w:rPr>
          <w:rtl/>
        </w:rPr>
        <w:t>מי"ה</w:t>
      </w:r>
      <w:r w:rsidRPr="00E97F6C">
        <w:rPr>
          <w:rtl/>
        </w:rPr>
        <w:t>, לוודא את יישומם ולנקוט את הכלים הקיימים בידו במקרה של הפרת התנאים.</w:t>
      </w:r>
    </w:p>
    <w:p w:rsidR="00EC554F" w:rsidP="00EC554F" w14:paraId="2346CCBA" w14:textId="488F5A64">
      <w:pPr>
        <w:pStyle w:val="7317"/>
        <w:rPr>
          <w:rtl/>
        </w:rPr>
      </w:pPr>
      <w:r w:rsidRPr="0063556C">
        <w:rPr>
          <w:rStyle w:val="7372"/>
          <w:rFonts w:hint="cs"/>
          <w:noProof/>
          <w:rtl/>
        </w:rPr>
        <w:drawing>
          <wp:anchor distT="0" distB="1440180" distL="107950" distR="114300" simplePos="0" relativeHeight="251710464" behindDoc="1" locked="0" layoutInCell="1" allowOverlap="1">
            <wp:simplePos x="0" y="0"/>
            <wp:positionH relativeFrom="column">
              <wp:posOffset>4521200</wp:posOffset>
            </wp:positionH>
            <wp:positionV relativeFrom="paragraph">
              <wp:posOffset>36324</wp:posOffset>
            </wp:positionV>
            <wp:extent cx="144000" cy="162000"/>
            <wp:effectExtent l="0" t="0" r="0" b="3175"/>
            <wp:wrapTight wrapText="bothSides">
              <wp:wrapPolygon>
                <wp:start x="3823" y="0"/>
                <wp:lineTo x="0" y="1694"/>
                <wp:lineTo x="0" y="13553"/>
                <wp:lineTo x="1912" y="20329"/>
                <wp:lineTo x="15292" y="20329"/>
                <wp:lineTo x="19115" y="16941"/>
                <wp:lineTo x="19115" y="1694"/>
                <wp:lineTo x="15292" y="0"/>
                <wp:lineTo x="3823" y="0"/>
              </wp:wrapPolygon>
            </wp:wrapTight>
            <wp:docPr id="446691643" name="תמונה 44669164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691643" name="תמונה 14886760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4000" cy="162000"/>
                    </a:xfrm>
                    <a:prstGeom prst="rect">
                      <a:avLst/>
                    </a:prstGeom>
                  </pic:spPr>
                </pic:pic>
              </a:graphicData>
            </a:graphic>
            <wp14:sizeRelH relativeFrom="margin">
              <wp14:pctWidth>0</wp14:pctWidth>
            </wp14:sizeRelH>
            <wp14:sizeRelV relativeFrom="margin">
              <wp14:pctHeight>0</wp14:pctHeight>
            </wp14:sizeRelV>
          </wp:anchor>
        </w:drawing>
      </w:r>
      <w:bookmarkStart w:id="16" w:name="_Hlk174013315"/>
      <w:r w:rsidRPr="000A798D">
        <w:rPr>
          <w:rtl/>
        </w:rPr>
        <w:t xml:space="preserve">כל זמן שהמשרד </w:t>
      </w:r>
      <w:r w:rsidRPr="000A798D">
        <w:rPr>
          <w:rtl/>
        </w:rPr>
        <w:t>להג"ס</w:t>
      </w:r>
      <w:r w:rsidRPr="000A798D">
        <w:rPr>
          <w:rtl/>
        </w:rPr>
        <w:t xml:space="preserve"> לא קיבל החלטה הנשענת על חוות דעת מקצועית ומשפטית </w:t>
      </w:r>
      <w:r w:rsidRPr="000A798D">
        <w:rPr>
          <w:rFonts w:hint="cs"/>
          <w:rtl/>
        </w:rPr>
        <w:t>ו</w:t>
      </w:r>
      <w:r w:rsidRPr="000A798D">
        <w:rPr>
          <w:rtl/>
        </w:rPr>
        <w:t xml:space="preserve">לפיה אין לסווג את </w:t>
      </w:r>
      <w:r w:rsidRPr="000A798D">
        <w:rPr>
          <w:rFonts w:hint="cs"/>
          <w:rtl/>
        </w:rPr>
        <w:t>ה</w:t>
      </w:r>
      <w:r w:rsidRPr="000A798D">
        <w:rPr>
          <w:rtl/>
        </w:rPr>
        <w:t xml:space="preserve">פסולת </w:t>
      </w:r>
      <w:r w:rsidRPr="000A798D">
        <w:rPr>
          <w:rFonts w:hint="cs"/>
          <w:rtl/>
        </w:rPr>
        <w:t>המועברת לאתר הבוצה המלחית ולהר המלח כפסולת החייבת בהיטל הטמנה</w:t>
      </w:r>
      <w:r w:rsidRPr="000A798D">
        <w:rPr>
          <w:rtl/>
        </w:rPr>
        <w:t>, הרי שעליו לפעול לחיוב היטל הטמנה בגי</w:t>
      </w:r>
      <w:r w:rsidRPr="000A798D">
        <w:rPr>
          <w:rFonts w:hint="cs"/>
          <w:rtl/>
        </w:rPr>
        <w:t>ן</w:t>
      </w:r>
      <w:r w:rsidRPr="000A798D">
        <w:rPr>
          <w:rtl/>
        </w:rPr>
        <w:t xml:space="preserve"> פסול</w:t>
      </w:r>
      <w:r w:rsidRPr="000A798D">
        <w:rPr>
          <w:rFonts w:hint="cs"/>
          <w:rtl/>
        </w:rPr>
        <w:t>ו</w:t>
      </w:r>
      <w:r w:rsidRPr="000A798D">
        <w:rPr>
          <w:rtl/>
        </w:rPr>
        <w:t xml:space="preserve">ת </w:t>
      </w:r>
      <w:r w:rsidRPr="000A798D">
        <w:rPr>
          <w:rFonts w:hint="cs"/>
          <w:rtl/>
        </w:rPr>
        <w:t>אלה</w:t>
      </w:r>
      <w:bookmarkEnd w:id="16"/>
      <w:r w:rsidRPr="000A798D">
        <w:rPr>
          <w:rtl/>
        </w:rPr>
        <w:t xml:space="preserve"> שבמהותן הן פסולות תעשייתיות. הטלת היטל הטמנה עשויה לקדם את האינטרס הציבורי של צמצום פסולת והפנמת העלויות החיצוניות של הטמנתה</w:t>
      </w:r>
      <w:r w:rsidRPr="008E57FE">
        <w:rPr>
          <w:rFonts w:hint="cs"/>
          <w:rtl/>
        </w:rPr>
        <w:t>.</w:t>
      </w:r>
    </w:p>
    <w:p w:rsidR="00EC554F" w:rsidP="00EC554F" w14:paraId="67ADCAED" w14:textId="791E7564">
      <w:pPr>
        <w:pStyle w:val="7317"/>
        <w:rPr>
          <w:rtl/>
        </w:rPr>
      </w:pPr>
      <w:r w:rsidRPr="0063556C">
        <w:rPr>
          <w:rStyle w:val="7372"/>
          <w:rFonts w:hint="cs"/>
          <w:noProof/>
          <w:rtl/>
        </w:rPr>
        <w:drawing>
          <wp:anchor distT="0" distB="1440180" distL="107950" distR="114300" simplePos="0" relativeHeight="251711488" behindDoc="1" locked="0" layoutInCell="1" allowOverlap="1">
            <wp:simplePos x="0" y="0"/>
            <wp:positionH relativeFrom="column">
              <wp:posOffset>4521200</wp:posOffset>
            </wp:positionH>
            <wp:positionV relativeFrom="paragraph">
              <wp:posOffset>36324</wp:posOffset>
            </wp:positionV>
            <wp:extent cx="144000" cy="162000"/>
            <wp:effectExtent l="0" t="0" r="0" b="3175"/>
            <wp:wrapTight wrapText="bothSides">
              <wp:wrapPolygon>
                <wp:start x="3823" y="0"/>
                <wp:lineTo x="0" y="1694"/>
                <wp:lineTo x="0" y="13553"/>
                <wp:lineTo x="1912" y="20329"/>
                <wp:lineTo x="15292" y="20329"/>
                <wp:lineTo x="19115" y="16941"/>
                <wp:lineTo x="19115" y="1694"/>
                <wp:lineTo x="15292" y="0"/>
                <wp:lineTo x="3823" y="0"/>
              </wp:wrapPolygon>
            </wp:wrapTight>
            <wp:docPr id="1659832428" name="תמונה 165983242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832428" name="תמונה 14886760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4000" cy="162000"/>
                    </a:xfrm>
                    <a:prstGeom prst="rect">
                      <a:avLst/>
                    </a:prstGeom>
                  </pic:spPr>
                </pic:pic>
              </a:graphicData>
            </a:graphic>
            <wp14:sizeRelH relativeFrom="margin">
              <wp14:pctWidth>0</wp14:pctWidth>
            </wp14:sizeRelH>
            <wp14:sizeRelV relativeFrom="margin">
              <wp14:pctHeight>0</wp14:pctHeight>
            </wp14:sizeRelV>
          </wp:anchor>
        </w:drawing>
      </w:r>
      <w:r w:rsidRPr="000A798D">
        <w:rPr>
          <w:rtl/>
        </w:rPr>
        <w:t xml:space="preserve">על המשרד </w:t>
      </w:r>
      <w:r w:rsidRPr="000A798D">
        <w:rPr>
          <w:rtl/>
        </w:rPr>
        <w:t>להג"ס</w:t>
      </w:r>
      <w:r w:rsidRPr="000A798D">
        <w:rPr>
          <w:rtl/>
        </w:rPr>
        <w:t xml:space="preserve"> לוודא כי הפרקטיקה של </w:t>
      </w:r>
      <w:r w:rsidRPr="000A798D">
        <w:rPr>
          <w:rFonts w:hint="cs"/>
          <w:rtl/>
        </w:rPr>
        <w:t xml:space="preserve">פיזור פסולת בתחום הזיכיון לצורך </w:t>
      </w:r>
      <w:r w:rsidRPr="000A798D">
        <w:rPr>
          <w:rtl/>
        </w:rPr>
        <w:t xml:space="preserve">מילוי </w:t>
      </w:r>
      <w:r w:rsidRPr="000A798D">
        <w:rPr>
          <w:rtl/>
        </w:rPr>
        <w:t>בולענים</w:t>
      </w:r>
      <w:r w:rsidRPr="000A798D">
        <w:rPr>
          <w:rtl/>
        </w:rPr>
        <w:t xml:space="preserve"> </w:t>
      </w:r>
      <w:r w:rsidRPr="000A798D">
        <w:rPr>
          <w:rFonts w:hint="cs"/>
          <w:rtl/>
        </w:rPr>
        <w:t xml:space="preserve">או לשימוש </w:t>
      </w:r>
      <w:r w:rsidRPr="000A798D">
        <w:rPr>
          <w:rFonts w:hint="cs"/>
          <w:rtl/>
        </w:rPr>
        <w:t>מי"ה</w:t>
      </w:r>
      <w:r w:rsidRPr="000A798D">
        <w:rPr>
          <w:rFonts w:hint="cs"/>
          <w:rtl/>
        </w:rPr>
        <w:t xml:space="preserve"> </w:t>
      </w:r>
      <w:r w:rsidRPr="000A798D">
        <w:rPr>
          <w:rtl/>
        </w:rPr>
        <w:t>מקובלת על גורמי המקצוע במשרד, וכי היא א</w:t>
      </w:r>
      <w:r w:rsidRPr="000A798D">
        <w:rPr>
          <w:rFonts w:hint="cs"/>
          <w:rtl/>
        </w:rPr>
        <w:t>ינה</w:t>
      </w:r>
      <w:r w:rsidRPr="000A798D">
        <w:rPr>
          <w:rtl/>
        </w:rPr>
        <w:t xml:space="preserve"> משמשת תחליף לטיפול בפסולת ולהעברת</w:t>
      </w:r>
      <w:r w:rsidRPr="000A798D">
        <w:rPr>
          <w:rFonts w:hint="cs"/>
          <w:rtl/>
        </w:rPr>
        <w:t>ה</w:t>
      </w:r>
      <w:r w:rsidRPr="000A798D">
        <w:rPr>
          <w:rtl/>
        </w:rPr>
        <w:t xml:space="preserve"> לאתר סילוק מתאים ולתשלום </w:t>
      </w:r>
      <w:r w:rsidRPr="00062D24" w:rsidR="00062D24">
        <w:rPr>
          <w:rtl/>
        </w:rPr>
        <w:t>היטל הטמנה</w:t>
      </w:r>
      <w:r w:rsidR="00137248">
        <w:rPr>
          <w:rFonts w:hint="cs"/>
          <w:rtl/>
        </w:rPr>
        <w:t>,</w:t>
      </w:r>
      <w:r w:rsidRPr="000A798D" w:rsidR="00137248">
        <w:rPr>
          <w:rtl/>
        </w:rPr>
        <w:t xml:space="preserve"> </w:t>
      </w:r>
      <w:r w:rsidRPr="00137248" w:rsidR="00137248">
        <w:rPr>
          <w:rtl/>
        </w:rPr>
        <w:t>ולקבוע אמצעי בקרה ומעקב כדי לוודא כי לא נגרמים מפגעים סביבתיים בעקבות שימוש זה</w:t>
      </w:r>
      <w:r w:rsidRPr="008E57FE">
        <w:rPr>
          <w:rFonts w:hint="cs"/>
          <w:rtl/>
        </w:rPr>
        <w:t>.</w:t>
      </w:r>
    </w:p>
    <w:p w:rsidR="00EC554F" w:rsidP="00EC554F" w14:paraId="75D04E8E" w14:textId="2505BE70">
      <w:pPr>
        <w:pStyle w:val="7317"/>
        <w:rPr>
          <w:rtl/>
        </w:rPr>
      </w:pPr>
      <w:r w:rsidRPr="0063556C">
        <w:rPr>
          <w:rStyle w:val="7372"/>
          <w:rFonts w:hint="cs"/>
          <w:noProof/>
          <w:rtl/>
        </w:rPr>
        <w:drawing>
          <wp:anchor distT="0" distB="1440180" distL="107950" distR="114300" simplePos="0" relativeHeight="251712512" behindDoc="1" locked="0" layoutInCell="1" allowOverlap="1">
            <wp:simplePos x="0" y="0"/>
            <wp:positionH relativeFrom="column">
              <wp:posOffset>4521200</wp:posOffset>
            </wp:positionH>
            <wp:positionV relativeFrom="paragraph">
              <wp:posOffset>36324</wp:posOffset>
            </wp:positionV>
            <wp:extent cx="144000" cy="162000"/>
            <wp:effectExtent l="0" t="0" r="0" b="3175"/>
            <wp:wrapTight wrapText="bothSides">
              <wp:wrapPolygon>
                <wp:start x="3823" y="0"/>
                <wp:lineTo x="0" y="1694"/>
                <wp:lineTo x="0" y="13553"/>
                <wp:lineTo x="1912" y="20329"/>
                <wp:lineTo x="15292" y="20329"/>
                <wp:lineTo x="19115" y="16941"/>
                <wp:lineTo x="19115" y="1694"/>
                <wp:lineTo x="15292" y="0"/>
                <wp:lineTo x="3823" y="0"/>
              </wp:wrapPolygon>
            </wp:wrapTight>
            <wp:docPr id="476221290" name="תמונה 47622129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221290" name="תמונה 14886760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4000" cy="162000"/>
                    </a:xfrm>
                    <a:prstGeom prst="rect">
                      <a:avLst/>
                    </a:prstGeom>
                  </pic:spPr>
                </pic:pic>
              </a:graphicData>
            </a:graphic>
            <wp14:sizeRelH relativeFrom="margin">
              <wp14:pctWidth>0</wp14:pctWidth>
            </wp14:sizeRelH>
            <wp14:sizeRelV relativeFrom="margin">
              <wp14:pctHeight>0</wp14:pctHeight>
            </wp14:sizeRelV>
          </wp:anchor>
        </w:drawing>
      </w:r>
      <w:r w:rsidRPr="000A798D">
        <w:rPr>
          <w:rFonts w:hint="cs"/>
          <w:rtl/>
        </w:rPr>
        <w:t xml:space="preserve">מוצע כי כלל הגופים הנוגעים בדבר, ובהם המשרד </w:t>
      </w:r>
      <w:r w:rsidRPr="000A798D">
        <w:rPr>
          <w:rFonts w:hint="cs"/>
          <w:rtl/>
        </w:rPr>
        <w:t>להג"ס</w:t>
      </w:r>
      <w:r w:rsidRPr="000A798D">
        <w:rPr>
          <w:rFonts w:hint="cs"/>
          <w:rtl/>
        </w:rPr>
        <w:t xml:space="preserve"> ורשות המים, יפעלו</w:t>
      </w:r>
      <w:r w:rsidRPr="000A798D">
        <w:rPr>
          <w:rtl/>
        </w:rPr>
        <w:t xml:space="preserve"> בהקדם </w:t>
      </w:r>
      <w:r w:rsidRPr="000A798D">
        <w:rPr>
          <w:rFonts w:hint="cs"/>
          <w:rtl/>
        </w:rPr>
        <w:t xml:space="preserve">במסגרת "שולחן עגול" לגיבוש פתרונות של </w:t>
      </w:r>
      <w:r w:rsidRPr="000A798D">
        <w:rPr>
          <w:rtl/>
        </w:rPr>
        <w:t xml:space="preserve">סוגיית הדליפות רחבות ההיקף </w:t>
      </w:r>
      <w:r w:rsidRPr="00062D24" w:rsidR="00062D24">
        <w:rPr>
          <w:rtl/>
        </w:rPr>
        <w:t>מהבריכות התעשייתיות</w:t>
      </w:r>
      <w:r w:rsidRPr="000A798D">
        <w:rPr>
          <w:rtl/>
        </w:rPr>
        <w:t xml:space="preserve"> של</w:t>
      </w:r>
      <w:r w:rsidR="00137248">
        <w:rPr>
          <w:rFonts w:hint="cs"/>
          <w:rtl/>
        </w:rPr>
        <w:t xml:space="preserve"> </w:t>
      </w:r>
      <w:r w:rsidR="00137248">
        <w:rPr>
          <w:rFonts w:hint="cs"/>
          <w:rtl/>
        </w:rPr>
        <w:t>מי״ה</w:t>
      </w:r>
      <w:r w:rsidRPr="008E57FE">
        <w:rPr>
          <w:rFonts w:hint="cs"/>
          <w:rtl/>
        </w:rPr>
        <w:t>.</w:t>
      </w:r>
    </w:p>
    <w:p w:rsidR="00EC554F" w:rsidP="00EC554F" w14:paraId="5FAE90EC" w14:textId="4020608A">
      <w:pPr>
        <w:pStyle w:val="7317"/>
        <w:rPr>
          <w:rtl/>
        </w:rPr>
      </w:pPr>
      <w:r w:rsidRPr="0063556C">
        <w:rPr>
          <w:rStyle w:val="7372"/>
          <w:rFonts w:hint="cs"/>
          <w:noProof/>
          <w:rtl/>
        </w:rPr>
        <w:drawing>
          <wp:anchor distT="0" distB="1440180" distL="107950" distR="114300" simplePos="0" relativeHeight="251713536" behindDoc="1" locked="0" layoutInCell="1" allowOverlap="1">
            <wp:simplePos x="0" y="0"/>
            <wp:positionH relativeFrom="column">
              <wp:posOffset>4521200</wp:posOffset>
            </wp:positionH>
            <wp:positionV relativeFrom="paragraph">
              <wp:posOffset>36324</wp:posOffset>
            </wp:positionV>
            <wp:extent cx="144000" cy="162000"/>
            <wp:effectExtent l="0" t="0" r="0" b="3175"/>
            <wp:wrapTight wrapText="bothSides">
              <wp:wrapPolygon>
                <wp:start x="3823" y="0"/>
                <wp:lineTo x="0" y="1694"/>
                <wp:lineTo x="0" y="13553"/>
                <wp:lineTo x="1912" y="20329"/>
                <wp:lineTo x="15292" y="20329"/>
                <wp:lineTo x="19115" y="16941"/>
                <wp:lineTo x="19115" y="1694"/>
                <wp:lineTo x="15292" y="0"/>
                <wp:lineTo x="3823" y="0"/>
              </wp:wrapPolygon>
            </wp:wrapTight>
            <wp:docPr id="24820180" name="תמונה 2482018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20180" name="תמונה 1488676059">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4000" cy="162000"/>
                    </a:xfrm>
                    <a:prstGeom prst="rect">
                      <a:avLst/>
                    </a:prstGeom>
                  </pic:spPr>
                </pic:pic>
              </a:graphicData>
            </a:graphic>
            <wp14:sizeRelH relativeFrom="margin">
              <wp14:pctWidth>0</wp14:pctWidth>
            </wp14:sizeRelH>
            <wp14:sizeRelV relativeFrom="margin">
              <wp14:pctHeight>0</wp14:pctHeight>
            </wp14:sizeRelV>
          </wp:anchor>
        </w:drawing>
      </w:r>
      <w:r w:rsidRPr="000A798D">
        <w:rPr>
          <w:rtl/>
        </w:rPr>
        <w:t>מומלץ כי שר האוצר</w:t>
      </w:r>
      <w:r w:rsidRPr="000A798D">
        <w:rPr>
          <w:rFonts w:hint="cs"/>
          <w:rtl/>
        </w:rPr>
        <w:t xml:space="preserve"> ושר הכלכלה והתעשייה</w:t>
      </w:r>
      <w:r w:rsidRPr="000A798D">
        <w:rPr>
          <w:rtl/>
        </w:rPr>
        <w:t>, כשרים האחראים לחוק הזיכיון, בתיאום עם השר</w:t>
      </w:r>
      <w:r w:rsidR="00137248">
        <w:rPr>
          <w:rFonts w:hint="cs"/>
          <w:rtl/>
        </w:rPr>
        <w:t>ה</w:t>
      </w:r>
      <w:r w:rsidRPr="000A798D">
        <w:rPr>
          <w:rtl/>
        </w:rPr>
        <w:t xml:space="preserve"> </w:t>
      </w:r>
      <w:r w:rsidRPr="000A798D">
        <w:rPr>
          <w:rtl/>
        </w:rPr>
        <w:t>להג"ס</w:t>
      </w:r>
      <w:r w:rsidRPr="000A798D">
        <w:rPr>
          <w:rtl/>
        </w:rPr>
        <w:t xml:space="preserve">, יקימו גוף ממשלתי </w:t>
      </w:r>
      <w:r w:rsidRPr="000A798D">
        <w:rPr>
          <w:rtl/>
        </w:rPr>
        <w:t>מתכלל</w:t>
      </w:r>
      <w:r w:rsidRPr="000A798D">
        <w:rPr>
          <w:rFonts w:hint="cs"/>
          <w:rtl/>
        </w:rPr>
        <w:t xml:space="preserve"> בו </w:t>
      </w:r>
      <w:r w:rsidRPr="000A798D">
        <w:rPr>
          <w:rFonts w:hint="eastAsia"/>
          <w:rtl/>
        </w:rPr>
        <w:t>ישתתפו</w:t>
      </w:r>
      <w:r w:rsidRPr="000A798D">
        <w:rPr>
          <w:rFonts w:hint="cs"/>
          <w:rtl/>
        </w:rPr>
        <w:t xml:space="preserve"> נציגים של משרדי הממשלה השונים ו</w:t>
      </w:r>
      <w:r w:rsidR="00137248">
        <w:rPr>
          <w:rFonts w:hint="cs"/>
          <w:rtl/>
        </w:rPr>
        <w:t xml:space="preserve">של </w:t>
      </w:r>
      <w:r w:rsidRPr="000A798D">
        <w:rPr>
          <w:rFonts w:hint="cs"/>
          <w:rtl/>
        </w:rPr>
        <w:t>המועצה האזורית</w:t>
      </w:r>
      <w:r w:rsidRPr="000A798D">
        <w:rPr>
          <w:rtl/>
        </w:rPr>
        <w:t xml:space="preserve">, שתפקידו יהיה לרכז את כלל הנתונים בדבר השימושים המתקיימים בתחום הזיכיון ולתאם ולטייב את פעולותיהם של </w:t>
      </w:r>
      <w:r w:rsidRPr="000A798D">
        <w:rPr>
          <w:rtl/>
        </w:rPr>
        <w:t>המאסדרים</w:t>
      </w:r>
      <w:r w:rsidRPr="000A798D">
        <w:rPr>
          <w:rtl/>
        </w:rPr>
        <w:t xml:space="preserve"> השונים. הקמת גוף </w:t>
      </w:r>
      <w:r w:rsidRPr="000A798D">
        <w:rPr>
          <w:rtl/>
        </w:rPr>
        <w:t>מתכלל</w:t>
      </w:r>
      <w:r w:rsidRPr="000A798D">
        <w:rPr>
          <w:rtl/>
        </w:rPr>
        <w:t xml:space="preserve"> שכזה יכולה אף לתרום למניעת כפילות בדרישות </w:t>
      </w:r>
      <w:r w:rsidRPr="000A798D">
        <w:rPr>
          <w:rtl/>
        </w:rPr>
        <w:t>המאסדרים</w:t>
      </w:r>
      <w:r w:rsidRPr="000A798D">
        <w:rPr>
          <w:rtl/>
        </w:rPr>
        <w:t xml:space="preserve"> השונים, להביא לייעול העבודה שלהם, לסייע בהעברת מידע חיוני ולעודד שיתוף פעולה ביניהם. הצורך בהקמת גוף </w:t>
      </w:r>
      <w:r w:rsidRPr="000A798D">
        <w:rPr>
          <w:rtl/>
        </w:rPr>
        <w:t>מתכלל</w:t>
      </w:r>
      <w:r w:rsidRPr="000A798D">
        <w:rPr>
          <w:rtl/>
        </w:rPr>
        <w:t xml:space="preserve"> ייעודי מתחדד ביתר שאת בראייה צופה פני עתיד ולקראת גיבוש חוק הזיכיון העתידי</w:t>
      </w:r>
      <w:r w:rsidRPr="008E57FE">
        <w:rPr>
          <w:rFonts w:hint="cs"/>
          <w:rtl/>
        </w:rPr>
        <w:t>.</w:t>
      </w:r>
    </w:p>
    <w:p w:rsidR="00EC554F" w14:paraId="6D9FB745" w14:textId="3A262629">
      <w:pPr>
        <w:bidi w:val="0"/>
        <w:spacing w:after="200" w:line="276" w:lineRule="auto"/>
        <w:rPr>
          <w:rStyle w:val="7372"/>
          <w:rtl/>
        </w:rPr>
      </w:pPr>
      <w:r>
        <w:rPr>
          <w:rStyle w:val="7372"/>
          <w:rtl/>
        </w:rPr>
        <w:br w:type="page"/>
      </w:r>
    </w:p>
    <w:p w:rsidR="005D0F8C" w:rsidP="00EB672B" w14:paraId="6DC28C4F" w14:textId="7EB7C72E">
      <w:pPr>
        <w:pStyle w:val="7317"/>
        <w:rPr>
          <w:rtl/>
        </w:rPr>
      </w:pPr>
      <w:r w:rsidRPr="00D527BD">
        <w:rPr>
          <w:noProof/>
          <w:szCs w:val="20"/>
          <w:rtl/>
        </w:rPr>
        <mc:AlternateContent>
          <mc:Choice Requires="wps">
            <w:drawing>
              <wp:anchor distT="0" distB="0" distL="114300" distR="114300" simplePos="0" relativeHeight="251678720" behindDoc="0" locked="0" layoutInCell="1" allowOverlap="1">
                <wp:simplePos x="0" y="0"/>
                <wp:positionH relativeFrom="column">
                  <wp:posOffset>86360</wp:posOffset>
                </wp:positionH>
                <wp:positionV relativeFrom="paragraph">
                  <wp:posOffset>67782</wp:posOffset>
                </wp:positionV>
                <wp:extent cx="4436745" cy="434975"/>
                <wp:effectExtent l="0" t="0" r="0" b="0"/>
                <wp:wrapNone/>
                <wp:docPr id="145106662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436745" cy="434975"/>
                        </a:xfrm>
                        <a:prstGeom prst="rect">
                          <a:avLst/>
                        </a:prstGeom>
                        <a:solidFill>
                          <a:srgbClr val="F05260"/>
                        </a:solidFill>
                        <a:ln w="9525">
                          <a:noFill/>
                          <a:miter lim="800000"/>
                          <a:headEnd/>
                          <a:tailEnd/>
                        </a:ln>
                      </wps:spPr>
                      <wps:txbx>
                        <w:txbxContent>
                          <w:p w:rsidR="005D0F8C" w:rsidRPr="005C7ABF" w:rsidP="00524400" w14:textId="77BB5BE2">
                            <w:pPr>
                              <w:pStyle w:val="7332"/>
                              <w:rPr>
                                <w:rtl/>
                              </w:rPr>
                            </w:pPr>
                            <w:r w:rsidRPr="00CB3DCC">
                              <w:rPr>
                                <w:rtl/>
                              </w:rPr>
                              <w:t>הליקויים</w:t>
                            </w:r>
                            <w:r>
                              <w:rPr>
                                <w:rFonts w:hint="cs"/>
                                <w:rtl/>
                              </w:rPr>
                              <w:t xml:space="preserve"> </w:t>
                            </w:r>
                            <w:r w:rsidRPr="00137248" w:rsidR="00137248">
                              <w:rPr>
                                <w:rtl/>
                              </w:rPr>
                              <w:t xml:space="preserve">העיקריים בניהול זיכיון ים המלח והפיקוח עליו - היבטים בתחומי </w:t>
                            </w:r>
                            <w:r w:rsidRPr="00CB3DCC">
                              <w:rPr>
                                <w:rtl/>
                              </w:rPr>
                              <w:t>הסביבה והמקרקעין</w:t>
                            </w:r>
                          </w:p>
                        </w:txbxContent>
                      </wps:txbx>
                      <wps:bodyPr rot="0" vert="horz" wrap="square" lIns="91440" tIns="45720" rIns="91440" bIns="45720" anchor="ctr" anchorCtr="0"/>
                    </wps:wsp>
                  </a:graphicData>
                </a:graphic>
                <wp14:sizeRelH relativeFrom="margin">
                  <wp14:pctWidth>0</wp14:pctWidth>
                </wp14:sizeRelH>
                <wp14:sizeRelV relativeFrom="margin">
                  <wp14:pctHeight>0</wp14:pctHeight>
                </wp14:sizeRelV>
              </wp:anchor>
            </w:drawing>
          </mc:Choice>
          <mc:Fallback>
            <w:pict>
              <v:shape id="_x0000_s1034" type="#_x0000_t202" style="width:349.35pt;height:34.25pt;margin-top:5.35pt;margin-left:6.8pt;mso-height-percent:0;mso-height-relative:margin;mso-width-percent:0;mso-width-relative:margin;mso-wrap-distance-bottom:0;mso-wrap-distance-left:9pt;mso-wrap-distance-right:9pt;mso-wrap-distance-top:0;mso-wrap-style:square;position:absolute;visibility:visible;v-text-anchor:middle;z-index:251679744" fillcolor="#f05260" stroked="f">
                <v:textbox>
                  <w:txbxContent>
                    <w:p w:rsidR="005D0F8C" w:rsidRPr="005C7ABF" w:rsidP="00524400" w14:paraId="1D5D7976" w14:textId="77BB5BE2">
                      <w:pPr>
                        <w:pStyle w:val="7332"/>
                        <w:rPr>
                          <w:rtl/>
                        </w:rPr>
                      </w:pPr>
                      <w:r w:rsidRPr="00CB3DCC">
                        <w:rPr>
                          <w:rtl/>
                        </w:rPr>
                        <w:t>הליקויים</w:t>
                      </w:r>
                      <w:r>
                        <w:rPr>
                          <w:rFonts w:hint="cs"/>
                          <w:rtl/>
                        </w:rPr>
                        <w:t xml:space="preserve"> </w:t>
                      </w:r>
                      <w:r w:rsidRPr="00137248" w:rsidR="00137248">
                        <w:rPr>
                          <w:rtl/>
                        </w:rPr>
                        <w:t xml:space="preserve">העיקריים בניהול זיכיון ים המלח והפיקוח עליו - היבטים בתחומי </w:t>
                      </w:r>
                      <w:r w:rsidRPr="00CB3DCC">
                        <w:rPr>
                          <w:rtl/>
                        </w:rPr>
                        <w:t>הסביבה והמקרקעין</w:t>
                      </w:r>
                    </w:p>
                  </w:txbxContent>
                </v:textbox>
              </v:shape>
            </w:pict>
          </mc:Fallback>
        </mc:AlternateContent>
      </w:r>
      <w:r w:rsidRPr="00D527BD" w:rsidR="00D57BE9">
        <w:rPr>
          <w:noProof/>
          <w:szCs w:val="20"/>
          <w:rtl/>
        </w:rPr>
        <w:drawing>
          <wp:anchor distT="0" distB="0" distL="114300" distR="114300" simplePos="0" relativeHeight="251677696" behindDoc="0" locked="0" layoutInCell="1" allowOverlap="1">
            <wp:simplePos x="0" y="0"/>
            <wp:positionH relativeFrom="column">
              <wp:posOffset>-58420</wp:posOffset>
            </wp:positionH>
            <wp:positionV relativeFrom="paragraph">
              <wp:posOffset>-33655</wp:posOffset>
            </wp:positionV>
            <wp:extent cx="4775102" cy="762619"/>
            <wp:effectExtent l="0" t="0" r="0" b="0"/>
            <wp:wrapNone/>
            <wp:docPr id="1451066646" name="Picture 5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066646" name="Picture 54">
                      <a:extLst>
                        <a:ext xmlns:a="http://schemas.openxmlformats.org/drawingml/2006/main" uri="{C183D7F6-B498-43B3-948B-1728B52AA6E4}">
                          <adec:decorative xmlns:adec="http://schemas.microsoft.com/office/drawing/2017/decorative" val="1"/>
                        </a:ext>
                      </a:extLst>
                    </pic:cNvPr>
                    <pic:cNvPicPr>
                      <a:picLocks noChangeAspect="1"/>
                    </pic:cNvPicPr>
                  </pic:nvPicPr>
                  <pic:blipFill>
                    <a:blip xmlns:r="http://schemas.openxmlformats.org/officeDocument/2006/relationships" r:embed="rId31" cstate="print">
                      <a:extLst>
                        <a:ext xmlns:a="http://schemas.openxmlformats.org/drawingml/2006/main" uri="{28A0092B-C50C-407E-A947-70E740481C1C}">
                          <a14:useLocalDpi xmlns:a14="http://schemas.microsoft.com/office/drawing/2010/main" val="0"/>
                        </a:ext>
                      </a:extLst>
                    </a:blip>
                    <a:stretch>
                      <a:fillRect/>
                    </a:stretch>
                  </pic:blipFill>
                  <pic:spPr>
                    <a:xfrm>
                      <a:off x="0" y="0"/>
                      <a:ext cx="4775102" cy="762619"/>
                    </a:xfrm>
                    <a:prstGeom prst="rect">
                      <a:avLst/>
                    </a:prstGeom>
                  </pic:spPr>
                </pic:pic>
              </a:graphicData>
            </a:graphic>
            <wp14:sizeRelH relativeFrom="margin">
              <wp14:pctWidth>0</wp14:pctWidth>
            </wp14:sizeRelH>
            <wp14:sizeRelV relativeFrom="margin">
              <wp14:pctHeight>0</wp14:pctHeight>
            </wp14:sizeRelV>
          </wp:anchor>
        </w:drawing>
      </w:r>
      <w:r>
        <w:rPr>
          <w:rtl/>
        </w:rPr>
        <w:t xml:space="preserve"> </w:t>
      </w:r>
    </w:p>
    <w:p w:rsidR="005D0F8C" w:rsidP="005D0F8C" w14:paraId="5B8DB107" w14:textId="20FFFE4E">
      <w:pPr>
        <w:pStyle w:val="7317"/>
        <w:rPr>
          <w:rtl/>
        </w:rPr>
      </w:pPr>
    </w:p>
    <w:p w:rsidR="005D0F8C" w:rsidRPr="00D57BE9" w:rsidP="00D57BE9" w14:paraId="65CD3CF9" w14:textId="09F08590">
      <w:pPr>
        <w:rPr>
          <w:rtl/>
        </w:rPr>
      </w:pPr>
    </w:p>
    <w:p w:rsidR="00D57BE9" w:rsidRPr="00D57BE9" w:rsidP="00D57BE9" w14:paraId="29744092" w14:textId="06EF01F3">
      <w:pPr>
        <w:rPr>
          <w:rtl/>
        </w:rPr>
      </w:pPr>
      <w:r>
        <w:rPr>
          <w:noProof/>
          <w:rtl/>
          <w:lang w:val="he-IL"/>
        </w:rPr>
        <w:drawing>
          <wp:inline distT="0" distB="0" distL="0" distR="0">
            <wp:extent cx="4598919" cy="6341299"/>
            <wp:effectExtent l="0" t="0" r="0" b="0"/>
            <wp:docPr id="252592013"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592013" name="תמונה 4"/>
                    <pic:cNvPicPr/>
                  </pic:nvPicPr>
                  <pic:blipFill>
                    <a:blip xmlns:r="http://schemas.openxmlformats.org/officeDocument/2006/relationships" r:embed="rId32" cstate="print">
                      <a:extLst>
                        <a:ext xmlns:a="http://schemas.openxmlformats.org/drawingml/2006/main" uri="{28A0092B-C50C-407E-A947-70E740481C1C}">
                          <a14:useLocalDpi xmlns:a14="http://schemas.microsoft.com/office/drawing/2010/main" val="0"/>
                        </a:ext>
                      </a:extLst>
                    </a:blip>
                    <a:stretch>
                      <a:fillRect/>
                    </a:stretch>
                  </pic:blipFill>
                  <pic:spPr>
                    <a:xfrm>
                      <a:off x="0" y="0"/>
                      <a:ext cx="4598919" cy="6341299"/>
                    </a:xfrm>
                    <a:prstGeom prst="rect">
                      <a:avLst/>
                    </a:prstGeom>
                  </pic:spPr>
                </pic:pic>
              </a:graphicData>
            </a:graphic>
          </wp:inline>
        </w:drawing>
      </w:r>
    </w:p>
    <w:p w:rsidR="004E71DD" w:rsidP="004E71DD" w14:paraId="7C33D7DD" w14:textId="7A449BE3">
      <w:pPr>
        <w:pStyle w:val="73"/>
        <w:rPr>
          <w:rtl/>
        </w:rPr>
      </w:pPr>
      <w:r w:rsidRPr="00EF3061">
        <w:rPr>
          <w:rFonts w:hint="cs"/>
          <w:rtl/>
        </w:rPr>
        <w:t>סיכום</w:t>
      </w:r>
    </w:p>
    <w:p w:rsidR="00EC554F" w:rsidRPr="000A798D" w:rsidP="00EC554F" w14:paraId="6FA75F62" w14:textId="6E4B9D6F">
      <w:pPr>
        <w:widowControl w:val="0"/>
        <w:tabs>
          <w:tab w:val="left" w:pos="9604"/>
        </w:tabs>
        <w:spacing w:before="240" w:line="276" w:lineRule="auto"/>
        <w:ind w:left="-1"/>
        <w:rPr>
          <w:rFonts w:ascii="Tahoma" w:hAnsi="Tahoma" w:cs="Tahoma"/>
          <w:sz w:val="18"/>
          <w:szCs w:val="18"/>
          <w:rtl/>
        </w:rPr>
      </w:pPr>
      <w:r w:rsidRPr="000A798D">
        <w:rPr>
          <w:rFonts w:ascii="Tahoma" w:hAnsi="Tahoma" w:cs="Tahoma" w:hint="cs"/>
          <w:sz w:val="18"/>
          <w:szCs w:val="18"/>
          <w:rtl/>
        </w:rPr>
        <w:t xml:space="preserve">ים המלח הוא </w:t>
      </w:r>
      <w:r w:rsidRPr="00AE7940" w:rsidR="00AE7940">
        <w:rPr>
          <w:rFonts w:ascii="Tahoma" w:hAnsi="Tahoma" w:cs="Tahoma"/>
          <w:sz w:val="18"/>
          <w:szCs w:val="18"/>
          <w:rtl/>
        </w:rPr>
        <w:t>המקום היבשתי הנמוך ביותר בעולם</w:t>
      </w:r>
      <w:r w:rsidRPr="000A798D">
        <w:rPr>
          <w:rFonts w:ascii="Tahoma" w:hAnsi="Tahoma" w:cs="Tahoma" w:hint="cs"/>
          <w:sz w:val="18"/>
          <w:szCs w:val="18"/>
          <w:rtl/>
        </w:rPr>
        <w:t>. הוא מהווה תופעת טבע ייחודית בעולם כולו ונחשב לאזור בעל תכונות מרפא ולמקום בעל ערכי טבע חשובים, נופים מרהיבים ואתרי מורשת מגוונים. ים המלח היה בעבר והוא גם כיום משאב טבע שחשיבותו למדינת ישראל ראשונה במעלה. לכן כל פעילות תעשייתית באזור חייבת להשתלב עם היבטים הנוגעים לשמירה על הסביבה</w:t>
      </w:r>
      <w:r w:rsidR="00137248">
        <w:rPr>
          <w:rFonts w:ascii="Tahoma" w:hAnsi="Tahoma" w:cs="Tahoma" w:hint="cs"/>
          <w:sz w:val="18"/>
          <w:szCs w:val="18"/>
          <w:rtl/>
        </w:rPr>
        <w:t xml:space="preserve"> והמקרקעין</w:t>
      </w:r>
      <w:r w:rsidRPr="000A798D">
        <w:rPr>
          <w:rFonts w:ascii="Tahoma" w:hAnsi="Tahoma" w:cs="Tahoma"/>
          <w:sz w:val="18"/>
          <w:szCs w:val="18"/>
          <w:rtl/>
        </w:rPr>
        <w:t>.</w:t>
      </w:r>
      <w:r w:rsidRPr="000A798D">
        <w:rPr>
          <w:rFonts w:ascii="Tahoma" w:hAnsi="Tahoma" w:cs="Tahoma" w:hint="cs"/>
          <w:sz w:val="18"/>
          <w:szCs w:val="18"/>
          <w:rtl/>
        </w:rPr>
        <w:t xml:space="preserve"> </w:t>
      </w:r>
    </w:p>
    <w:p w:rsidR="00EC554F" w:rsidRPr="00F571AD" w:rsidP="00F571AD" w14:paraId="2C705E35" w14:textId="6070A5F3">
      <w:pPr>
        <w:widowControl w:val="0"/>
        <w:tabs>
          <w:tab w:val="left" w:pos="9604"/>
        </w:tabs>
        <w:spacing w:before="240" w:line="276" w:lineRule="auto"/>
        <w:ind w:left="-1"/>
        <w:rPr>
          <w:rFonts w:ascii="Tahoma" w:hAnsi="Tahoma" w:cs="Tahoma"/>
          <w:sz w:val="18"/>
          <w:szCs w:val="18"/>
          <w:rtl/>
        </w:rPr>
      </w:pPr>
      <w:r w:rsidRPr="00F571AD">
        <w:rPr>
          <w:rFonts w:ascii="Tahoma" w:hAnsi="Tahoma" w:cs="Tahoma" w:hint="eastAsia"/>
          <w:sz w:val="18"/>
          <w:szCs w:val="18"/>
          <w:rtl/>
        </w:rPr>
        <w:t>מכלול</w:t>
      </w:r>
      <w:r w:rsidRPr="00F571AD">
        <w:rPr>
          <w:rFonts w:ascii="Tahoma" w:hAnsi="Tahoma" w:cs="Tahoma"/>
          <w:sz w:val="18"/>
          <w:szCs w:val="18"/>
          <w:rtl/>
        </w:rPr>
        <w:t xml:space="preserve"> ממצאי הביקורת מלמדים על כשל רגולטורי ואכיפתי רב-מערכתי מצד הגורמים </w:t>
      </w:r>
      <w:r w:rsidRPr="00F571AD">
        <w:rPr>
          <w:rFonts w:ascii="Tahoma" w:hAnsi="Tahoma" w:cs="Tahoma" w:hint="eastAsia"/>
          <w:sz w:val="18"/>
          <w:szCs w:val="18"/>
          <w:rtl/>
        </w:rPr>
        <w:t>המאסדרים</w:t>
      </w:r>
      <w:r w:rsidRPr="00F571AD">
        <w:rPr>
          <w:rFonts w:ascii="Tahoma" w:hAnsi="Tahoma" w:cs="Tahoma"/>
          <w:sz w:val="18"/>
          <w:szCs w:val="18"/>
          <w:rtl/>
        </w:rPr>
        <w:t xml:space="preserve">, ובראשם המשרד </w:t>
      </w:r>
      <w:r w:rsidRPr="00F571AD">
        <w:rPr>
          <w:rFonts w:ascii="Tahoma" w:hAnsi="Tahoma" w:cs="Tahoma" w:hint="eastAsia"/>
          <w:sz w:val="18"/>
          <w:szCs w:val="18"/>
          <w:rtl/>
        </w:rPr>
        <w:t>להג</w:t>
      </w:r>
      <w:r w:rsidRPr="00F571AD">
        <w:rPr>
          <w:rFonts w:ascii="Tahoma" w:hAnsi="Tahoma" w:cs="Tahoma"/>
          <w:sz w:val="18"/>
          <w:szCs w:val="18"/>
          <w:rtl/>
        </w:rPr>
        <w:t>"ס</w:t>
      </w:r>
      <w:r w:rsidRPr="00F571AD">
        <w:rPr>
          <w:rFonts w:ascii="Tahoma" w:hAnsi="Tahoma" w:cs="Tahoma"/>
          <w:sz w:val="18"/>
          <w:szCs w:val="18"/>
          <w:rtl/>
        </w:rPr>
        <w:t xml:space="preserve">, משרד </w:t>
      </w:r>
      <w:r w:rsidRPr="00F571AD">
        <w:rPr>
          <w:rFonts w:ascii="Tahoma" w:hAnsi="Tahoma" w:cs="Tahoma" w:hint="eastAsia"/>
          <w:sz w:val="18"/>
          <w:szCs w:val="18"/>
          <w:rtl/>
        </w:rPr>
        <w:t>האנרגייה</w:t>
      </w:r>
      <w:r w:rsidRPr="00F571AD">
        <w:rPr>
          <w:rFonts w:ascii="Tahoma" w:hAnsi="Tahoma" w:cs="Tahoma"/>
          <w:sz w:val="18"/>
          <w:szCs w:val="18"/>
          <w:rtl/>
        </w:rPr>
        <w:t xml:space="preserve">, </w:t>
      </w:r>
      <w:r w:rsidRPr="00F571AD">
        <w:rPr>
          <w:rFonts w:ascii="Tahoma" w:hAnsi="Tahoma" w:cs="Tahoma" w:hint="eastAsia"/>
          <w:sz w:val="18"/>
          <w:szCs w:val="18"/>
          <w:rtl/>
        </w:rPr>
        <w:t>רמ</w:t>
      </w:r>
      <w:r w:rsidRPr="00F571AD">
        <w:rPr>
          <w:rFonts w:ascii="Tahoma" w:hAnsi="Tahoma" w:cs="Tahoma"/>
          <w:sz w:val="18"/>
          <w:szCs w:val="18"/>
          <w:rtl/>
        </w:rPr>
        <w:t>"י</w:t>
      </w:r>
      <w:r w:rsidRPr="00F571AD">
        <w:rPr>
          <w:rFonts w:ascii="Tahoma" w:hAnsi="Tahoma" w:cs="Tahoma"/>
          <w:sz w:val="18"/>
          <w:szCs w:val="18"/>
          <w:rtl/>
        </w:rPr>
        <w:t xml:space="preserve"> ומשרד האוצר</w:t>
      </w:r>
      <w:r w:rsidRPr="00F571AD">
        <w:rPr>
          <w:rFonts w:ascii="Tahoma" w:hAnsi="Tahoma" w:cs="Tahoma" w:hint="cs"/>
          <w:sz w:val="18"/>
          <w:szCs w:val="18"/>
          <w:rtl/>
        </w:rPr>
        <w:t>,</w:t>
      </w:r>
      <w:r w:rsidRPr="00F571AD">
        <w:rPr>
          <w:rFonts w:ascii="Tahoma" w:hAnsi="Tahoma" w:cs="Tahoma"/>
          <w:sz w:val="18"/>
          <w:szCs w:val="18"/>
          <w:rtl/>
        </w:rPr>
        <w:t xml:space="preserve"> בארבעה תחומים עיקריים הנוגעים לליבת הפעילות שמקיימת </w:t>
      </w:r>
      <w:r w:rsidRPr="00F571AD">
        <w:rPr>
          <w:rFonts w:ascii="Tahoma" w:hAnsi="Tahoma" w:cs="Tahoma" w:hint="eastAsia"/>
          <w:sz w:val="18"/>
          <w:szCs w:val="18"/>
          <w:rtl/>
        </w:rPr>
        <w:t>מי</w:t>
      </w:r>
      <w:r w:rsidRPr="00F571AD">
        <w:rPr>
          <w:rFonts w:ascii="Tahoma" w:hAnsi="Tahoma" w:cs="Tahoma"/>
          <w:sz w:val="18"/>
          <w:szCs w:val="18"/>
          <w:rtl/>
        </w:rPr>
        <w:t>"ה</w:t>
      </w:r>
      <w:r w:rsidRPr="00F571AD">
        <w:rPr>
          <w:rFonts w:ascii="Tahoma" w:hAnsi="Tahoma" w:cs="Tahoma"/>
          <w:sz w:val="18"/>
          <w:szCs w:val="18"/>
          <w:rtl/>
        </w:rPr>
        <w:t xml:space="preserve"> בשטח הזיכיון: (א)</w:t>
      </w:r>
      <w:r w:rsidR="00C90525">
        <w:rPr>
          <w:rFonts w:ascii="Tahoma" w:hAnsi="Tahoma" w:cs="Tahoma" w:hint="cs"/>
          <w:sz w:val="18"/>
          <w:szCs w:val="18"/>
          <w:rtl/>
        </w:rPr>
        <w:t xml:space="preserve"> </w:t>
      </w:r>
      <w:r w:rsidRPr="00F571AD">
        <w:rPr>
          <w:rFonts w:ascii="Tahoma" w:hAnsi="Tahoma" w:cs="Tahoma"/>
          <w:sz w:val="18"/>
          <w:szCs w:val="18"/>
          <w:rtl/>
        </w:rPr>
        <w:t xml:space="preserve">אסדרה של היבטים סביבתיים בתנאי רישיון העסק של </w:t>
      </w:r>
      <w:r w:rsidRPr="00F571AD">
        <w:rPr>
          <w:rFonts w:ascii="Tahoma" w:hAnsi="Tahoma" w:cs="Tahoma" w:hint="eastAsia"/>
          <w:sz w:val="18"/>
          <w:szCs w:val="18"/>
          <w:rtl/>
        </w:rPr>
        <w:t>מי</w:t>
      </w:r>
      <w:r w:rsidRPr="00F571AD">
        <w:rPr>
          <w:rFonts w:ascii="Tahoma" w:hAnsi="Tahoma" w:cs="Tahoma"/>
          <w:sz w:val="18"/>
          <w:szCs w:val="18"/>
          <w:rtl/>
        </w:rPr>
        <w:t>"ה</w:t>
      </w:r>
      <w:r w:rsidRPr="00F571AD">
        <w:rPr>
          <w:rFonts w:ascii="Tahoma" w:hAnsi="Tahoma" w:cs="Tahoma"/>
          <w:sz w:val="18"/>
          <w:szCs w:val="18"/>
          <w:rtl/>
        </w:rPr>
        <w:t xml:space="preserve">; (ב) </w:t>
      </w:r>
      <w:r w:rsidRPr="00F571AD">
        <w:rPr>
          <w:rFonts w:ascii="Tahoma" w:hAnsi="Tahoma" w:cs="Tahoma" w:hint="eastAsia"/>
          <w:sz w:val="18"/>
          <w:szCs w:val="18"/>
          <w:rtl/>
        </w:rPr>
        <w:t>אסדרה</w:t>
      </w:r>
      <w:r w:rsidRPr="00F571AD">
        <w:rPr>
          <w:rFonts w:ascii="Tahoma" w:hAnsi="Tahoma" w:cs="Tahoma"/>
          <w:sz w:val="18"/>
          <w:szCs w:val="18"/>
          <w:rtl/>
        </w:rPr>
        <w:t xml:space="preserve"> </w:t>
      </w:r>
      <w:r w:rsidRPr="00F571AD">
        <w:rPr>
          <w:rFonts w:ascii="Tahoma" w:hAnsi="Tahoma" w:cs="Tahoma" w:hint="eastAsia"/>
          <w:sz w:val="18"/>
          <w:szCs w:val="18"/>
          <w:rtl/>
        </w:rPr>
        <w:t>של</w:t>
      </w:r>
      <w:r w:rsidRPr="00F571AD">
        <w:rPr>
          <w:rFonts w:ascii="Tahoma" w:hAnsi="Tahoma" w:cs="Tahoma"/>
          <w:sz w:val="18"/>
          <w:szCs w:val="18"/>
          <w:rtl/>
        </w:rPr>
        <w:t xml:space="preserve"> </w:t>
      </w:r>
      <w:r w:rsidRPr="00F571AD">
        <w:rPr>
          <w:rFonts w:ascii="Tahoma" w:hAnsi="Tahoma" w:cs="Tahoma" w:hint="eastAsia"/>
          <w:sz w:val="18"/>
          <w:szCs w:val="18"/>
          <w:rtl/>
        </w:rPr>
        <w:t>פעילות</w:t>
      </w:r>
      <w:r w:rsidRPr="00F571AD">
        <w:rPr>
          <w:rFonts w:ascii="Tahoma" w:hAnsi="Tahoma" w:cs="Tahoma"/>
          <w:sz w:val="18"/>
          <w:szCs w:val="18"/>
          <w:rtl/>
        </w:rPr>
        <w:t xml:space="preserve"> </w:t>
      </w:r>
      <w:r w:rsidRPr="00F571AD">
        <w:rPr>
          <w:rFonts w:ascii="Tahoma" w:hAnsi="Tahoma" w:cs="Tahoma" w:hint="eastAsia"/>
          <w:sz w:val="18"/>
          <w:szCs w:val="18"/>
          <w:rtl/>
        </w:rPr>
        <w:t>הכרייה</w:t>
      </w:r>
      <w:r w:rsidRPr="00F571AD">
        <w:rPr>
          <w:rFonts w:ascii="Tahoma" w:hAnsi="Tahoma" w:cs="Tahoma"/>
          <w:sz w:val="18"/>
          <w:szCs w:val="18"/>
          <w:rtl/>
        </w:rPr>
        <w:t xml:space="preserve"> </w:t>
      </w:r>
      <w:r w:rsidRPr="00AE7940" w:rsidR="00AE7940">
        <w:rPr>
          <w:rFonts w:ascii="Tahoma" w:hAnsi="Tahoma" w:cs="Tahoma"/>
          <w:sz w:val="18"/>
          <w:szCs w:val="18"/>
          <w:rtl/>
        </w:rPr>
        <w:t>שמי"ה</w:t>
      </w:r>
      <w:r w:rsidRPr="00F571AD">
        <w:rPr>
          <w:rFonts w:ascii="Tahoma" w:hAnsi="Tahoma" w:cs="Tahoma"/>
          <w:sz w:val="18"/>
          <w:szCs w:val="18"/>
          <w:rtl/>
        </w:rPr>
        <w:t xml:space="preserve"> </w:t>
      </w:r>
      <w:r w:rsidRPr="00F571AD">
        <w:rPr>
          <w:rFonts w:ascii="Tahoma" w:hAnsi="Tahoma" w:cs="Tahoma" w:hint="eastAsia"/>
          <w:sz w:val="18"/>
          <w:szCs w:val="18"/>
          <w:rtl/>
        </w:rPr>
        <w:t>מבצעת</w:t>
      </w:r>
      <w:r w:rsidRPr="00F571AD">
        <w:rPr>
          <w:rFonts w:ascii="Tahoma" w:hAnsi="Tahoma" w:cs="Tahoma"/>
          <w:sz w:val="18"/>
          <w:szCs w:val="18"/>
          <w:rtl/>
        </w:rPr>
        <w:t xml:space="preserve">; (ג) </w:t>
      </w:r>
      <w:r w:rsidR="00830EA0">
        <w:rPr>
          <w:rFonts w:ascii="Tahoma" w:hAnsi="Tahoma" w:cs="Tahoma"/>
          <w:sz w:val="18"/>
          <w:szCs w:val="18"/>
          <w:rtl/>
        </w:rPr>
        <w:softHyphen/>
      </w:r>
      <w:r w:rsidR="00830EA0">
        <w:rPr>
          <w:rFonts w:ascii="Tahoma" w:hAnsi="Tahoma" w:cs="Tahoma"/>
          <w:sz w:val="18"/>
          <w:szCs w:val="18"/>
          <w:rtl/>
        </w:rPr>
        <w:softHyphen/>
      </w:r>
      <w:r w:rsidRPr="00F571AD">
        <w:rPr>
          <w:rFonts w:ascii="Tahoma" w:hAnsi="Tahoma" w:cs="Tahoma"/>
          <w:sz w:val="18"/>
          <w:szCs w:val="18"/>
          <w:rtl/>
        </w:rPr>
        <w:t xml:space="preserve">אסדרה של השימושים </w:t>
      </w:r>
      <w:r w:rsidRPr="00F571AD">
        <w:rPr>
          <w:rFonts w:ascii="Tahoma" w:hAnsi="Tahoma" w:cs="Tahoma" w:hint="eastAsia"/>
          <w:sz w:val="18"/>
          <w:szCs w:val="18"/>
          <w:rtl/>
        </w:rPr>
        <w:t>שמי</w:t>
      </w:r>
      <w:r w:rsidRPr="00F571AD">
        <w:rPr>
          <w:rFonts w:ascii="Tahoma" w:hAnsi="Tahoma" w:cs="Tahoma"/>
          <w:sz w:val="18"/>
          <w:szCs w:val="18"/>
          <w:rtl/>
        </w:rPr>
        <w:t>"ה</w:t>
      </w:r>
      <w:r w:rsidRPr="00F571AD">
        <w:rPr>
          <w:rFonts w:ascii="Tahoma" w:hAnsi="Tahoma" w:cs="Tahoma"/>
          <w:sz w:val="18"/>
          <w:szCs w:val="18"/>
          <w:rtl/>
        </w:rPr>
        <w:t xml:space="preserve"> מבצעת ב</w:t>
      </w:r>
      <w:r w:rsidRPr="00F571AD">
        <w:rPr>
          <w:rFonts w:ascii="Tahoma" w:hAnsi="Tahoma" w:cs="Tahoma" w:hint="cs"/>
          <w:sz w:val="18"/>
          <w:szCs w:val="18"/>
          <w:rtl/>
        </w:rPr>
        <w:t>תחום הזיכיון</w:t>
      </w:r>
      <w:r w:rsidRPr="00F571AD">
        <w:rPr>
          <w:rFonts w:ascii="Tahoma" w:hAnsi="Tahoma" w:cs="Tahoma"/>
          <w:sz w:val="18"/>
          <w:szCs w:val="18"/>
          <w:rtl/>
        </w:rPr>
        <w:t>; (</w:t>
      </w:r>
      <w:r w:rsidRPr="00F571AD">
        <w:rPr>
          <w:rFonts w:ascii="Tahoma" w:hAnsi="Tahoma" w:cs="Tahoma" w:hint="cs"/>
          <w:sz w:val="18"/>
          <w:szCs w:val="18"/>
          <w:rtl/>
        </w:rPr>
        <w:t>ד</w:t>
      </w:r>
      <w:r w:rsidRPr="00F571AD">
        <w:rPr>
          <w:rFonts w:ascii="Tahoma" w:hAnsi="Tahoma" w:cs="Tahoma"/>
          <w:sz w:val="18"/>
          <w:szCs w:val="18"/>
          <w:rtl/>
        </w:rPr>
        <w:t xml:space="preserve">) </w:t>
      </w:r>
      <w:r w:rsidRPr="00E97F6C" w:rsidR="00E97F6C">
        <w:rPr>
          <w:rFonts w:ascii="Tahoma" w:hAnsi="Tahoma" w:cs="Tahoma"/>
          <w:sz w:val="18"/>
          <w:szCs w:val="18"/>
          <w:rtl/>
        </w:rPr>
        <w:t>אסדרת</w:t>
      </w:r>
      <w:r w:rsidRPr="00E97F6C" w:rsidR="00E97F6C">
        <w:rPr>
          <w:rFonts w:ascii="Tahoma" w:hAnsi="Tahoma" w:cs="Tahoma"/>
          <w:sz w:val="18"/>
          <w:szCs w:val="18"/>
          <w:rtl/>
        </w:rPr>
        <w:t xml:space="preserve"> הטיפול בפסולת</w:t>
      </w:r>
      <w:r w:rsidR="00E97F6C">
        <w:rPr>
          <w:rFonts w:ascii="Tahoma" w:hAnsi="Tahoma" w:cs="Tahoma" w:hint="cs"/>
          <w:sz w:val="18"/>
          <w:szCs w:val="18"/>
          <w:rtl/>
        </w:rPr>
        <w:t xml:space="preserve"> </w:t>
      </w:r>
      <w:r w:rsidRPr="00F571AD">
        <w:rPr>
          <w:rFonts w:ascii="Tahoma" w:hAnsi="Tahoma" w:cs="Tahoma" w:hint="cs"/>
          <w:sz w:val="18"/>
          <w:szCs w:val="18"/>
          <w:rtl/>
        </w:rPr>
        <w:t>שמי"ה</w:t>
      </w:r>
      <w:r w:rsidRPr="00F571AD">
        <w:rPr>
          <w:rFonts w:ascii="Tahoma" w:hAnsi="Tahoma" w:cs="Tahoma" w:hint="cs"/>
          <w:sz w:val="18"/>
          <w:szCs w:val="18"/>
          <w:rtl/>
        </w:rPr>
        <w:t xml:space="preserve"> יצרה</w:t>
      </w:r>
      <w:r w:rsidRPr="00F571AD">
        <w:rPr>
          <w:rFonts w:ascii="Tahoma" w:hAnsi="Tahoma" w:cs="Tahoma"/>
          <w:sz w:val="18"/>
          <w:szCs w:val="18"/>
          <w:rtl/>
        </w:rPr>
        <w:t xml:space="preserve">. מדובר בכשלים </w:t>
      </w:r>
      <w:r w:rsidRPr="00F571AD">
        <w:rPr>
          <w:rFonts w:ascii="Tahoma" w:hAnsi="Tahoma" w:cs="Tahoma" w:hint="eastAsia"/>
          <w:sz w:val="18"/>
          <w:szCs w:val="18"/>
          <w:rtl/>
        </w:rPr>
        <w:t>אסדרתיים</w:t>
      </w:r>
      <w:r w:rsidRPr="00F571AD">
        <w:rPr>
          <w:rFonts w:ascii="Tahoma" w:hAnsi="Tahoma" w:cs="Tahoma"/>
          <w:sz w:val="18"/>
          <w:szCs w:val="18"/>
          <w:rtl/>
        </w:rPr>
        <w:t xml:space="preserve"> חמורים שמשכם והצטברותם הכוללת מעידים על אוזלת יד ובעיית משילות משמעותית בפיקוח על זיכיון ים המלח ובניהול שלו </w:t>
      </w:r>
      <w:r w:rsidRPr="00AE7940" w:rsidR="00AE7940">
        <w:rPr>
          <w:rFonts w:ascii="Tahoma" w:hAnsi="Tahoma" w:cs="Tahoma"/>
          <w:sz w:val="18"/>
          <w:szCs w:val="18"/>
          <w:rtl/>
        </w:rPr>
        <w:t>בהיבטים בתחומי הסביבה והמקרקעין, תוך פגיעה חמורה בקופה הציבורית, כתוצאה מאי-גביית תשלומים הנאמדים בעשרות מיליוני שקלים בשנה, מבלי שנבחנו ההצדקות להיעדר הגבייה.</w:t>
      </w:r>
    </w:p>
    <w:p w:rsidR="00EC554F" w:rsidRPr="000A798D" w:rsidP="00EC554F" w14:paraId="7EA5E4D6" w14:textId="1606C82E">
      <w:pPr>
        <w:widowControl w:val="0"/>
        <w:tabs>
          <w:tab w:val="left" w:pos="9604"/>
        </w:tabs>
        <w:spacing w:before="240" w:line="276" w:lineRule="auto"/>
        <w:ind w:left="-1"/>
        <w:rPr>
          <w:rFonts w:ascii="Tahoma" w:hAnsi="Tahoma" w:cs="Tahoma"/>
          <w:sz w:val="18"/>
          <w:szCs w:val="18"/>
          <w:rtl/>
        </w:rPr>
      </w:pPr>
      <w:r w:rsidRPr="000A798D">
        <w:rPr>
          <w:rFonts w:ascii="Tahoma" w:hAnsi="Tahoma" w:cs="Tahoma" w:hint="cs"/>
          <w:sz w:val="18"/>
          <w:szCs w:val="18"/>
          <w:rtl/>
        </w:rPr>
        <w:t xml:space="preserve">על משרד האוצר, המוביל את עבודת המטה הממשלתית לגיבוש הסדר זיכיון עתידי לאור סיום הזיכיון הנוכחי בשנת 2030, בשיתוף המשרד </w:t>
      </w:r>
      <w:r w:rsidRPr="000A798D">
        <w:rPr>
          <w:rFonts w:ascii="Tahoma" w:hAnsi="Tahoma" w:cs="Tahoma" w:hint="cs"/>
          <w:sz w:val="18"/>
          <w:szCs w:val="18"/>
          <w:rtl/>
        </w:rPr>
        <w:t>להג"ס</w:t>
      </w:r>
      <w:r w:rsidRPr="000A798D">
        <w:rPr>
          <w:rFonts w:ascii="Tahoma" w:hAnsi="Tahoma" w:cs="Tahoma" w:hint="cs"/>
          <w:sz w:val="18"/>
          <w:szCs w:val="18"/>
          <w:rtl/>
        </w:rPr>
        <w:t xml:space="preserve">, לבחון כיצד ניתן לתת מענה לסוגיות השונות שהועלו בדוח, וכן לבחון את הצורך בהקמת גוף </w:t>
      </w:r>
      <w:r w:rsidRPr="000A798D">
        <w:rPr>
          <w:rFonts w:ascii="Tahoma" w:hAnsi="Tahoma" w:cs="Tahoma" w:hint="cs"/>
          <w:sz w:val="18"/>
          <w:szCs w:val="18"/>
          <w:rtl/>
        </w:rPr>
        <w:t>מתכלל</w:t>
      </w:r>
      <w:r w:rsidRPr="000A798D">
        <w:rPr>
          <w:rFonts w:ascii="Tahoma" w:hAnsi="Tahoma" w:cs="Tahoma" w:hint="cs"/>
          <w:sz w:val="18"/>
          <w:szCs w:val="18"/>
          <w:rtl/>
        </w:rPr>
        <w:t xml:space="preserve"> ייעודי שיסייע בניהול הזיכיון העתידי ובפיקוח עליו. </w:t>
      </w:r>
    </w:p>
    <w:p w:rsidR="006B37A9" w:rsidP="00F571AD" w14:paraId="7B677500" w14:textId="00012628">
      <w:pPr>
        <w:widowControl w:val="0"/>
        <w:tabs>
          <w:tab w:val="left" w:pos="9604"/>
        </w:tabs>
        <w:spacing w:before="240" w:line="276" w:lineRule="auto"/>
        <w:ind w:left="-1"/>
        <w:rPr>
          <w:rFonts w:ascii="Tahoma" w:hAnsi="Tahoma" w:cs="Tahoma"/>
          <w:sz w:val="18"/>
          <w:szCs w:val="18"/>
          <w:rtl/>
        </w:rPr>
      </w:pPr>
      <w:r w:rsidRPr="00F571AD">
        <w:rPr>
          <w:rFonts w:ascii="Tahoma" w:hAnsi="Tahoma" w:cs="Tahoma" w:hint="eastAsia"/>
          <w:sz w:val="18"/>
          <w:szCs w:val="18"/>
          <w:rtl/>
        </w:rPr>
        <w:t>אוצרות</w:t>
      </w:r>
      <w:r w:rsidRPr="00F571AD">
        <w:rPr>
          <w:rFonts w:ascii="Tahoma" w:hAnsi="Tahoma" w:cs="Tahoma"/>
          <w:sz w:val="18"/>
          <w:szCs w:val="18"/>
          <w:rtl/>
        </w:rPr>
        <w:t xml:space="preserve"> הטבע של ים המלח שייכים בראש ובראשונה לציבור. יש בממצאים החמורים והרבים שהועלו בדוח כדי להדאיג כל אזרח ואזרח במדינה בשל האופן הלקוי שבו נוהל זיכיון ים המלח עד כה, בלי שנשמרו האינטרסים הסביבתיים והכלכליים כיאות, בניגוד לעקרון </w:t>
      </w:r>
      <w:r w:rsidRPr="00AE7940" w:rsidR="00AE7940">
        <w:rPr>
          <w:rFonts w:ascii="Tahoma" w:hAnsi="Tahoma" w:cs="Tahoma"/>
          <w:sz w:val="18"/>
          <w:szCs w:val="18"/>
          <w:rtl/>
        </w:rPr>
        <w:t>"המזהם משלם"</w:t>
      </w:r>
      <w:r w:rsidRPr="00F571AD">
        <w:rPr>
          <w:rFonts w:ascii="Tahoma" w:hAnsi="Tahoma" w:cs="Tahoma"/>
          <w:sz w:val="18"/>
          <w:szCs w:val="18"/>
          <w:rtl/>
        </w:rPr>
        <w:t xml:space="preserve"> ותוך פגיעה בצדק החלוקתי. משרד מבקר המדינה מצפה מכל משרדי הממשלה ושאר הגורמים שהוזכרו בדוח לפעול בנחישות לתיקון הליקויים שהועלו. בעניין זה נדרשים גם השרים והמנכ"לים האחראים להיות מעורבים בהליך תיקון הליקויים ויישום ההמלצות בדוח</w:t>
      </w:r>
      <w:r>
        <w:rPr>
          <w:rFonts w:ascii="Tahoma" w:hAnsi="Tahoma" w:cs="Tahoma" w:hint="cs"/>
          <w:sz w:val="18"/>
          <w:szCs w:val="18"/>
          <w:rtl/>
        </w:rPr>
        <w:t>.</w:t>
      </w:r>
    </w:p>
    <w:p w:rsidR="006B37A9" w14:paraId="6AFF755D" w14:textId="77777777">
      <w:pPr>
        <w:bidi w:val="0"/>
        <w:spacing w:after="200" w:line="276" w:lineRule="auto"/>
        <w:rPr>
          <w:rFonts w:ascii="Tahoma" w:hAnsi="Tahoma" w:cs="Tahoma"/>
          <w:sz w:val="18"/>
          <w:szCs w:val="18"/>
          <w:rtl/>
        </w:rPr>
      </w:pPr>
      <w:r>
        <w:rPr>
          <w:rFonts w:ascii="Tahoma" w:hAnsi="Tahoma" w:cs="Tahoma"/>
          <w:sz w:val="18"/>
          <w:szCs w:val="18"/>
          <w:rtl/>
        </w:rPr>
        <w:br w:type="page"/>
      </w:r>
    </w:p>
    <w:p w:rsidR="006B37A9" w:rsidP="00F571AD" w14:paraId="6088C705" w14:textId="53448E8A">
      <w:pPr>
        <w:widowControl w:val="0"/>
        <w:tabs>
          <w:tab w:val="left" w:pos="9604"/>
        </w:tabs>
        <w:spacing w:before="240" w:line="276" w:lineRule="auto"/>
        <w:ind w:left="-1"/>
        <w:rPr>
          <w:rFonts w:ascii="Tahoma" w:hAnsi="Tahoma" w:cs="Tahoma"/>
          <w:sz w:val="18"/>
          <w:szCs w:val="18"/>
          <w:rtl/>
        </w:rPr>
      </w:pPr>
      <w:r>
        <w:rPr>
          <w:rFonts w:ascii="Tahoma" w:hAnsi="Tahoma" w:cs="Tahoma"/>
          <w:noProof/>
          <w:sz w:val="18"/>
          <w:szCs w:val="18"/>
          <w:rtl/>
          <w:lang w:val="he-IL"/>
        </w:rPr>
        <mc:AlternateContent>
          <mc:Choice Requires="wps">
            <w:drawing>
              <wp:anchor distT="0" distB="0" distL="114300" distR="114300" simplePos="0" relativeHeight="251714560" behindDoc="0" locked="0" layoutInCell="1" allowOverlap="1">
                <wp:simplePos x="0" y="0"/>
                <wp:positionH relativeFrom="column">
                  <wp:posOffset>-1432088</wp:posOffset>
                </wp:positionH>
                <wp:positionV relativeFrom="paragraph">
                  <wp:posOffset>-730565</wp:posOffset>
                </wp:positionV>
                <wp:extent cx="6368432" cy="800651"/>
                <wp:effectExtent l="0" t="0" r="6985" b="12700"/>
                <wp:wrapNone/>
                <wp:docPr id="397841963" name="מלבן 29"/>
                <wp:cNvGraphicFramePr/>
                <a:graphic xmlns:a="http://schemas.openxmlformats.org/drawingml/2006/main">
                  <a:graphicData uri="http://schemas.microsoft.com/office/word/2010/wordprocessingShape">
                    <wps:wsp xmlns:wps="http://schemas.microsoft.com/office/word/2010/wordprocessingShape">
                      <wps:cNvSpPr/>
                      <wps:spPr>
                        <a:xfrm>
                          <a:off x="0" y="0"/>
                          <a:ext cx="6368432" cy="800651"/>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ect id="מלבן 29" o:spid="_x0000_s1035" style="width:501.45pt;height:63.05pt;margin-top:-57.5pt;margin-left:-112.75pt;mso-height-percent:0;mso-height-relative:margin;mso-wrap-distance-bottom:0;mso-wrap-distance-left:9pt;mso-wrap-distance-right:9pt;mso-wrap-distance-top:0;mso-wrap-style:square;position:absolute;visibility:visible;v-text-anchor:middle;z-index:251715584" fillcolor="white" strokecolor="white" strokeweight="1.25pt"/>
            </w:pict>
          </mc:Fallback>
        </mc:AlternateContent>
      </w:r>
    </w:p>
    <w:p w:rsidR="006734B0" w:rsidRPr="00F571AD" w:rsidP="00F571AD" w14:paraId="3D558F60" w14:textId="081D289E">
      <w:pPr>
        <w:widowControl w:val="0"/>
        <w:tabs>
          <w:tab w:val="left" w:pos="9604"/>
        </w:tabs>
        <w:spacing w:before="240" w:line="276" w:lineRule="auto"/>
        <w:ind w:left="-1"/>
        <w:rPr>
          <w:rFonts w:ascii="Tahoma" w:hAnsi="Tahoma" w:cs="Tahoma"/>
          <w:sz w:val="18"/>
          <w:szCs w:val="18"/>
          <w:rtl/>
        </w:rPr>
      </w:pPr>
      <w:r>
        <w:rPr>
          <w:rFonts w:ascii="Tahoma" w:hAnsi="Tahoma" w:cs="Tahoma"/>
          <w:noProof/>
          <w:sz w:val="18"/>
          <w:szCs w:val="18"/>
          <w:rtl/>
          <w:lang w:val="he-IL"/>
        </w:rPr>
        <mc:AlternateContent>
          <mc:Choice Requires="wps">
            <w:drawing>
              <wp:anchor distT="0" distB="0" distL="114300" distR="114300" simplePos="0" relativeHeight="251716608" behindDoc="0" locked="0" layoutInCell="1" allowOverlap="1">
                <wp:simplePos x="0" y="0"/>
                <wp:positionH relativeFrom="column">
                  <wp:posOffset>1740305</wp:posOffset>
                </wp:positionH>
                <wp:positionV relativeFrom="paragraph">
                  <wp:posOffset>6862439</wp:posOffset>
                </wp:positionV>
                <wp:extent cx="3641416" cy="800651"/>
                <wp:effectExtent l="0" t="0" r="16510" b="12700"/>
                <wp:wrapNone/>
                <wp:docPr id="1448914497" name="מלבן 29"/>
                <wp:cNvGraphicFramePr/>
                <a:graphic xmlns:a="http://schemas.openxmlformats.org/drawingml/2006/main">
                  <a:graphicData uri="http://schemas.microsoft.com/office/word/2010/wordprocessingShape">
                    <wps:wsp xmlns:wps="http://schemas.microsoft.com/office/word/2010/wordprocessingShape">
                      <wps:cNvSpPr/>
                      <wps:spPr>
                        <a:xfrm>
                          <a:off x="0" y="0"/>
                          <a:ext cx="3641416" cy="800651"/>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מלבן 29" o:spid="_x0000_s1036" style="width:286.75pt;height:63.05pt;margin-top:540.35pt;margin-left:137.05pt;mso-height-percent:0;mso-height-relative:margin;mso-width-percent:0;mso-width-relative:margin;mso-wrap-distance-bottom:0;mso-wrap-distance-left:9pt;mso-wrap-distance-right:9pt;mso-wrap-distance-top:0;mso-wrap-style:square;position:absolute;visibility:visible;v-text-anchor:middle;z-index:251717632" fillcolor="white" strokecolor="white" strokeweight="1.25pt"/>
            </w:pict>
          </mc:Fallback>
        </mc:AlternateContent>
      </w:r>
      <w:r w:rsidRPr="00F571AD" w:rsidR="00EC554F">
        <w:rPr>
          <w:rFonts w:ascii="Tahoma" w:hAnsi="Tahoma" w:cs="Tahoma"/>
          <w:sz w:val="18"/>
          <w:szCs w:val="18"/>
          <w:rtl/>
        </w:rPr>
        <w:t xml:space="preserve"> </w:t>
      </w:r>
    </w:p>
    <w:p w:rsidR="006734B0" w:rsidP="006734B0" w14:paraId="09DB8205" w14:textId="77777777">
      <w:pPr>
        <w:widowControl w:val="0"/>
        <w:tabs>
          <w:tab w:val="left" w:pos="9604"/>
        </w:tabs>
        <w:spacing w:before="240" w:line="276" w:lineRule="auto"/>
        <w:ind w:left="-1"/>
        <w:rPr>
          <w:rFonts w:ascii="Tahoma" w:hAnsi="Tahoma" w:cs="Tahoma"/>
          <w:sz w:val="18"/>
          <w:szCs w:val="18"/>
          <w:rtl/>
        </w:rPr>
        <w:sectPr w:rsidSect="00C72593">
          <w:headerReference w:type="even" r:id="rId33"/>
          <w:footerReference w:type="even" r:id="rId34"/>
          <w:pgSz w:w="11906" w:h="16838" w:code="9"/>
          <w:pgMar w:top="3062" w:right="2268" w:bottom="2552" w:left="2268" w:header="1134" w:footer="1361" w:gutter="0"/>
          <w:pgNumType w:start="11"/>
          <w:cols w:space="708"/>
          <w:bidi/>
          <w:rtlGutter/>
          <w:docGrid w:linePitch="360"/>
        </w:sectPr>
      </w:pPr>
    </w:p>
    <w:p w:rsidR="006734B0" w:rsidRPr="007D6DEE" w:rsidP="006734B0" w14:paraId="4517A952" w14:textId="7C87889B">
      <w:pPr>
        <w:pStyle w:val="731"/>
        <w:bidi/>
        <w:rPr>
          <w:rtl/>
        </w:rPr>
      </w:pPr>
      <w:r w:rsidRPr="006734B0">
        <w:rPr>
          <w:rtl/>
        </w:rPr>
        <w:t>ניהול זיכיון ים המלח והפיקוח עליו - היבטים בתחומי הסביבה והמקרקעין</w:t>
      </w:r>
      <w:r>
        <w:rPr>
          <w:rFonts w:hint="cs"/>
          <w:rtl/>
        </w:rPr>
        <w:t xml:space="preserve"> </w:t>
      </w:r>
    </w:p>
    <w:p w:rsidR="006734B0" w:rsidP="006734B0" w14:paraId="37C78EC6" w14:textId="77777777">
      <w:pPr>
        <w:pStyle w:val="733155"/>
        <w:jc w:val="both"/>
        <w:rPr>
          <w:rtl/>
        </w:rPr>
      </w:pPr>
      <w:r>
        <w:rPr>
          <w:rFonts w:hint="cs"/>
          <w:rtl/>
        </w:rPr>
        <w:t>מבוא</w:t>
      </w:r>
    </w:p>
    <w:p w:rsidR="006734B0" w:rsidRPr="00F27858" w:rsidP="002B4A75" w14:paraId="05E1E23B" w14:textId="77777777">
      <w:pPr>
        <w:pStyle w:val="7392"/>
        <w:rPr>
          <w:rtl/>
        </w:rPr>
      </w:pPr>
      <w:bookmarkStart w:id="17" w:name="_Hlk184644864"/>
      <w:r w:rsidRPr="00F27858">
        <w:rPr>
          <w:rFonts w:hint="cs"/>
          <w:rtl/>
        </w:rPr>
        <w:t>ים המלח מוכר כמקום היבשתי הנמוך ביותר בעולם, וריכוז המלחים שבו הוא 34.2% - גבוה פי עשרה מריכוז המלחים בים התיכון. ה</w:t>
      </w:r>
      <w:r w:rsidRPr="00F27858">
        <w:rPr>
          <w:rtl/>
        </w:rPr>
        <w:t>וא נמצא באזור בעל אקלים מדברי חם ויבש המתאפיין בשיעורי התאיידות ג</w:t>
      </w:r>
      <w:r w:rsidRPr="00F27858">
        <w:rPr>
          <w:rFonts w:hint="cs"/>
          <w:rtl/>
        </w:rPr>
        <w:t xml:space="preserve">דולים. </w:t>
      </w:r>
    </w:p>
    <w:p w:rsidR="006734B0" w:rsidRPr="00F27858" w:rsidP="002B4A75" w14:paraId="45B0B4CB" w14:textId="006C2050">
      <w:pPr>
        <w:pStyle w:val="7392"/>
        <w:rPr>
          <w:rtl/>
        </w:rPr>
      </w:pPr>
      <w:r w:rsidRPr="00F27858">
        <w:rPr>
          <w:rFonts w:hint="cs"/>
          <w:rtl/>
        </w:rPr>
        <w:t xml:space="preserve">מדובר בנכס לאומי מהמעלה הראשונה; הוא נחשב לתופעת טבע ייחודית, והוא בעל תכונות מרפא, ערכי טבע חשובים ואתרי מורשת מגוונים וייחודיים. </w:t>
      </w:r>
      <w:r w:rsidRPr="00F27858">
        <w:rPr>
          <w:rtl/>
        </w:rPr>
        <w:t xml:space="preserve">משום כך הוא מהווה מוקד משיכה לתיירים מהארץ ומחו"ל. לפי נתוני </w:t>
      </w:r>
      <w:r w:rsidRPr="005F2F70" w:rsidR="005F2F70">
        <w:rPr>
          <w:rtl/>
        </w:rPr>
        <w:t>רשות הטבע והגנים (</w:t>
      </w:r>
      <w:r w:rsidRPr="005F2F70" w:rsidR="005F2F70">
        <w:rPr>
          <w:rtl/>
        </w:rPr>
        <w:t>רט"ג</w:t>
      </w:r>
      <w:r w:rsidRPr="005F2F70" w:rsidR="005F2F70">
        <w:rPr>
          <w:rtl/>
        </w:rPr>
        <w:t>)</w:t>
      </w:r>
      <w:r w:rsidRPr="00F27858">
        <w:rPr>
          <w:rtl/>
        </w:rPr>
        <w:t xml:space="preserve">, אתר מצדה ושמורת הטבע נחל דוד הן מהמטוילות בשמורות הטבע בארץ. </w:t>
      </w:r>
      <w:r w:rsidRPr="00F27858">
        <w:rPr>
          <w:rFonts w:hint="cs"/>
          <w:rtl/>
        </w:rPr>
        <w:t>משאבי הטבע הטמונים בים המלח ובסביבתו שייכים לציבור ומוחזקים בנאמנות בידי המדינה למען הציבור.</w:t>
      </w:r>
    </w:p>
    <w:p w:rsidR="006734B0" w:rsidP="002B4A75" w14:paraId="2714B4E7" w14:textId="77777777">
      <w:pPr>
        <w:pStyle w:val="7392"/>
        <w:rPr>
          <w:rtl/>
        </w:rPr>
      </w:pPr>
      <w:r w:rsidRPr="00F27858">
        <w:rPr>
          <w:rFonts w:hint="cs"/>
          <w:rtl/>
        </w:rPr>
        <w:t>מימי ים המלח אוצרים בתוכם מינרלים ומלחים איכותיים, וניתן להפיק מהם חומרים כמו אשלג</w:t>
      </w:r>
      <w:r>
        <w:rPr>
          <w:rStyle w:val="FootnoteReference1"/>
          <w:rtl/>
        </w:rPr>
        <w:footnoteReference w:id="9"/>
      </w:r>
      <w:r w:rsidRPr="00F27858">
        <w:rPr>
          <w:rFonts w:hint="cs"/>
          <w:rtl/>
        </w:rPr>
        <w:t>, ברום</w:t>
      </w:r>
      <w:r>
        <w:rPr>
          <w:rStyle w:val="FootnoteReference1"/>
          <w:rtl/>
        </w:rPr>
        <w:footnoteReference w:id="10"/>
      </w:r>
      <w:r w:rsidRPr="00F27858">
        <w:rPr>
          <w:rFonts w:hint="cs"/>
          <w:rtl/>
        </w:rPr>
        <w:t xml:space="preserve"> ומגנזיום</w:t>
      </w:r>
      <w:r>
        <w:rPr>
          <w:rStyle w:val="FootnoteReference1"/>
          <w:rtl/>
        </w:rPr>
        <w:footnoteReference w:id="11"/>
      </w:r>
      <w:r w:rsidRPr="00F27858">
        <w:rPr>
          <w:rFonts w:hint="cs"/>
          <w:rtl/>
        </w:rPr>
        <w:t>, ועל כן כבר לפני כ-100 שנים, בתחילת המאה העשרים, התפתחה באזור ים המלח תעשיית חציבה וכרייה.</w:t>
      </w:r>
      <w:r>
        <w:rPr>
          <w:rFonts w:hint="cs"/>
          <w:rtl/>
        </w:rPr>
        <w:t xml:space="preserve"> </w:t>
      </w:r>
    </w:p>
    <w:p w:rsidR="006734B0" w:rsidP="002B4A75" w14:paraId="606CBDA2" w14:textId="77777777">
      <w:pPr>
        <w:pStyle w:val="7392"/>
        <w:rPr>
          <w:rFonts w:ascii="Arial" w:hAnsi="Arial"/>
          <w:sz w:val="24"/>
          <w:rtl/>
        </w:rPr>
      </w:pPr>
      <w:r>
        <w:rPr>
          <w:rFonts w:ascii="Arial" w:hAnsi="Arial" w:hint="cs"/>
          <w:sz w:val="24"/>
          <w:rtl/>
        </w:rPr>
        <w:t xml:space="preserve">בתקופת המנדט הבריטי על ארץ ישראל קיבלה חברת האשלג הארץ-ישראלית זיכיון להפקת מינרלים מהים, ולאחר קום מדינת ישראל נכנסה לנעליה חברת מפעלי ים המלח בע"מ (להלן - </w:t>
      </w:r>
      <w:r>
        <w:rPr>
          <w:rFonts w:ascii="Arial" w:hAnsi="Arial" w:hint="cs"/>
          <w:sz w:val="24"/>
          <w:rtl/>
        </w:rPr>
        <w:t>מי"ה</w:t>
      </w:r>
      <w:r>
        <w:rPr>
          <w:rFonts w:ascii="Arial" w:hAnsi="Arial" w:hint="cs"/>
          <w:sz w:val="24"/>
          <w:rtl/>
        </w:rPr>
        <w:t xml:space="preserve">), שהוקמה כחברה ממשלתית והחלה לפעול בשנת 1952. בשנת 1961 הוענקו </w:t>
      </w:r>
      <w:r>
        <w:rPr>
          <w:rFonts w:ascii="Arial" w:hAnsi="Arial" w:hint="cs"/>
          <w:sz w:val="24"/>
          <w:rtl/>
        </w:rPr>
        <w:t>למי"ה</w:t>
      </w:r>
      <w:r>
        <w:rPr>
          <w:rFonts w:ascii="Arial" w:hAnsi="Arial" w:hint="cs"/>
          <w:sz w:val="24"/>
          <w:rtl/>
        </w:rPr>
        <w:t xml:space="preserve"> זכויות בלעדיות להפקה ולניצול של משאבי המינרלים שבים המלח בתמורה לתשלום תמלוגים למדינה, זאת על פי שטר זיכיון אשר עוגן ב</w:t>
      </w:r>
      <w:r w:rsidRPr="0097449C">
        <w:rPr>
          <w:rFonts w:ascii="Arial" w:hAnsi="Arial" w:hint="cs"/>
          <w:sz w:val="24"/>
          <w:rtl/>
        </w:rPr>
        <w:t xml:space="preserve">חוק </w:t>
      </w:r>
      <w:r w:rsidRPr="0097449C">
        <w:rPr>
          <w:rFonts w:ascii="Arial" w:hAnsi="Arial" w:hint="cs"/>
          <w:sz w:val="24"/>
          <w:rtl/>
        </w:rPr>
        <w:t>זכיון</w:t>
      </w:r>
      <w:r w:rsidRPr="0097449C">
        <w:rPr>
          <w:rFonts w:ascii="Arial" w:hAnsi="Arial" w:hint="cs"/>
          <w:sz w:val="24"/>
          <w:rtl/>
        </w:rPr>
        <w:t xml:space="preserve"> ים המלח</w:t>
      </w:r>
      <w:r>
        <w:rPr>
          <w:rFonts w:ascii="Arial" w:hAnsi="Arial" w:hint="cs"/>
          <w:sz w:val="24"/>
          <w:rtl/>
        </w:rPr>
        <w:t>, התשכ"א-1961 (להלן - חוק הזיכיון). חוק הזיכיון שונה כמה פעמים, ובאחד התיקונים שנעשה בשנת 1986 הוארך תוקף הזיכיון עד ל-31.3.30</w:t>
      </w:r>
      <w:r>
        <w:rPr>
          <w:rStyle w:val="FootnoteReference1"/>
          <w:rFonts w:ascii="Arial" w:hAnsi="Arial"/>
          <w:sz w:val="24"/>
          <w:rtl/>
        </w:rPr>
        <w:footnoteReference w:id="12"/>
      </w:r>
      <w:r>
        <w:rPr>
          <w:rFonts w:ascii="Arial" w:hAnsi="Arial" w:hint="cs"/>
          <w:sz w:val="24"/>
          <w:rtl/>
        </w:rPr>
        <w:t xml:space="preserve">. בשנת 1992 החל הליך הפרטה של </w:t>
      </w:r>
      <w:r>
        <w:rPr>
          <w:rFonts w:ascii="Arial" w:hAnsi="Arial" w:hint="cs"/>
          <w:sz w:val="24"/>
          <w:rtl/>
        </w:rPr>
        <w:t>מי"ה</w:t>
      </w:r>
      <w:r>
        <w:rPr>
          <w:rFonts w:ascii="Arial" w:hAnsi="Arial" w:hint="cs"/>
          <w:sz w:val="24"/>
          <w:rtl/>
        </w:rPr>
        <w:t xml:space="preserve">, ובשנת 1995 נמכר גרעין השליטה של החברה, </w:t>
      </w:r>
      <w:r w:rsidRPr="004B3FBA">
        <w:rPr>
          <w:rFonts w:ascii="Arial" w:hAnsi="Arial" w:hint="cs"/>
          <w:sz w:val="24"/>
          <w:rtl/>
        </w:rPr>
        <w:t xml:space="preserve">ומאז מוחזק הזיכיון בידי חברה בבעלות פרטית. </w:t>
      </w:r>
      <w:r>
        <w:rPr>
          <w:rFonts w:ascii="Arial" w:hAnsi="Arial" w:hint="cs"/>
          <w:sz w:val="24"/>
          <w:rtl/>
        </w:rPr>
        <w:t>השרים הממונים על ביצוע חוק הזיכיון הם שר האוצר ושר הכלכלה והתעשייה.</w:t>
      </w:r>
    </w:p>
    <w:p w:rsidR="006734B0" w:rsidRPr="002B4A75" w:rsidP="002B4A75" w14:paraId="46B3E723" w14:textId="77777777">
      <w:pPr>
        <w:pStyle w:val="7392"/>
        <w:rPr>
          <w:rtl/>
        </w:rPr>
      </w:pPr>
      <w:r w:rsidRPr="002B4A75">
        <w:rPr>
          <w:rFonts w:hint="cs"/>
          <w:rtl/>
        </w:rPr>
        <w:t xml:space="preserve">לפי חוק הזיכיון, שטח הזיכיון הוא שטח נרחב המתפרס על כ-652 קמ"ר המהווה 3% משטחה של מדינת ישראל. מדובר בתא שטח שגודלו יותר מפי 11 משטחה המוניציפלי של עיריית תל אביב-יפו. להלן מפת ישראל שעליה מסומנים שטח הזיכיון לפי חוק הזיכיון ושטחה המוניציפלי של עיריית תל אביב-יפו: </w:t>
      </w:r>
    </w:p>
    <w:p w:rsidR="006734B0" w:rsidP="002B4A75" w14:paraId="7EB70A25" w14:textId="31FCCE25">
      <w:pPr>
        <w:pStyle w:val="734"/>
        <w:rPr>
          <w:rtl/>
        </w:rPr>
      </w:pPr>
      <w:r w:rsidRPr="002B4A75">
        <w:rPr>
          <w:rFonts w:hint="cs"/>
          <w:b w:val="0"/>
          <w:bCs w:val="0"/>
          <w:rtl/>
        </w:rPr>
        <w:t>מפה 1</w:t>
      </w:r>
      <w:r w:rsidRPr="002B4A75">
        <w:rPr>
          <w:rFonts w:hint="cs"/>
          <w:b w:val="0"/>
          <w:bCs w:val="0"/>
          <w:rtl/>
        </w:rPr>
        <w:t>:</w:t>
      </w:r>
      <w:r w:rsidRPr="002B4A75">
        <w:rPr>
          <w:rFonts w:hint="cs"/>
          <w:rtl/>
        </w:rPr>
        <w:t xml:space="preserve"> שטח הזיכיון ושטחה המוניציפלי של עיריית תל אביב-יפו</w:t>
      </w:r>
    </w:p>
    <w:p w:rsidR="002B4A75" w:rsidRPr="002B4A75" w:rsidP="002B4A75" w14:paraId="3CF71445" w14:textId="1576715D">
      <w:pPr>
        <w:jc w:val="center"/>
        <w:rPr>
          <w:rtl/>
        </w:rPr>
      </w:pPr>
      <w:r>
        <w:rPr>
          <w:noProof/>
          <w:rtl/>
          <w:lang w:val="he-IL"/>
        </w:rPr>
        <w:drawing>
          <wp:inline distT="0" distB="0" distL="0" distR="0">
            <wp:extent cx="3679510" cy="5264628"/>
            <wp:effectExtent l="0" t="0" r="0" b="6350"/>
            <wp:docPr id="274173763" name="תמונה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173763" name="תמונה 274173763"/>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rcRect l="12107" t="17962" r="11631" b="4929"/>
                    <a:stretch>
                      <a:fillRect/>
                    </a:stretch>
                  </pic:blipFill>
                  <pic:spPr bwMode="auto">
                    <a:xfrm>
                      <a:off x="0" y="0"/>
                      <a:ext cx="3706047" cy="5302597"/>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6734B0" w:rsidRPr="002B4A75" w:rsidP="002B4A75" w14:paraId="464C93E5" w14:textId="77777777">
      <w:pPr>
        <w:pStyle w:val="738"/>
        <w:rPr>
          <w:rtl/>
        </w:rPr>
      </w:pPr>
      <w:r w:rsidRPr="002B4A75">
        <w:rPr>
          <w:rFonts w:hint="cs"/>
          <w:rtl/>
        </w:rPr>
        <w:t>המקור: משרד מבקר המדינה</w:t>
      </w:r>
    </w:p>
    <w:p w:rsidR="006734B0" w:rsidRPr="002B4A75" w:rsidP="002B4A75" w14:paraId="02D28EF6" w14:textId="77777777">
      <w:pPr>
        <w:pStyle w:val="7392"/>
        <w:rPr>
          <w:rtl/>
        </w:rPr>
      </w:pPr>
      <w:bookmarkStart w:id="18" w:name="_Hlk185927920"/>
      <w:r w:rsidRPr="002B4A75">
        <w:rPr>
          <w:rFonts w:hint="cs"/>
          <w:rtl/>
        </w:rPr>
        <w:t xml:space="preserve">בתחום הזיכיון פועלים שלושה מפעלים להפקת מינרלים מים המלח: </w:t>
      </w:r>
      <w:bookmarkEnd w:id="18"/>
      <w:r w:rsidRPr="002B4A75">
        <w:rPr>
          <w:rFonts w:hint="cs"/>
          <w:rtl/>
        </w:rPr>
        <w:t>מפעל אשלג</w:t>
      </w:r>
      <w:bookmarkStart w:id="19" w:name="_Hlk185927962"/>
      <w:r>
        <w:rPr>
          <w:rStyle w:val="FootnoteReference1"/>
          <w:rtl/>
        </w:rPr>
        <w:footnoteReference w:id="13"/>
      </w:r>
      <w:bookmarkEnd w:id="19"/>
      <w:r w:rsidRPr="002B4A75">
        <w:rPr>
          <w:rFonts w:hint="cs"/>
          <w:rtl/>
        </w:rPr>
        <w:t xml:space="preserve">, מפעל ברום ומפעל מגנזיום (להלן ייקראו בדוח זה יחד - מפעלי ים המלח או </w:t>
      </w:r>
      <w:r w:rsidRPr="002B4A75">
        <w:rPr>
          <w:rFonts w:hint="cs"/>
          <w:rtl/>
        </w:rPr>
        <w:t>מי"ה</w:t>
      </w:r>
      <w:r w:rsidRPr="002B4A75">
        <w:rPr>
          <w:rFonts w:hint="cs"/>
          <w:rtl/>
        </w:rPr>
        <w:t xml:space="preserve">). תהליך הפקת חומרים אלה מבוסס על אידוי מי ים המלח באמצעות כמה בריכות אידוי ואגירה מלאכותיות, </w:t>
      </w:r>
      <w:r w:rsidRPr="002B4A75">
        <w:rPr>
          <w:rFonts w:hint="cs"/>
          <w:rtl/>
        </w:rPr>
        <w:t xml:space="preserve">והוא כולל הקמה ותפעול של תשתיות רבות בשטח הזיכיון, ובהן תחנות שאיבה, קווי הולכת מי ים, </w:t>
      </w:r>
      <w:r w:rsidRPr="002B4A75">
        <w:rPr>
          <w:rFonts w:hint="cs"/>
          <w:rtl/>
        </w:rPr>
        <w:t>תמלחת</w:t>
      </w:r>
      <w:r>
        <w:rPr>
          <w:rStyle w:val="7330"/>
          <w:sz w:val="18"/>
          <w:szCs w:val="18"/>
          <w:vertAlign w:val="superscript"/>
          <w:rtl/>
        </w:rPr>
        <w:footnoteReference w:id="14"/>
      </w:r>
      <w:r w:rsidRPr="002B4A75">
        <w:rPr>
          <w:rStyle w:val="7330"/>
          <w:rFonts w:hint="cs"/>
          <w:rtl/>
        </w:rPr>
        <w:t xml:space="preserve"> </w:t>
      </w:r>
      <w:r w:rsidRPr="002B4A75">
        <w:rPr>
          <w:rFonts w:hint="cs"/>
          <w:rtl/>
        </w:rPr>
        <w:t xml:space="preserve">ואשלג, מתקנים לטיפול בשפכים, תחנות דלק ואחסון דלקים, אתרי פסולת ועוד. </w:t>
      </w:r>
    </w:p>
    <w:p w:rsidR="006734B0" w:rsidRPr="002B4A75" w:rsidP="002B4A75" w14:paraId="62C333E1" w14:textId="59711C07">
      <w:pPr>
        <w:pStyle w:val="7392"/>
        <w:rPr>
          <w:rtl/>
        </w:rPr>
      </w:pPr>
      <w:r w:rsidRPr="002B4A75">
        <w:rPr>
          <w:rFonts w:hint="cs"/>
          <w:rtl/>
        </w:rPr>
        <w:t>מי"ה</w:t>
      </w:r>
      <w:r w:rsidRPr="002B4A75">
        <w:rPr>
          <w:rFonts w:hint="cs"/>
          <w:rtl/>
        </w:rPr>
        <w:t xml:space="preserve"> משמשת שחקן עולמי מהותי בהפקה של חומרים אלה הודות לתנאים הייחודיים השוררים בים המלח: הריכוז הגבוה של המינרלים במי הים, תהליך ההפקה הקל והזול ותנאי מזג האוויר המאפשרים אחסון מתאים</w:t>
      </w:r>
      <w:r>
        <w:rPr>
          <w:rStyle w:val="7330"/>
          <w:sz w:val="18"/>
          <w:szCs w:val="18"/>
          <w:vertAlign w:val="superscript"/>
          <w:rtl/>
        </w:rPr>
        <w:footnoteReference w:id="15"/>
      </w:r>
      <w:r w:rsidRPr="002B4A75">
        <w:rPr>
          <w:rFonts w:hint="cs"/>
          <w:rtl/>
        </w:rPr>
        <w:t>. נוסף על תרומתה להכנסות המדינה באמצעות התמלוגים שהיא משלמת מכוח החוק, שעמדו על כ-580 מיליון ש"ח</w:t>
      </w:r>
      <w:r>
        <w:rPr>
          <w:vertAlign w:val="superscript"/>
          <w:rtl/>
        </w:rPr>
        <w:footnoteReference w:id="16"/>
      </w:r>
      <w:r w:rsidRPr="002B4A75">
        <w:rPr>
          <w:rFonts w:hint="cs"/>
          <w:rtl/>
        </w:rPr>
        <w:t xml:space="preserve"> לשנת 2023, </w:t>
      </w:r>
      <w:bookmarkStart w:id="20" w:name="_Hlk185928118"/>
      <w:r w:rsidRPr="002B4A75">
        <w:rPr>
          <w:rFonts w:hint="cs"/>
          <w:rtl/>
        </w:rPr>
        <w:t>מי"ה</w:t>
      </w:r>
      <w:r w:rsidRPr="002B4A75">
        <w:rPr>
          <w:rFonts w:hint="cs"/>
          <w:rtl/>
        </w:rPr>
        <w:t xml:space="preserve"> משלמת למדינה גם מיסים ייעודיים למשאבי הטבע, כמו </w:t>
      </w:r>
      <w:bookmarkStart w:id="21" w:name="_Hlk186624502"/>
      <w:r w:rsidRPr="002B4A75">
        <w:rPr>
          <w:rFonts w:hint="cs"/>
          <w:rtl/>
        </w:rPr>
        <w:t xml:space="preserve">היטל רווחי יתר לפי חוק מיסוי רווחים ממשאבי טבע, התשע"א-2011, </w:t>
      </w:r>
      <w:bookmarkEnd w:id="21"/>
      <w:r w:rsidRPr="002B4A75">
        <w:rPr>
          <w:rFonts w:hint="cs"/>
          <w:rtl/>
        </w:rPr>
        <w:t xml:space="preserve">ומיסי מדינה כלליים. כמו כן, </w:t>
      </w:r>
      <w:bookmarkEnd w:id="20"/>
      <w:r w:rsidRPr="002B4A75">
        <w:rPr>
          <w:rFonts w:hint="cs"/>
          <w:rtl/>
        </w:rPr>
        <w:t xml:space="preserve">פעילותה של </w:t>
      </w:r>
      <w:r w:rsidRPr="002B4A75">
        <w:rPr>
          <w:rFonts w:hint="cs"/>
          <w:rtl/>
        </w:rPr>
        <w:t>מי"ה</w:t>
      </w:r>
      <w:r w:rsidRPr="002B4A75">
        <w:rPr>
          <w:rFonts w:hint="cs"/>
          <w:rtl/>
        </w:rPr>
        <w:t xml:space="preserve"> מספקת תעסוקה ישירה </w:t>
      </w:r>
      <w:r w:rsidR="007E7763">
        <w:rPr>
          <w:rtl/>
        </w:rPr>
        <w:br/>
      </w:r>
      <w:r w:rsidRPr="002B4A75">
        <w:rPr>
          <w:rFonts w:hint="cs"/>
          <w:rtl/>
        </w:rPr>
        <w:t xml:space="preserve">לכ-1,800 עובדים בנגב </w:t>
      </w:r>
      <w:bookmarkStart w:id="22" w:name="_Hlk185928147"/>
      <w:r w:rsidRPr="002B4A75">
        <w:rPr>
          <w:rFonts w:hint="cs"/>
          <w:rtl/>
        </w:rPr>
        <w:t>וכן מאפשרת העסקה של קבלנים ונותני שירות וספקים רבים נוספים</w:t>
      </w:r>
      <w:bookmarkEnd w:id="22"/>
      <w:r w:rsidRPr="002B4A75">
        <w:rPr>
          <w:rFonts w:hint="cs"/>
          <w:rtl/>
        </w:rPr>
        <w:t xml:space="preserve">, ובכך תורמת למפעל ההתיישבות בדרום הארץ. זאת ועוד, אחת מבריכות האידוי של </w:t>
      </w:r>
      <w:r w:rsidRPr="002B4A75">
        <w:rPr>
          <w:rFonts w:hint="cs"/>
          <w:rtl/>
        </w:rPr>
        <w:t>מי"ה</w:t>
      </w:r>
      <w:r w:rsidRPr="002B4A75">
        <w:rPr>
          <w:rFonts w:hint="cs"/>
          <w:rtl/>
        </w:rPr>
        <w:t xml:space="preserve"> (להלן - בריכה 5), המשמשת להספקת צרכיה התעשייתיים, משמרת אזור "דמוי ים" באגן הדרומי של ים המלח, והדבר מאפשר הקמת בתי מלון לצידה ופיתוח תיירות באזור זה. </w:t>
      </w:r>
    </w:p>
    <w:p w:rsidR="006734B0" w:rsidRPr="002B4A75" w:rsidP="002B4A75" w14:paraId="75AA27A3" w14:textId="77777777">
      <w:pPr>
        <w:pStyle w:val="7392"/>
        <w:rPr>
          <w:rtl/>
        </w:rPr>
      </w:pPr>
      <w:r w:rsidRPr="002B4A75">
        <w:rPr>
          <w:rFonts w:hint="cs"/>
          <w:rtl/>
        </w:rPr>
        <w:t xml:space="preserve">לצד התועלת הכלכלית </w:t>
      </w:r>
      <w:r w:rsidRPr="002B4A75">
        <w:rPr>
          <w:rFonts w:hint="eastAsia"/>
          <w:rtl/>
        </w:rPr>
        <w:t>ש</w:t>
      </w:r>
      <w:r w:rsidRPr="002B4A75">
        <w:rPr>
          <w:rFonts w:hint="cs"/>
          <w:rtl/>
        </w:rPr>
        <w:t xml:space="preserve">מפיקה המדינה מפעילות </w:t>
      </w:r>
      <w:r w:rsidRPr="002B4A75">
        <w:rPr>
          <w:rFonts w:hint="cs"/>
          <w:rtl/>
        </w:rPr>
        <w:t>מי"ה</w:t>
      </w:r>
      <w:r w:rsidRPr="002B4A75">
        <w:rPr>
          <w:rFonts w:hint="cs"/>
          <w:rtl/>
        </w:rPr>
        <w:t xml:space="preserve">, לתהליך התעשייתי של ניצול משאבי הטבע בים המלח נלוות תוצאות סביבתיות שליליות שיש בהן כדי להשפיע על הדור הנוכחי ועל הדורות הבאים: הפעילות של </w:t>
      </w:r>
      <w:r w:rsidRPr="002B4A75">
        <w:rPr>
          <w:rFonts w:hint="cs"/>
          <w:rtl/>
        </w:rPr>
        <w:t>מי"ה</w:t>
      </w:r>
      <w:r w:rsidRPr="002B4A75">
        <w:rPr>
          <w:rFonts w:hint="cs"/>
          <w:rtl/>
        </w:rPr>
        <w:t xml:space="preserve"> בחלקו הדרומי של ים המלח כרוכה בצריכת מים גדולה, המהווה כ-22% מסך המים המסופקים לתעשייה בישראל, ואלו נשאבים מקידוחי מי תהום ונגרעים מהם; היא פוגעת ביכולת הניקוז של נחלים ומי שיטפונות; היא גורמת לנזק סביבתי מכרייה ומחציבה של חומרים לצורך הקמת סוללות לבריכות האידוי המשמשות אותה, והביאה בעבר להסטת תוואי של נחלים כדי למנוע נזקי שיטפונות לבריכות אלו; היא קוטעת רצף ארוך של שטחים פתוחים ויוצרת פגיעה נופית; היא יוצרת המלחה של בתי גידול ומי תהום כתוצאה משאיבות מוגברות של מים ממאגרי מי תהום</w:t>
      </w:r>
      <w:r>
        <w:rPr>
          <w:rStyle w:val="FootnoteReference1"/>
          <w:rtl/>
        </w:rPr>
        <w:footnoteReference w:id="17"/>
      </w:r>
      <w:r w:rsidRPr="002B4A75">
        <w:rPr>
          <w:rFonts w:hint="cs"/>
          <w:rtl/>
        </w:rPr>
        <w:t xml:space="preserve"> ופוגעת במערכות אקולוגיות; והיא יוצרת גם זיהום אוויר. </w:t>
      </w:r>
    </w:p>
    <w:p w:rsidR="006734B0" w:rsidRPr="002B4A75" w:rsidP="002B4A75" w14:paraId="1BBF9473" w14:textId="77777777">
      <w:pPr>
        <w:pStyle w:val="7392"/>
        <w:rPr>
          <w:rtl/>
        </w:rPr>
      </w:pPr>
      <w:r w:rsidRPr="002B4A75">
        <w:rPr>
          <w:rFonts w:hint="cs"/>
          <w:rtl/>
        </w:rPr>
        <w:t xml:space="preserve">נוסף על כל אלה, לצורך ניצול המשאבים של ים המלח שואבת </w:t>
      </w:r>
      <w:r w:rsidRPr="002B4A75">
        <w:rPr>
          <w:rFonts w:hint="cs"/>
          <w:rtl/>
        </w:rPr>
        <w:t>מי"ה</w:t>
      </w:r>
      <w:r w:rsidRPr="002B4A75">
        <w:rPr>
          <w:rFonts w:hint="cs"/>
          <w:rtl/>
        </w:rPr>
        <w:t xml:space="preserve"> מים מהאגן הצפוני ובכך פעילותה תורמת, יחד עם גורמים נוספים, לירידת מפלס מי הים כאשר תרומתה של </w:t>
      </w:r>
      <w:r w:rsidRPr="002B4A75">
        <w:rPr>
          <w:rFonts w:hint="cs"/>
          <w:rtl/>
        </w:rPr>
        <w:t>מי"ה</w:t>
      </w:r>
      <w:r w:rsidRPr="002B4A75">
        <w:rPr>
          <w:rFonts w:hint="cs"/>
          <w:rtl/>
        </w:rPr>
        <w:t xml:space="preserve"> לירידה מוערכת בשיעור של כ-20%</w:t>
      </w:r>
      <w:r>
        <w:rPr>
          <w:rStyle w:val="FootnoteReference1"/>
          <w:rtl/>
        </w:rPr>
        <w:footnoteReference w:id="18"/>
      </w:r>
      <w:r w:rsidRPr="002B4A75">
        <w:rPr>
          <w:rFonts w:hint="cs"/>
          <w:rtl/>
        </w:rPr>
        <w:t xml:space="preserve">. לירידת מפלס המים השפעות שליליות רבות על הסביבה ועל התיירות באזור, ובהן הפגיעה הנופית, היווצרות </w:t>
      </w:r>
      <w:r w:rsidRPr="002B4A75">
        <w:rPr>
          <w:rFonts w:hint="cs"/>
          <w:rtl/>
        </w:rPr>
        <w:t>בולענים</w:t>
      </w:r>
      <w:r w:rsidRPr="002B4A75">
        <w:rPr>
          <w:rFonts w:hint="cs"/>
          <w:rtl/>
        </w:rPr>
        <w:t xml:space="preserve"> המסכנים את הציבור ואת היישובים באזור, צמצום שטח הים, פגיעה בשמורות טבע ויצירת התחתרות נחלים (תהליך שבו ערוצי הנחלים מעמיקים). כל אלו מקנים לים המלח תדמית של אזור מוכה אסון. כמו כן, כתוצאה מירידת המפלס והיווצרות </w:t>
      </w:r>
      <w:r w:rsidRPr="002B4A75">
        <w:rPr>
          <w:rFonts w:hint="cs"/>
          <w:rtl/>
        </w:rPr>
        <w:t>הבולענים</w:t>
      </w:r>
      <w:r w:rsidRPr="002B4A75">
        <w:rPr>
          <w:rFonts w:hint="cs"/>
          <w:rtl/>
        </w:rPr>
        <w:t xml:space="preserve"> נמנעת הגישה של הציבור לשטחים נרחבים לאורך חופי ים </w:t>
      </w:r>
      <w:r w:rsidRPr="002B4A75">
        <w:rPr>
          <w:rFonts w:hint="cs"/>
          <w:rtl/>
        </w:rPr>
        <w:t xml:space="preserve">המלח. נכון למועד הביקורת, אין אף חוף רחצה ציבורי באגן הצפוני, הטבעי, של ים המלח, זאת מאחר שחופי רחצה רבים ואתרי נופש נסגרו בשל היווצרות </w:t>
      </w:r>
      <w:r w:rsidRPr="002B4A75">
        <w:rPr>
          <w:rFonts w:hint="cs"/>
          <w:rtl/>
        </w:rPr>
        <w:t>בולענים</w:t>
      </w:r>
      <w:r w:rsidRPr="002B4A75">
        <w:rPr>
          <w:rFonts w:hint="cs"/>
          <w:rtl/>
        </w:rPr>
        <w:t xml:space="preserve"> והתרחקות קו החוף. </w:t>
      </w:r>
    </w:p>
    <w:p w:rsidR="006734B0" w:rsidRPr="002B4A75" w:rsidP="002B4A75" w14:paraId="1FAEB98D" w14:textId="77777777">
      <w:pPr>
        <w:pStyle w:val="7392"/>
        <w:rPr>
          <w:rtl/>
        </w:rPr>
      </w:pPr>
      <w:r w:rsidRPr="002B4A75">
        <w:rPr>
          <w:rFonts w:hint="cs"/>
          <w:rtl/>
        </w:rPr>
        <w:t xml:space="preserve">המפגש בין חבל ארץ ייחודי, שהתברך במגוון ערכי טבע, באתרי מורשת ובנופים מרהיבים, שאין שני להם בעולם כולו - לבין פעילות תעשייתית אינטנסיבית הנשענת על מיצוי וכרייה של משאבי הטבע - מחייב הקפדה יתרה מצד כל משרדי הממשלה הנוגעים בדבר ומצד שר האוצר ושר הכלכלה והתעשייה האחראים לחוק הזיכיון בפרט, לשמור על משאבי טבע אלו ולהבטיח כי החותם הסביבתי של הפעילות התעשייתית המתבצעת מכוח הזיכיון יהיה מצומצם ככל האפשר ויתנהל בהתאם לדרישות הדין. </w:t>
      </w:r>
    </w:p>
    <w:p w:rsidR="006734B0" w:rsidRPr="002B4A75" w:rsidP="002B4A75" w14:paraId="0D110B6D" w14:textId="6BF39A16">
      <w:pPr>
        <w:pStyle w:val="7392"/>
        <w:rPr>
          <w:rtl/>
        </w:rPr>
      </w:pPr>
      <w:r w:rsidRPr="002B4A75">
        <w:rPr>
          <w:rFonts w:hint="cs"/>
          <w:rtl/>
        </w:rPr>
        <w:t xml:space="preserve">הניהול והפיקוח בנוגע לנעשה בתחום הזיכיון </w:t>
      </w:r>
      <w:r w:rsidR="00A31713">
        <w:rPr>
          <w:rFonts w:hint="cs"/>
          <w:rtl/>
        </w:rPr>
        <w:t>בהיבטי המקרקעין והסביבה</w:t>
      </w:r>
      <w:r w:rsidRPr="002B4A75">
        <w:rPr>
          <w:rFonts w:hint="cs"/>
          <w:rtl/>
        </w:rPr>
        <w:t xml:space="preserve"> מבוזר בין כמה גופים ממשלתיים: שר האוצר ושר הכלכלה והתעשייה אחראים לפי חוק הזיכיון על החוק; המשרד להגנת הסביבה (להלן - המשרד </w:t>
      </w:r>
      <w:r w:rsidRPr="002B4A75">
        <w:rPr>
          <w:rFonts w:hint="cs"/>
          <w:rtl/>
        </w:rPr>
        <w:t>להג"ס</w:t>
      </w:r>
      <w:r w:rsidRPr="002B4A75">
        <w:rPr>
          <w:rFonts w:hint="cs"/>
          <w:rtl/>
        </w:rPr>
        <w:t xml:space="preserve">) אחראי לקבוע תנאים ברישיון העסק של המפעלים ובמסגרת זאת לקבוע הנחיות ודרישות בין השאר בהיבטי הטיפול בפסולת. כמו כן הוא מנפיק היתרים ורישיונות סביבתיים נוספים הנדרשים לפעילות </w:t>
      </w:r>
      <w:r w:rsidRPr="002B4A75">
        <w:rPr>
          <w:rFonts w:hint="cs"/>
          <w:rtl/>
        </w:rPr>
        <w:t>מי"ה</w:t>
      </w:r>
      <w:r w:rsidRPr="002B4A75">
        <w:rPr>
          <w:rFonts w:hint="cs"/>
          <w:rtl/>
        </w:rPr>
        <w:t xml:space="preserve">, כמו היתר פליטה לאוויר והיתר רעלים; הרשות </w:t>
      </w:r>
      <w:r w:rsidR="005F2F70">
        <w:rPr>
          <w:rFonts w:hint="cs"/>
          <w:rtl/>
        </w:rPr>
        <w:t>הממשלתית</w:t>
      </w:r>
      <w:r w:rsidRPr="002B4A75">
        <w:rPr>
          <w:rFonts w:hint="cs"/>
          <w:rtl/>
        </w:rPr>
        <w:t xml:space="preserve"> למים ולביוב (להלן - רשות המים) מוציאה היתרי הפקה לשאיבת מים </w:t>
      </w:r>
      <w:r w:rsidRPr="002B4A75">
        <w:rPr>
          <w:rFonts w:hint="cs"/>
          <w:rtl/>
        </w:rPr>
        <w:t>מִים</w:t>
      </w:r>
      <w:r w:rsidRPr="002B4A75">
        <w:rPr>
          <w:rFonts w:hint="cs"/>
          <w:rtl/>
        </w:rPr>
        <w:t xml:space="preserve"> המלח ורישיון קידוח לקידוחי מי התהום </w:t>
      </w:r>
      <w:r w:rsidRPr="002B4A75">
        <w:rPr>
          <w:rFonts w:hint="cs"/>
          <w:rtl/>
        </w:rPr>
        <w:t>שמי"ה</w:t>
      </w:r>
      <w:r w:rsidRPr="002B4A75">
        <w:rPr>
          <w:rFonts w:hint="cs"/>
          <w:rtl/>
        </w:rPr>
        <w:t xml:space="preserve"> מבצעת בתחום הזיכיון; רשות מקרקעי ישראל (להלן - </w:t>
      </w:r>
      <w:r w:rsidRPr="002B4A75">
        <w:rPr>
          <w:rFonts w:hint="cs"/>
          <w:rtl/>
        </w:rPr>
        <w:t>רמ"י</w:t>
      </w:r>
      <w:r w:rsidRPr="002B4A75">
        <w:rPr>
          <w:rFonts w:hint="cs"/>
          <w:rtl/>
        </w:rPr>
        <w:t xml:space="preserve">) אחראית לניהול הקרקע שבתחום הזיכיון ולגביית תשלום בגין השימושים המתקיימים בו; משרד </w:t>
      </w:r>
      <w:r w:rsidRPr="002B4A75">
        <w:rPr>
          <w:rFonts w:hint="cs"/>
          <w:rtl/>
        </w:rPr>
        <w:t>האנרגייה</w:t>
      </w:r>
      <w:r w:rsidRPr="002B4A75">
        <w:rPr>
          <w:rFonts w:hint="cs"/>
          <w:rtl/>
        </w:rPr>
        <w:t xml:space="preserve"> והתשתיות (להלן - משרד </w:t>
      </w:r>
      <w:r w:rsidRPr="002B4A75">
        <w:rPr>
          <w:rFonts w:hint="cs"/>
          <w:rtl/>
        </w:rPr>
        <w:t>האנרגייה</w:t>
      </w:r>
      <w:r w:rsidRPr="002B4A75">
        <w:rPr>
          <w:rFonts w:hint="cs"/>
          <w:rtl/>
        </w:rPr>
        <w:t xml:space="preserve">) אחראי לפיקוח על כריית חומרים ולהוצאת רישיון חציבה; המועצה האזורית תמר מוציאה רישיונות עסק לפעילויות בתחום הזיכיון, וכן אחראית להטלה ולגבייה של הארנונה בגין הפעילויות שמבצעת </w:t>
      </w:r>
      <w:r w:rsidRPr="002B4A75">
        <w:rPr>
          <w:rFonts w:hint="cs"/>
          <w:rtl/>
        </w:rPr>
        <w:t>מי"ה</w:t>
      </w:r>
      <w:r w:rsidRPr="002B4A75">
        <w:rPr>
          <w:rFonts w:hint="cs"/>
          <w:rtl/>
        </w:rPr>
        <w:t xml:space="preserve">; הוועדה המקומית תמר אחראית למתן היתרי בנייה ולביצוע פיקוח בדבר הפרות תכנוניות לגבי תוכניות סטטוטוריות שבסמכותה; </w:t>
      </w:r>
      <w:r w:rsidRPr="002B4A75">
        <w:rPr>
          <w:rFonts w:hint="cs"/>
          <w:rtl/>
        </w:rPr>
        <w:t>רט"ג</w:t>
      </w:r>
      <w:r w:rsidRPr="002B4A75">
        <w:rPr>
          <w:rFonts w:hint="cs"/>
          <w:rtl/>
        </w:rPr>
        <w:t xml:space="preserve"> אחראית לשמירה ושיקום של ערכי טבע בשמורות הטבע ובגנים לאומיים ולפיקוח עליהם ונוסף על כך פועלים במרחב גופים נוספים דוגמת רשות ניקוז ונחלים ים המלח (להלן - רשות הניקוז), והחברה הממשלתית להגנות ים המלח</w:t>
      </w:r>
      <w:r w:rsidR="005F2F70">
        <w:rPr>
          <w:rFonts w:hint="cs"/>
          <w:rtl/>
        </w:rPr>
        <w:t xml:space="preserve"> בע</w:t>
      </w:r>
      <w:r w:rsidRPr="002B4A75" w:rsidR="005F2F70">
        <w:rPr>
          <w:rFonts w:hint="cs"/>
          <w:rtl/>
        </w:rPr>
        <w:t>"</w:t>
      </w:r>
      <w:r w:rsidR="005F2F70">
        <w:rPr>
          <w:rFonts w:hint="cs"/>
          <w:rtl/>
        </w:rPr>
        <w:t>מ</w:t>
      </w:r>
      <w:r w:rsidRPr="002B4A75">
        <w:rPr>
          <w:rFonts w:hint="cs"/>
          <w:rtl/>
        </w:rPr>
        <w:t xml:space="preserve">. </w:t>
      </w:r>
    </w:p>
    <w:p w:rsidR="006734B0" w:rsidRPr="002B4A75" w:rsidP="002B4A75" w14:paraId="61F006B9" w14:textId="08E6581C">
      <w:pPr>
        <w:pStyle w:val="7392"/>
        <w:rPr>
          <w:rtl/>
        </w:rPr>
      </w:pPr>
      <w:r w:rsidRPr="002B4A75">
        <w:rPr>
          <w:rFonts w:hint="cs"/>
          <w:rtl/>
        </w:rPr>
        <w:t>ביקורת זו נועדה לבחון את האופן שבו התבצע הניהול של זיכיון ים המלח והפיקוח עליו בהיבט</w:t>
      </w:r>
      <w:r w:rsidR="00A31713">
        <w:rPr>
          <w:rFonts w:hint="cs"/>
          <w:rtl/>
        </w:rPr>
        <w:t>י</w:t>
      </w:r>
      <w:r w:rsidRPr="002B4A75">
        <w:rPr>
          <w:rFonts w:hint="cs"/>
          <w:rtl/>
        </w:rPr>
        <w:t xml:space="preserve"> הסביב</w:t>
      </w:r>
      <w:r w:rsidR="00A31713">
        <w:rPr>
          <w:rFonts w:hint="cs"/>
          <w:rtl/>
        </w:rPr>
        <w:t>ה והמקרקעין</w:t>
      </w:r>
      <w:r w:rsidRPr="002B4A75">
        <w:rPr>
          <w:rFonts w:hint="cs"/>
          <w:rtl/>
        </w:rPr>
        <w:t xml:space="preserve"> ואת האופן שבו </w:t>
      </w:r>
      <w:r w:rsidRPr="002B4A75">
        <w:rPr>
          <w:rFonts w:hint="cs"/>
          <w:rtl/>
        </w:rPr>
        <w:t>המאסדרים</w:t>
      </w:r>
      <w:r w:rsidRPr="002B4A75">
        <w:rPr>
          <w:rFonts w:hint="cs"/>
          <w:rtl/>
        </w:rPr>
        <w:t xml:space="preserve"> השונים מימשו במהלך השנים את סמכויותיהם לצורך שמירה על </w:t>
      </w:r>
      <w:r w:rsidRPr="0046653C" w:rsidR="0046653C">
        <w:rPr>
          <w:rtl/>
        </w:rPr>
        <w:t>אינטרסים אלו</w:t>
      </w:r>
      <w:r w:rsidRPr="002B4A75">
        <w:rPr>
          <w:rFonts w:hint="cs"/>
          <w:rtl/>
        </w:rPr>
        <w:t xml:space="preserve">. בראייה צופת פני עתיד דוח זה נועד גם לסייע למקבלי ההחלטות בבואם לגבש את הסדר הזיכיון העתידי. </w:t>
      </w:r>
    </w:p>
    <w:p w:rsidR="006734B0" w:rsidRPr="008D2DC1" w:rsidP="008D2DC1" w14:paraId="503ED4E7" w14:textId="77777777">
      <w:pPr>
        <w:pStyle w:val="733155"/>
        <w:rPr>
          <w:rtl/>
        </w:rPr>
      </w:pPr>
      <w:bookmarkStart w:id="23" w:name="_Toc170709943"/>
      <w:bookmarkStart w:id="24" w:name="_Toc171509532"/>
      <w:r w:rsidRPr="008D2DC1">
        <w:rPr>
          <w:rFonts w:hint="cs"/>
          <w:rtl/>
        </w:rPr>
        <w:t>פעולות הביקורת</w:t>
      </w:r>
      <w:bookmarkEnd w:id="23"/>
      <w:bookmarkEnd w:id="24"/>
      <w:r w:rsidRPr="008D2DC1">
        <w:rPr>
          <w:rFonts w:hint="cs"/>
          <w:rtl/>
        </w:rPr>
        <w:t xml:space="preserve"> </w:t>
      </w:r>
    </w:p>
    <w:p w:rsidR="006734B0" w:rsidP="00CE7A9A" w14:paraId="157A78C3" w14:textId="5F581211">
      <w:pPr>
        <w:pStyle w:val="7392"/>
        <w:rPr>
          <w:b/>
          <w:bCs/>
          <w:rtl/>
        </w:rPr>
      </w:pPr>
      <w:bookmarkStart w:id="25" w:name="_Hlk183510594"/>
      <w:r>
        <w:rPr>
          <w:rFonts w:eastAsia="Calibri" w:hint="cs"/>
          <w:rtl/>
        </w:rPr>
        <w:t xml:space="preserve">בחודשים ינואר עד יוני 2024 בדק </w:t>
      </w:r>
      <w:r>
        <w:rPr>
          <w:rFonts w:hint="cs"/>
          <w:rtl/>
        </w:rPr>
        <w:t xml:space="preserve">משרד מבקר המדינה את פעולותיהם של הגופים המבוקרים הנוגעים לניהול זיכיון ים המלח ולפיקוח עליו בתחומי </w:t>
      </w:r>
      <w:r w:rsidRPr="0046653C" w:rsidR="0046653C">
        <w:rPr>
          <w:rtl/>
        </w:rPr>
        <w:t>הסביבה והמקרקעין</w:t>
      </w:r>
      <w:r>
        <w:rPr>
          <w:rFonts w:hint="cs"/>
          <w:rtl/>
        </w:rPr>
        <w:t xml:space="preserve">, בנושאים האלה: </w:t>
      </w:r>
      <w:r w:rsidRPr="00212EF0">
        <w:rPr>
          <w:rFonts w:hint="eastAsia"/>
          <w:rtl/>
        </w:rPr>
        <w:t>אסדרת</w:t>
      </w:r>
      <w:r w:rsidRPr="00212EF0">
        <w:rPr>
          <w:rtl/>
        </w:rPr>
        <w:t xml:space="preserve"> פעילות </w:t>
      </w:r>
      <w:r w:rsidRPr="00212EF0">
        <w:rPr>
          <w:rtl/>
        </w:rPr>
        <w:t>מי"ה</w:t>
      </w:r>
      <w:r w:rsidRPr="00212EF0">
        <w:rPr>
          <w:rtl/>
        </w:rPr>
        <w:t xml:space="preserve"> </w:t>
      </w:r>
      <w:r w:rsidRPr="0046653C" w:rsidR="0046653C">
        <w:rPr>
          <w:rtl/>
        </w:rPr>
        <w:t>באמצעות</w:t>
      </w:r>
      <w:r w:rsidR="0046653C">
        <w:rPr>
          <w:rFonts w:hint="cs"/>
          <w:rtl/>
        </w:rPr>
        <w:t xml:space="preserve"> </w:t>
      </w:r>
      <w:r w:rsidRPr="00212EF0">
        <w:rPr>
          <w:rFonts w:hint="eastAsia"/>
          <w:rtl/>
        </w:rPr>
        <w:t>קביעת</w:t>
      </w:r>
      <w:r w:rsidRPr="00212EF0">
        <w:rPr>
          <w:rtl/>
        </w:rPr>
        <w:t xml:space="preserve"> תנאים </w:t>
      </w:r>
      <w:r w:rsidRPr="00212EF0">
        <w:rPr>
          <w:rFonts w:hint="eastAsia"/>
          <w:rtl/>
        </w:rPr>
        <w:t>סביבתיים</w:t>
      </w:r>
      <w:r w:rsidRPr="00212EF0">
        <w:rPr>
          <w:rtl/>
        </w:rPr>
        <w:t xml:space="preserve"> </w:t>
      </w:r>
      <w:r w:rsidRPr="00212EF0">
        <w:rPr>
          <w:rFonts w:hint="eastAsia"/>
          <w:rtl/>
        </w:rPr>
        <w:t>ברישיון</w:t>
      </w:r>
      <w:r w:rsidRPr="00212EF0">
        <w:rPr>
          <w:rtl/>
        </w:rPr>
        <w:t xml:space="preserve"> </w:t>
      </w:r>
      <w:r w:rsidRPr="00212EF0">
        <w:rPr>
          <w:rFonts w:hint="eastAsia"/>
          <w:rtl/>
        </w:rPr>
        <w:t>העסק</w:t>
      </w:r>
      <w:r w:rsidRPr="00212EF0">
        <w:rPr>
          <w:rtl/>
        </w:rPr>
        <w:t xml:space="preserve">; </w:t>
      </w:r>
      <w:r w:rsidRPr="00212EF0">
        <w:rPr>
          <w:rFonts w:hint="eastAsia"/>
          <w:rtl/>
        </w:rPr>
        <w:t>אסדרת</w:t>
      </w:r>
      <w:r w:rsidRPr="00212EF0">
        <w:rPr>
          <w:rtl/>
        </w:rPr>
        <w:t xml:space="preserve"> </w:t>
      </w:r>
      <w:r w:rsidRPr="00212EF0">
        <w:rPr>
          <w:rFonts w:hint="eastAsia"/>
          <w:rtl/>
        </w:rPr>
        <w:t>פעילות</w:t>
      </w:r>
      <w:r w:rsidRPr="00212EF0">
        <w:rPr>
          <w:rtl/>
        </w:rPr>
        <w:t xml:space="preserve"> </w:t>
      </w:r>
      <w:r w:rsidRPr="00212EF0">
        <w:rPr>
          <w:rFonts w:hint="eastAsia"/>
          <w:rtl/>
        </w:rPr>
        <w:t>הכרייה</w:t>
      </w:r>
      <w:r w:rsidRPr="00212EF0">
        <w:rPr>
          <w:rtl/>
        </w:rPr>
        <w:t xml:space="preserve"> </w:t>
      </w:r>
      <w:r w:rsidRPr="00212EF0">
        <w:rPr>
          <w:rFonts w:hint="eastAsia"/>
          <w:rtl/>
        </w:rPr>
        <w:t>והחציבה</w:t>
      </w:r>
      <w:r w:rsidRPr="00212EF0">
        <w:rPr>
          <w:rtl/>
        </w:rPr>
        <w:t xml:space="preserve"> </w:t>
      </w:r>
      <w:r w:rsidRPr="00212EF0">
        <w:rPr>
          <w:rFonts w:hint="eastAsia"/>
          <w:rtl/>
        </w:rPr>
        <w:t>של</w:t>
      </w:r>
      <w:r w:rsidRPr="00212EF0">
        <w:rPr>
          <w:rtl/>
        </w:rPr>
        <w:t xml:space="preserve"> </w:t>
      </w:r>
      <w:r w:rsidRPr="00212EF0">
        <w:rPr>
          <w:rFonts w:hint="eastAsia"/>
          <w:rtl/>
        </w:rPr>
        <w:t>מי</w:t>
      </w:r>
      <w:r w:rsidRPr="00212EF0">
        <w:rPr>
          <w:rtl/>
        </w:rPr>
        <w:t>"ה</w:t>
      </w:r>
      <w:r w:rsidRPr="00212EF0">
        <w:rPr>
          <w:rtl/>
        </w:rPr>
        <w:t xml:space="preserve">; </w:t>
      </w:r>
      <w:r w:rsidRPr="00212EF0">
        <w:rPr>
          <w:rFonts w:hint="eastAsia"/>
          <w:b/>
          <w:rtl/>
        </w:rPr>
        <w:t>האסדרה</w:t>
      </w:r>
      <w:r w:rsidRPr="00212EF0">
        <w:rPr>
          <w:b/>
          <w:rtl/>
        </w:rPr>
        <w:t xml:space="preserve"> </w:t>
      </w:r>
      <w:r w:rsidRPr="00212EF0">
        <w:rPr>
          <w:rFonts w:hint="eastAsia"/>
          <w:b/>
          <w:rtl/>
        </w:rPr>
        <w:t>והפיקוח</w:t>
      </w:r>
      <w:r w:rsidRPr="00212EF0">
        <w:rPr>
          <w:b/>
          <w:rtl/>
        </w:rPr>
        <w:t xml:space="preserve"> </w:t>
      </w:r>
      <w:r w:rsidRPr="00212EF0">
        <w:rPr>
          <w:rFonts w:hint="eastAsia"/>
          <w:b/>
          <w:rtl/>
        </w:rPr>
        <w:t>של</w:t>
      </w:r>
      <w:r w:rsidRPr="00212EF0">
        <w:rPr>
          <w:b/>
          <w:rtl/>
        </w:rPr>
        <w:t xml:space="preserve"> </w:t>
      </w:r>
      <w:r w:rsidRPr="0046653C" w:rsidR="0046653C">
        <w:rPr>
          <w:b/>
          <w:rtl/>
        </w:rPr>
        <w:t>רמ"י</w:t>
      </w:r>
      <w:r w:rsidR="0046653C">
        <w:rPr>
          <w:rFonts w:hint="cs"/>
          <w:b/>
          <w:rtl/>
        </w:rPr>
        <w:t xml:space="preserve"> </w:t>
      </w:r>
      <w:r w:rsidRPr="00212EF0">
        <w:rPr>
          <w:b/>
          <w:rtl/>
        </w:rPr>
        <w:t xml:space="preserve">על השימושים </w:t>
      </w:r>
      <w:r w:rsidRPr="00212EF0">
        <w:rPr>
          <w:b/>
          <w:rtl/>
        </w:rPr>
        <w:t>שמי"ה</w:t>
      </w:r>
      <w:r w:rsidRPr="00212EF0">
        <w:rPr>
          <w:b/>
          <w:rtl/>
        </w:rPr>
        <w:t xml:space="preserve"> מבצעת </w:t>
      </w:r>
      <w:r w:rsidRPr="00212EF0">
        <w:rPr>
          <w:rFonts w:hint="eastAsia"/>
          <w:b/>
          <w:rtl/>
        </w:rPr>
        <w:t>בשטח</w:t>
      </w:r>
      <w:r w:rsidRPr="00212EF0">
        <w:rPr>
          <w:b/>
          <w:rtl/>
        </w:rPr>
        <w:t xml:space="preserve"> </w:t>
      </w:r>
      <w:r w:rsidRPr="00212EF0">
        <w:rPr>
          <w:rFonts w:hint="eastAsia"/>
          <w:b/>
          <w:rtl/>
        </w:rPr>
        <w:t>הזיכיון</w:t>
      </w:r>
      <w:r w:rsidRPr="00212EF0">
        <w:rPr>
          <w:rtl/>
        </w:rPr>
        <w:t xml:space="preserve">; </w:t>
      </w:r>
      <w:r w:rsidRPr="00212EF0">
        <w:rPr>
          <w:rFonts w:hint="eastAsia"/>
          <w:b/>
          <w:rtl/>
        </w:rPr>
        <w:t>הטיפול</w:t>
      </w:r>
      <w:r w:rsidRPr="00212EF0">
        <w:rPr>
          <w:b/>
          <w:rtl/>
        </w:rPr>
        <w:t xml:space="preserve"> </w:t>
      </w:r>
      <w:r w:rsidRPr="00212EF0">
        <w:rPr>
          <w:rFonts w:hint="eastAsia"/>
          <w:b/>
          <w:rtl/>
        </w:rPr>
        <w:t>במפגעי</w:t>
      </w:r>
      <w:r w:rsidRPr="00212EF0">
        <w:rPr>
          <w:b/>
          <w:rtl/>
        </w:rPr>
        <w:t xml:space="preserve"> </w:t>
      </w:r>
      <w:r w:rsidRPr="00212EF0">
        <w:rPr>
          <w:rFonts w:hint="eastAsia"/>
          <w:b/>
          <w:rtl/>
        </w:rPr>
        <w:t>פסולת</w:t>
      </w:r>
      <w:r w:rsidRPr="00212EF0">
        <w:rPr>
          <w:b/>
          <w:rtl/>
        </w:rPr>
        <w:t xml:space="preserve"> </w:t>
      </w:r>
      <w:r w:rsidRPr="00212EF0">
        <w:rPr>
          <w:rFonts w:hint="eastAsia"/>
          <w:b/>
          <w:rtl/>
        </w:rPr>
        <w:t>שיצרה</w:t>
      </w:r>
      <w:r w:rsidRPr="00212EF0">
        <w:rPr>
          <w:b/>
          <w:rtl/>
        </w:rPr>
        <w:t xml:space="preserve"> </w:t>
      </w:r>
      <w:r w:rsidRPr="00212EF0">
        <w:rPr>
          <w:rFonts w:hint="eastAsia"/>
          <w:b/>
          <w:rtl/>
        </w:rPr>
        <w:t>מי</w:t>
      </w:r>
      <w:r w:rsidRPr="00212EF0">
        <w:rPr>
          <w:b/>
          <w:rtl/>
        </w:rPr>
        <w:t>"ה</w:t>
      </w:r>
      <w:r w:rsidRPr="00212EF0">
        <w:rPr>
          <w:b/>
          <w:rtl/>
        </w:rPr>
        <w:t xml:space="preserve"> </w:t>
      </w:r>
      <w:r w:rsidRPr="00212EF0">
        <w:rPr>
          <w:rFonts w:hint="eastAsia"/>
          <w:b/>
          <w:rtl/>
        </w:rPr>
        <w:t>בתחום</w:t>
      </w:r>
      <w:r w:rsidRPr="00212EF0">
        <w:rPr>
          <w:b/>
          <w:rtl/>
        </w:rPr>
        <w:t xml:space="preserve"> </w:t>
      </w:r>
      <w:r w:rsidRPr="00212EF0">
        <w:rPr>
          <w:rFonts w:hint="eastAsia"/>
          <w:b/>
          <w:rtl/>
        </w:rPr>
        <w:t>הזיכיון</w:t>
      </w:r>
      <w:r w:rsidRPr="00212EF0">
        <w:rPr>
          <w:b/>
          <w:rtl/>
        </w:rPr>
        <w:t xml:space="preserve">; </w:t>
      </w:r>
      <w:r w:rsidRPr="00212EF0">
        <w:rPr>
          <w:rFonts w:hint="eastAsia"/>
          <w:b/>
          <w:rtl/>
        </w:rPr>
        <w:t>וממשקי</w:t>
      </w:r>
      <w:r w:rsidRPr="00212EF0">
        <w:rPr>
          <w:b/>
          <w:rtl/>
        </w:rPr>
        <w:t xml:space="preserve"> </w:t>
      </w:r>
      <w:r w:rsidRPr="00212EF0">
        <w:rPr>
          <w:rFonts w:hint="eastAsia"/>
          <w:b/>
          <w:rtl/>
        </w:rPr>
        <w:t>העבודה</w:t>
      </w:r>
      <w:r w:rsidRPr="00212EF0">
        <w:rPr>
          <w:b/>
          <w:rtl/>
        </w:rPr>
        <w:t xml:space="preserve"> </w:t>
      </w:r>
      <w:r w:rsidRPr="00212EF0">
        <w:rPr>
          <w:rFonts w:hint="eastAsia"/>
          <w:b/>
          <w:rtl/>
        </w:rPr>
        <w:t>והעברת</w:t>
      </w:r>
      <w:r w:rsidRPr="00212EF0">
        <w:rPr>
          <w:b/>
          <w:rtl/>
        </w:rPr>
        <w:t xml:space="preserve"> </w:t>
      </w:r>
      <w:r w:rsidRPr="00212EF0">
        <w:rPr>
          <w:rFonts w:hint="eastAsia"/>
          <w:b/>
          <w:rtl/>
        </w:rPr>
        <w:t>המידע</w:t>
      </w:r>
      <w:r w:rsidRPr="00212EF0">
        <w:rPr>
          <w:b/>
          <w:rtl/>
        </w:rPr>
        <w:t xml:space="preserve"> </w:t>
      </w:r>
      <w:r w:rsidRPr="00212EF0">
        <w:rPr>
          <w:rFonts w:hint="eastAsia"/>
          <w:b/>
          <w:rtl/>
        </w:rPr>
        <w:t>בין</w:t>
      </w:r>
      <w:r w:rsidRPr="00212EF0">
        <w:rPr>
          <w:b/>
          <w:rtl/>
        </w:rPr>
        <w:t xml:space="preserve"> </w:t>
      </w:r>
      <w:r w:rsidRPr="00212EF0">
        <w:rPr>
          <w:rFonts w:hint="eastAsia"/>
          <w:b/>
          <w:rtl/>
        </w:rPr>
        <w:t>המאסדרים</w:t>
      </w:r>
      <w:r w:rsidRPr="00212EF0">
        <w:rPr>
          <w:b/>
          <w:rtl/>
        </w:rPr>
        <w:t xml:space="preserve"> </w:t>
      </w:r>
      <w:r w:rsidRPr="00212EF0">
        <w:rPr>
          <w:rFonts w:hint="eastAsia"/>
          <w:b/>
          <w:rtl/>
        </w:rPr>
        <w:t>השונים</w:t>
      </w:r>
      <w:r w:rsidRPr="00212EF0">
        <w:rPr>
          <w:b/>
          <w:rtl/>
        </w:rPr>
        <w:t xml:space="preserve"> </w:t>
      </w:r>
      <w:r w:rsidRPr="00212EF0">
        <w:rPr>
          <w:rFonts w:hint="eastAsia"/>
          <w:b/>
          <w:rtl/>
        </w:rPr>
        <w:t>לגבי</w:t>
      </w:r>
      <w:r w:rsidRPr="00212EF0">
        <w:rPr>
          <w:b/>
          <w:rtl/>
        </w:rPr>
        <w:t xml:space="preserve"> </w:t>
      </w:r>
      <w:r w:rsidRPr="00212EF0">
        <w:rPr>
          <w:rFonts w:hint="eastAsia"/>
          <w:b/>
          <w:rtl/>
        </w:rPr>
        <w:t>פעילות</w:t>
      </w:r>
      <w:r w:rsidRPr="00212EF0">
        <w:rPr>
          <w:b/>
          <w:rtl/>
        </w:rPr>
        <w:t xml:space="preserve"> </w:t>
      </w:r>
      <w:r w:rsidRPr="00212EF0">
        <w:rPr>
          <w:rFonts w:hint="eastAsia"/>
          <w:b/>
          <w:rtl/>
        </w:rPr>
        <w:t>מי</w:t>
      </w:r>
      <w:r w:rsidRPr="00212EF0">
        <w:rPr>
          <w:b/>
          <w:rtl/>
        </w:rPr>
        <w:t>"ה</w:t>
      </w:r>
      <w:r w:rsidRPr="00212EF0">
        <w:rPr>
          <w:b/>
          <w:rtl/>
        </w:rPr>
        <w:t xml:space="preserve"> </w:t>
      </w:r>
      <w:r w:rsidRPr="00212EF0">
        <w:rPr>
          <w:rFonts w:hint="eastAsia"/>
          <w:b/>
          <w:rtl/>
        </w:rPr>
        <w:t>בשטח</w:t>
      </w:r>
      <w:r w:rsidRPr="00212EF0">
        <w:rPr>
          <w:b/>
          <w:rtl/>
        </w:rPr>
        <w:t xml:space="preserve"> </w:t>
      </w:r>
      <w:r w:rsidRPr="00212EF0">
        <w:rPr>
          <w:rFonts w:hint="eastAsia"/>
          <w:b/>
          <w:rtl/>
        </w:rPr>
        <w:t>הזיכיון</w:t>
      </w:r>
      <w:r w:rsidRPr="000E5CC8">
        <w:rPr>
          <w:rFonts w:hint="cs"/>
          <w:b/>
          <w:rtl/>
        </w:rPr>
        <w:t xml:space="preserve">. </w:t>
      </w:r>
      <w:r w:rsidRPr="005F7EC5">
        <w:rPr>
          <w:rFonts w:hint="eastAsia"/>
          <w:b/>
          <w:rtl/>
        </w:rPr>
        <w:t>יצוין</w:t>
      </w:r>
      <w:r w:rsidRPr="005F7EC5">
        <w:rPr>
          <w:b/>
          <w:rtl/>
        </w:rPr>
        <w:t xml:space="preserve"> </w:t>
      </w:r>
      <w:r w:rsidRPr="005F7EC5">
        <w:rPr>
          <w:rFonts w:hint="eastAsia"/>
          <w:b/>
          <w:rtl/>
        </w:rPr>
        <w:t>כי</w:t>
      </w:r>
      <w:r w:rsidRPr="005F7EC5">
        <w:rPr>
          <w:b/>
          <w:rtl/>
        </w:rPr>
        <w:t xml:space="preserve"> </w:t>
      </w:r>
      <w:r w:rsidRPr="005F7EC5">
        <w:rPr>
          <w:rFonts w:hint="eastAsia"/>
          <w:b/>
          <w:rtl/>
        </w:rPr>
        <w:t>הביקורת</w:t>
      </w:r>
      <w:r w:rsidRPr="005F7EC5">
        <w:rPr>
          <w:rtl/>
        </w:rPr>
        <w:t xml:space="preserve"> לא בחנה את נושא </w:t>
      </w:r>
      <w:r w:rsidRPr="005F7EC5">
        <w:rPr>
          <w:rtl/>
        </w:rPr>
        <w:t>אסדרת</w:t>
      </w:r>
      <w:r w:rsidRPr="005F7EC5">
        <w:rPr>
          <w:rtl/>
        </w:rPr>
        <w:t xml:space="preserve"> שאיבות המים מים המלח וקידוחי מי התהום </w:t>
      </w:r>
      <w:r w:rsidRPr="005F7EC5">
        <w:rPr>
          <w:rtl/>
        </w:rPr>
        <w:t>שמי"ה</w:t>
      </w:r>
      <w:r w:rsidRPr="005F7EC5">
        <w:rPr>
          <w:rtl/>
        </w:rPr>
        <w:t xml:space="preserve"> מבצעת, בין</w:t>
      </w:r>
      <w:r>
        <w:rPr>
          <w:rFonts w:hint="cs"/>
          <w:rtl/>
        </w:rPr>
        <w:t xml:space="preserve"> השאר בשל עתירה </w:t>
      </w:r>
      <w:r w:rsidRPr="00FC6C83">
        <w:rPr>
          <w:rFonts w:hint="cs"/>
          <w:rtl/>
        </w:rPr>
        <w:t>העוסק</w:t>
      </w:r>
      <w:r>
        <w:rPr>
          <w:rFonts w:hint="cs"/>
          <w:rtl/>
        </w:rPr>
        <w:t>ת</w:t>
      </w:r>
      <w:r w:rsidRPr="00FC6C83">
        <w:rPr>
          <w:rFonts w:hint="cs"/>
          <w:rtl/>
        </w:rPr>
        <w:t xml:space="preserve"> בסוגיית היעדר </w:t>
      </w:r>
      <w:r>
        <w:rPr>
          <w:rFonts w:hint="cs"/>
          <w:rtl/>
        </w:rPr>
        <w:t>חיוב</w:t>
      </w:r>
      <w:r w:rsidRPr="00FC6C83">
        <w:rPr>
          <w:rFonts w:hint="cs"/>
          <w:rtl/>
        </w:rPr>
        <w:t xml:space="preserve"> </w:t>
      </w:r>
      <w:r>
        <w:rPr>
          <w:rFonts w:hint="cs"/>
          <w:rtl/>
        </w:rPr>
        <w:t>ב</w:t>
      </w:r>
      <w:r w:rsidRPr="00FC6C83">
        <w:rPr>
          <w:rFonts w:hint="cs"/>
          <w:rtl/>
        </w:rPr>
        <w:t xml:space="preserve">דמי מים בגין קידוחי מי התהום של </w:t>
      </w:r>
      <w:r w:rsidRPr="00FC6C83">
        <w:rPr>
          <w:rFonts w:hint="cs"/>
          <w:rtl/>
        </w:rPr>
        <w:t>מי"ה</w:t>
      </w:r>
      <w:r>
        <w:rPr>
          <w:rFonts w:hint="cs"/>
          <w:rtl/>
        </w:rPr>
        <w:t xml:space="preserve"> </w:t>
      </w:r>
      <w:r w:rsidR="00A31713">
        <w:rPr>
          <w:rFonts w:hint="cs"/>
          <w:rtl/>
        </w:rPr>
        <w:t>ה</w:t>
      </w:r>
      <w:r>
        <w:rPr>
          <w:rFonts w:hint="cs"/>
          <w:rtl/>
        </w:rPr>
        <w:t>מתבררת בבג"ץ בימים אלה</w:t>
      </w:r>
      <w:r>
        <w:rPr>
          <w:rStyle w:val="FootnoteReference1"/>
          <w:rtl/>
        </w:rPr>
        <w:footnoteReference w:id="19"/>
      </w:r>
      <w:r w:rsidRPr="00FC6C83">
        <w:rPr>
          <w:rFonts w:hint="cs"/>
          <w:rtl/>
        </w:rPr>
        <w:t xml:space="preserve">. </w:t>
      </w:r>
    </w:p>
    <w:p w:rsidR="006734B0" w:rsidP="00CE7A9A" w14:paraId="16779853" w14:textId="657165A0">
      <w:pPr>
        <w:pStyle w:val="7392"/>
        <w:rPr>
          <w:rFonts w:eastAsia="Calibri"/>
          <w:rtl/>
        </w:rPr>
      </w:pPr>
      <w:r>
        <w:rPr>
          <w:rFonts w:eastAsia="Calibri" w:hint="cs"/>
          <w:rtl/>
        </w:rPr>
        <w:t xml:space="preserve">הביקורת נעשתה במשרד האוצר, </w:t>
      </w:r>
      <w:r w:rsidRPr="0046653C" w:rsidR="0046653C">
        <w:rPr>
          <w:rFonts w:eastAsia="Calibri"/>
          <w:rtl/>
        </w:rPr>
        <w:t xml:space="preserve">במשרד </w:t>
      </w:r>
      <w:r w:rsidRPr="0046653C" w:rsidR="0046653C">
        <w:rPr>
          <w:rFonts w:eastAsia="Calibri"/>
          <w:rtl/>
        </w:rPr>
        <w:t>להג"ס</w:t>
      </w:r>
      <w:r>
        <w:rPr>
          <w:rFonts w:eastAsia="Calibri" w:hint="cs"/>
          <w:rtl/>
        </w:rPr>
        <w:t xml:space="preserve">, במשרד </w:t>
      </w:r>
      <w:r>
        <w:rPr>
          <w:rFonts w:eastAsia="Calibri" w:hint="cs"/>
          <w:rtl/>
        </w:rPr>
        <w:t>האנרגייה</w:t>
      </w:r>
      <w:r>
        <w:rPr>
          <w:rFonts w:eastAsia="Calibri" w:hint="cs"/>
          <w:rtl/>
        </w:rPr>
        <w:t xml:space="preserve">, </w:t>
      </w:r>
      <w:r>
        <w:rPr>
          <w:rFonts w:eastAsia="Calibri" w:hint="cs"/>
          <w:rtl/>
        </w:rPr>
        <w:t>ברמ"י</w:t>
      </w:r>
      <w:r>
        <w:rPr>
          <w:rFonts w:eastAsia="Calibri" w:hint="cs"/>
          <w:rtl/>
        </w:rPr>
        <w:t xml:space="preserve">, במועצה האזורית תמר, ביחידה הסביבתית נגב מזרחי (להלן - </w:t>
      </w:r>
      <w:r>
        <w:rPr>
          <w:rFonts w:eastAsia="Calibri" w:hint="cs"/>
          <w:rtl/>
        </w:rPr>
        <w:t>יח"ס</w:t>
      </w:r>
      <w:r>
        <w:rPr>
          <w:rFonts w:eastAsia="Calibri" w:hint="cs"/>
          <w:rtl/>
        </w:rPr>
        <w:t xml:space="preserve"> נגב מזרחי) </w:t>
      </w:r>
      <w:r>
        <w:rPr>
          <w:rFonts w:eastAsia="Calibri" w:hint="cs"/>
          <w:rtl/>
        </w:rPr>
        <w:t>וברט"ג</w:t>
      </w:r>
      <w:r>
        <w:rPr>
          <w:rFonts w:eastAsia="Calibri" w:hint="cs"/>
          <w:rtl/>
        </w:rPr>
        <w:t xml:space="preserve">. בדיקות השלמה נעשו במשרד המשפטים, במשרד הכלכלה והתעשייה, ברשות המים, ברשות הניקוז, </w:t>
      </w:r>
      <w:r w:rsidRPr="005A3636">
        <w:rPr>
          <w:rFonts w:eastAsia="Calibri" w:hint="cs"/>
          <w:rtl/>
        </w:rPr>
        <w:t>בוועדה הארצית לתכנון ו</w:t>
      </w:r>
      <w:r>
        <w:rPr>
          <w:rFonts w:eastAsia="Calibri" w:hint="cs"/>
          <w:rtl/>
        </w:rPr>
        <w:t>ל</w:t>
      </w:r>
      <w:r w:rsidRPr="005A3636">
        <w:rPr>
          <w:rFonts w:eastAsia="Calibri" w:hint="cs"/>
          <w:rtl/>
        </w:rPr>
        <w:t>בנ</w:t>
      </w:r>
      <w:r>
        <w:rPr>
          <w:rFonts w:eastAsia="Calibri" w:hint="cs"/>
          <w:rtl/>
        </w:rPr>
        <w:t>י</w:t>
      </w:r>
      <w:r w:rsidRPr="005A3636">
        <w:rPr>
          <w:rFonts w:eastAsia="Calibri" w:hint="cs"/>
          <w:rtl/>
        </w:rPr>
        <w:t>יה של תשתיות לאומיות (ות"ל)</w:t>
      </w:r>
      <w:r>
        <w:rPr>
          <w:rFonts w:eastAsia="Calibri" w:hint="cs"/>
          <w:rtl/>
        </w:rPr>
        <w:t xml:space="preserve">, ובקרן לשיקום מחצבות (להלן - </w:t>
      </w:r>
      <w:r>
        <w:rPr>
          <w:rFonts w:eastAsia="Calibri" w:hint="cs"/>
          <w:rtl/>
        </w:rPr>
        <w:t>קש"ם</w:t>
      </w:r>
      <w:r>
        <w:rPr>
          <w:rFonts w:eastAsia="Calibri" w:hint="cs"/>
          <w:rtl/>
        </w:rPr>
        <w:t xml:space="preserve">). </w:t>
      </w:r>
      <w:bookmarkEnd w:id="25"/>
    </w:p>
    <w:p w:rsidR="006734B0" w:rsidRPr="00331AB4" w:rsidP="00331AB4" w14:paraId="051B6692" w14:textId="77777777">
      <w:pPr>
        <w:pStyle w:val="7329"/>
        <w:rPr>
          <w:rtl/>
        </w:rPr>
      </w:pPr>
      <w:bookmarkStart w:id="26" w:name="_Toc170709944"/>
      <w:bookmarkStart w:id="27" w:name="_Toc171509533"/>
      <w:r w:rsidRPr="00331AB4">
        <w:rPr>
          <w:rFonts w:hint="cs"/>
          <w:rtl/>
        </w:rPr>
        <w:t>אסדרת</w:t>
      </w:r>
      <w:r w:rsidRPr="00331AB4">
        <w:rPr>
          <w:rFonts w:hint="cs"/>
          <w:rtl/>
        </w:rPr>
        <w:t xml:space="preserve"> פעילות </w:t>
      </w:r>
      <w:r w:rsidRPr="00331AB4">
        <w:rPr>
          <w:rFonts w:hint="cs"/>
          <w:rtl/>
        </w:rPr>
        <w:t>מי"ה</w:t>
      </w:r>
      <w:r w:rsidRPr="00331AB4">
        <w:rPr>
          <w:rFonts w:hint="cs"/>
          <w:rtl/>
        </w:rPr>
        <w:t xml:space="preserve"> באמצעות קביעת תנאים סביבתיים ברישיון העסק</w:t>
      </w:r>
    </w:p>
    <w:p w:rsidR="006734B0" w:rsidP="00CE7A9A" w14:paraId="073AAE48" w14:textId="77777777">
      <w:pPr>
        <w:pStyle w:val="7392"/>
      </w:pPr>
      <w:r>
        <w:rPr>
          <w:rFonts w:hint="cs"/>
          <w:rtl/>
        </w:rPr>
        <w:t xml:space="preserve">חוק רישוי עסקים, התשכ"ח-1968 (להלן - חוק רישוי עסקים), והצווים והתקנות שהוצאו מכוחו (להלן - דיני רישוי עסקים) </w:t>
      </w:r>
      <w:r w:rsidRPr="0097449C">
        <w:rPr>
          <w:rFonts w:hint="cs"/>
          <w:rtl/>
        </w:rPr>
        <w:t>מבטאים את האיזון</w:t>
      </w:r>
      <w:r>
        <w:rPr>
          <w:rFonts w:hint="cs"/>
          <w:rtl/>
        </w:rPr>
        <w:t xml:space="preserve"> בין חופש העיסוק של הפרט לבין האינטרסים הציבוריים המנויים בחוק, ובהם הבטחת איכות נאותה של הסביבה ומניעת מפגעים ומטרדים, שמירה על בטיחותם של הנמצאים במקום העבודה ובסביבתו, שמירה על בריאות הציבור וקיום דיני התכנון והבנייה. </w:t>
      </w:r>
    </w:p>
    <w:p w:rsidR="006734B0" w:rsidP="00CE7A9A" w14:paraId="713CBF51" w14:textId="37E10101">
      <w:pPr>
        <w:pStyle w:val="7392"/>
        <w:rPr>
          <w:spacing w:val="-4"/>
          <w:rtl/>
        </w:rPr>
      </w:pPr>
      <w:r w:rsidRPr="00844FF2">
        <w:rPr>
          <w:rFonts w:hint="cs"/>
          <w:rtl/>
        </w:rPr>
        <w:t xml:space="preserve">לפי החוק, </w:t>
      </w:r>
      <w:r w:rsidRPr="00844FF2">
        <w:rPr>
          <w:rFonts w:hint="eastAsia"/>
          <w:rtl/>
        </w:rPr>
        <w:t>רשות</w:t>
      </w:r>
      <w:r w:rsidRPr="00844FF2">
        <w:rPr>
          <w:rtl/>
        </w:rPr>
        <w:t xml:space="preserve"> </w:t>
      </w:r>
      <w:r w:rsidRPr="00844FF2">
        <w:rPr>
          <w:rFonts w:hint="eastAsia"/>
          <w:rtl/>
        </w:rPr>
        <w:t>הרישוי</w:t>
      </w:r>
      <w:r w:rsidRPr="00844FF2">
        <w:rPr>
          <w:rtl/>
        </w:rPr>
        <w:t xml:space="preserve"> לעסק טעון רישוי היא רשות מקומית </w:t>
      </w:r>
      <w:r w:rsidRPr="00844FF2">
        <w:rPr>
          <w:rFonts w:hint="eastAsia"/>
          <w:rtl/>
        </w:rPr>
        <w:t>שהעסק</w:t>
      </w:r>
      <w:r w:rsidRPr="00844FF2">
        <w:rPr>
          <w:rtl/>
        </w:rPr>
        <w:t xml:space="preserve"> </w:t>
      </w:r>
      <w:r w:rsidRPr="00844FF2">
        <w:rPr>
          <w:rFonts w:hint="eastAsia"/>
          <w:rtl/>
        </w:rPr>
        <w:t>נמצא</w:t>
      </w:r>
      <w:r w:rsidRPr="00844FF2">
        <w:rPr>
          <w:rtl/>
        </w:rPr>
        <w:t xml:space="preserve"> </w:t>
      </w:r>
      <w:r w:rsidRPr="00844FF2">
        <w:rPr>
          <w:rFonts w:hint="eastAsia"/>
          <w:rtl/>
        </w:rPr>
        <w:t>בתחומה</w:t>
      </w:r>
      <w:r>
        <w:rPr>
          <w:rFonts w:hint="cs"/>
          <w:spacing w:val="-4"/>
          <w:rtl/>
        </w:rPr>
        <w:t xml:space="preserve">. </w:t>
      </w:r>
      <w:r>
        <w:rPr>
          <w:rFonts w:hint="cs"/>
          <w:rtl/>
        </w:rPr>
        <w:t xml:space="preserve">נוסף על כך, בנוגע לכל אחד מהאינטרסים הציבוריים המנויים בחוק, נקבע גוף ממשלתי או מקומי שאמון על שמירתו </w:t>
      </w:r>
      <w:r>
        <w:rPr>
          <w:rFonts w:hint="cs"/>
          <w:spacing w:val="-4"/>
          <w:rtl/>
        </w:rPr>
        <w:t xml:space="preserve">(להלן - גורמי הרישוי). </w:t>
      </w:r>
      <w:r>
        <w:rPr>
          <w:rFonts w:ascii="Arial" w:hAnsi="Arial" w:cs="Arial"/>
        </w:rPr>
        <w:t>​</w:t>
      </w:r>
      <w:r>
        <w:rPr>
          <w:rFonts w:hint="cs"/>
          <w:spacing w:val="-4"/>
          <w:rtl/>
        </w:rPr>
        <w:t xml:space="preserve">הרשות המקומית וגורמי הרישוי רשאים להתנות את מתן הרישיון בתנאים שיש לקיימם לפני מתן הרישיון, לקבוע תנאים ברישיון וגם להוסיף תנאים לרישיון קיים, והכול כדי לקדם את האינטרסים הציבוריים המצוינים בחוק. קודם הפקת רישיון עסק, הרשות המקומית מחויבת לקבל את אישור גורמי הרישוי </w:t>
      </w:r>
      <w:r w:rsidRPr="001D2D4F">
        <w:rPr>
          <w:rFonts w:hint="cs"/>
          <w:spacing w:val="-4"/>
          <w:rtl/>
        </w:rPr>
        <w:t xml:space="preserve">לכך. לענייננו, </w:t>
      </w:r>
      <w:r w:rsidRPr="001D2D4F">
        <w:rPr>
          <w:rFonts w:hint="cs"/>
          <w:rtl/>
        </w:rPr>
        <w:t xml:space="preserve">המועצה האזורית תמר היא בעלת הסמכות להפיק רישיון לעסקים בשטח הזיכיון, </w:t>
      </w:r>
      <w:r w:rsidRPr="00CC693F">
        <w:rPr>
          <w:rFonts w:hint="eastAsia"/>
          <w:rtl/>
        </w:rPr>
        <w:t>ובעסקים</w:t>
      </w:r>
      <w:r w:rsidRPr="00CC693F">
        <w:rPr>
          <w:rtl/>
        </w:rPr>
        <w:t xml:space="preserve"> </w:t>
      </w:r>
      <w:r w:rsidRPr="00CC693F">
        <w:rPr>
          <w:rFonts w:hint="eastAsia"/>
          <w:rtl/>
        </w:rPr>
        <w:t>שבהם</w:t>
      </w:r>
      <w:r w:rsidRPr="00CC693F">
        <w:rPr>
          <w:rtl/>
        </w:rPr>
        <w:t xml:space="preserve"> </w:t>
      </w:r>
      <w:r w:rsidRPr="00CC693F">
        <w:rPr>
          <w:rFonts w:hint="eastAsia"/>
          <w:rtl/>
        </w:rPr>
        <w:t>מטרת</w:t>
      </w:r>
      <w:r w:rsidRPr="00CC693F">
        <w:rPr>
          <w:rtl/>
        </w:rPr>
        <w:t xml:space="preserve"> </w:t>
      </w:r>
      <w:r w:rsidRPr="00CC693F">
        <w:rPr>
          <w:rFonts w:hint="eastAsia"/>
          <w:rtl/>
        </w:rPr>
        <w:t>הרישוי</w:t>
      </w:r>
      <w:r w:rsidRPr="00CC693F">
        <w:rPr>
          <w:rtl/>
        </w:rPr>
        <w:t xml:space="preserve"> </w:t>
      </w:r>
      <w:r w:rsidRPr="00CC693F">
        <w:rPr>
          <w:rFonts w:hint="eastAsia"/>
          <w:rtl/>
        </w:rPr>
        <w:t>היא</w:t>
      </w:r>
      <w:r w:rsidRPr="00CC693F">
        <w:rPr>
          <w:rtl/>
        </w:rPr>
        <w:t xml:space="preserve"> </w:t>
      </w:r>
      <w:r w:rsidRPr="00CC693F">
        <w:rPr>
          <w:rFonts w:hint="cs"/>
          <w:rtl/>
        </w:rPr>
        <w:t xml:space="preserve">בין השאר </w:t>
      </w:r>
      <w:r w:rsidRPr="00CC693F">
        <w:rPr>
          <w:rFonts w:hint="eastAsia"/>
          <w:rtl/>
        </w:rPr>
        <w:t>הבטחת</w:t>
      </w:r>
      <w:r w:rsidRPr="00CC693F">
        <w:rPr>
          <w:rtl/>
        </w:rPr>
        <w:t xml:space="preserve"> </w:t>
      </w:r>
      <w:r w:rsidRPr="005C1432">
        <w:rPr>
          <w:rFonts w:hint="eastAsia"/>
          <w:rtl/>
        </w:rPr>
        <w:t>איכות</w:t>
      </w:r>
      <w:r w:rsidRPr="005C1432">
        <w:rPr>
          <w:rtl/>
        </w:rPr>
        <w:t xml:space="preserve"> </w:t>
      </w:r>
      <w:r w:rsidRPr="005C1432">
        <w:rPr>
          <w:rFonts w:hint="eastAsia"/>
          <w:rtl/>
        </w:rPr>
        <w:t>נאותה</w:t>
      </w:r>
      <w:r w:rsidRPr="005C1432">
        <w:rPr>
          <w:rtl/>
        </w:rPr>
        <w:t xml:space="preserve"> </w:t>
      </w:r>
      <w:r w:rsidRPr="000C037B">
        <w:rPr>
          <w:rFonts w:hint="eastAsia"/>
          <w:rtl/>
        </w:rPr>
        <w:t>של</w:t>
      </w:r>
      <w:r w:rsidRPr="000C037B">
        <w:rPr>
          <w:rtl/>
        </w:rPr>
        <w:t xml:space="preserve"> </w:t>
      </w:r>
      <w:r w:rsidRPr="000C037B">
        <w:rPr>
          <w:rFonts w:hint="eastAsia"/>
          <w:rtl/>
        </w:rPr>
        <w:t>הסביבה</w:t>
      </w:r>
      <w:r w:rsidRPr="00E34D65">
        <w:rPr>
          <w:rtl/>
        </w:rPr>
        <w:t xml:space="preserve">, </w:t>
      </w:r>
      <w:r w:rsidR="00A31713">
        <w:rPr>
          <w:rFonts w:hint="cs"/>
          <w:rtl/>
        </w:rPr>
        <w:t>ו</w:t>
      </w:r>
      <w:r w:rsidRPr="00E34D65">
        <w:rPr>
          <w:rFonts w:hint="eastAsia"/>
          <w:rtl/>
        </w:rPr>
        <w:t>הגוף</w:t>
      </w:r>
      <w:r w:rsidRPr="00E34D65">
        <w:rPr>
          <w:rtl/>
        </w:rPr>
        <w:t xml:space="preserve"> </w:t>
      </w:r>
      <w:r w:rsidRPr="00E34D65">
        <w:rPr>
          <w:rFonts w:hint="eastAsia"/>
          <w:rtl/>
        </w:rPr>
        <w:t>הממשלתי</w:t>
      </w:r>
      <w:r w:rsidRPr="00E34D65">
        <w:rPr>
          <w:rtl/>
        </w:rPr>
        <w:t xml:space="preserve"> </w:t>
      </w:r>
      <w:r w:rsidRPr="00E34D65">
        <w:rPr>
          <w:rFonts w:hint="eastAsia"/>
          <w:rtl/>
        </w:rPr>
        <w:t>האמון</w:t>
      </w:r>
      <w:r w:rsidRPr="00E34D65">
        <w:rPr>
          <w:rtl/>
        </w:rPr>
        <w:t xml:space="preserve"> </w:t>
      </w:r>
      <w:r w:rsidRPr="00E34D65">
        <w:rPr>
          <w:rFonts w:hint="eastAsia"/>
          <w:rtl/>
        </w:rPr>
        <w:t>על</w:t>
      </w:r>
      <w:r w:rsidRPr="00E34D65">
        <w:rPr>
          <w:rtl/>
        </w:rPr>
        <w:t xml:space="preserve"> </w:t>
      </w:r>
      <w:r w:rsidRPr="00E34D65">
        <w:rPr>
          <w:rFonts w:hint="eastAsia"/>
          <w:rtl/>
        </w:rPr>
        <w:t>הכללת</w:t>
      </w:r>
      <w:r w:rsidRPr="00E34D65">
        <w:rPr>
          <w:rtl/>
        </w:rPr>
        <w:t xml:space="preserve"> </w:t>
      </w:r>
      <w:r w:rsidRPr="00E34D65">
        <w:rPr>
          <w:rFonts w:hint="eastAsia"/>
          <w:rtl/>
        </w:rPr>
        <w:t>תנאים</w:t>
      </w:r>
      <w:r w:rsidRPr="00E34D65">
        <w:rPr>
          <w:rtl/>
        </w:rPr>
        <w:t xml:space="preserve"> </w:t>
      </w:r>
      <w:r w:rsidRPr="00E34D65">
        <w:rPr>
          <w:rFonts w:hint="eastAsia"/>
          <w:rtl/>
        </w:rPr>
        <w:t>ברישיון</w:t>
      </w:r>
      <w:r w:rsidRPr="00E34D65">
        <w:rPr>
          <w:rtl/>
        </w:rPr>
        <w:t xml:space="preserve"> </w:t>
      </w:r>
      <w:r w:rsidRPr="00E34D65">
        <w:rPr>
          <w:rFonts w:hint="eastAsia"/>
          <w:rtl/>
        </w:rPr>
        <w:t>שיבטיחו</w:t>
      </w:r>
      <w:r w:rsidRPr="00E34D65">
        <w:rPr>
          <w:rtl/>
        </w:rPr>
        <w:t xml:space="preserve"> </w:t>
      </w:r>
      <w:r w:rsidRPr="00E34D65">
        <w:rPr>
          <w:rFonts w:hint="eastAsia"/>
          <w:rtl/>
        </w:rPr>
        <w:t>שמירה</w:t>
      </w:r>
      <w:r w:rsidRPr="00E34D65">
        <w:rPr>
          <w:rtl/>
        </w:rPr>
        <w:t xml:space="preserve"> </w:t>
      </w:r>
      <w:r w:rsidRPr="00E34D65">
        <w:rPr>
          <w:rFonts w:hint="eastAsia"/>
          <w:rtl/>
        </w:rPr>
        <w:t>על</w:t>
      </w:r>
      <w:r w:rsidRPr="00E34D65">
        <w:rPr>
          <w:rtl/>
        </w:rPr>
        <w:t xml:space="preserve"> </w:t>
      </w:r>
      <w:r w:rsidRPr="00E34D65">
        <w:rPr>
          <w:rFonts w:hint="eastAsia"/>
          <w:rtl/>
        </w:rPr>
        <w:t>הסביבה</w:t>
      </w:r>
      <w:r w:rsidRPr="00E34D65">
        <w:rPr>
          <w:rtl/>
        </w:rPr>
        <w:t xml:space="preserve"> </w:t>
      </w:r>
      <w:r w:rsidRPr="00E34D65">
        <w:rPr>
          <w:rFonts w:hint="eastAsia"/>
          <w:rtl/>
        </w:rPr>
        <w:t>בשטח</w:t>
      </w:r>
      <w:r w:rsidRPr="00E34D65">
        <w:rPr>
          <w:rtl/>
        </w:rPr>
        <w:t xml:space="preserve"> </w:t>
      </w:r>
      <w:r w:rsidRPr="00E34D65">
        <w:rPr>
          <w:rFonts w:hint="eastAsia"/>
          <w:rtl/>
        </w:rPr>
        <w:t>זה</w:t>
      </w:r>
      <w:r w:rsidRPr="00E34D65">
        <w:rPr>
          <w:rtl/>
        </w:rPr>
        <w:t xml:space="preserve"> </w:t>
      </w:r>
      <w:r w:rsidRPr="00E34D65">
        <w:rPr>
          <w:rFonts w:hint="eastAsia"/>
          <w:rtl/>
        </w:rPr>
        <w:t>ועל</w:t>
      </w:r>
      <w:r w:rsidRPr="00E34D65">
        <w:rPr>
          <w:rtl/>
        </w:rPr>
        <w:t xml:space="preserve"> </w:t>
      </w:r>
      <w:r w:rsidRPr="00E34D65">
        <w:rPr>
          <w:rFonts w:hint="eastAsia"/>
          <w:rtl/>
        </w:rPr>
        <w:t>פיקוח</w:t>
      </w:r>
      <w:r w:rsidRPr="00E34D65">
        <w:rPr>
          <w:rtl/>
        </w:rPr>
        <w:t xml:space="preserve"> </w:t>
      </w:r>
      <w:r w:rsidRPr="00E34D65">
        <w:rPr>
          <w:rFonts w:hint="eastAsia"/>
          <w:rtl/>
        </w:rPr>
        <w:t>על</w:t>
      </w:r>
      <w:r w:rsidRPr="00E34D65">
        <w:rPr>
          <w:rtl/>
        </w:rPr>
        <w:t xml:space="preserve"> </w:t>
      </w:r>
      <w:r w:rsidRPr="00E34D65">
        <w:rPr>
          <w:rFonts w:hint="eastAsia"/>
          <w:rtl/>
        </w:rPr>
        <w:t>יישומם</w:t>
      </w:r>
      <w:r w:rsidRPr="00E34D65">
        <w:rPr>
          <w:rtl/>
        </w:rPr>
        <w:t xml:space="preserve">, </w:t>
      </w:r>
      <w:r w:rsidRPr="00CC693F">
        <w:rPr>
          <w:rFonts w:hint="cs"/>
          <w:rtl/>
        </w:rPr>
        <w:t>הוא</w:t>
      </w:r>
      <w:r>
        <w:rPr>
          <w:rFonts w:hint="cs"/>
          <w:rtl/>
        </w:rPr>
        <w:t xml:space="preserve"> </w:t>
      </w:r>
      <w:r w:rsidRPr="0097449C">
        <w:rPr>
          <w:rFonts w:hint="cs"/>
          <w:rtl/>
        </w:rPr>
        <w:t xml:space="preserve">המשרד </w:t>
      </w:r>
      <w:r w:rsidRPr="0097449C">
        <w:rPr>
          <w:rFonts w:hint="cs"/>
          <w:rtl/>
        </w:rPr>
        <w:t>להג"ס</w:t>
      </w:r>
      <w:r>
        <w:rPr>
          <w:rFonts w:hint="cs"/>
          <w:rtl/>
        </w:rPr>
        <w:t xml:space="preserve"> באמצעות מחוז דרום של המשרד</w:t>
      </w:r>
      <w:r>
        <w:rPr>
          <w:rStyle w:val="FootnoteReference1"/>
          <w:rtl/>
        </w:rPr>
        <w:footnoteReference w:id="20"/>
      </w:r>
      <w:r>
        <w:rPr>
          <w:rFonts w:hint="cs"/>
          <w:rtl/>
        </w:rPr>
        <w:t xml:space="preserve">. </w:t>
      </w:r>
    </w:p>
    <w:p w:rsidR="006734B0" w:rsidP="00CE7A9A" w14:paraId="42848B59" w14:textId="77777777">
      <w:pPr>
        <w:pStyle w:val="7392"/>
        <w:rPr>
          <w:rtl/>
        </w:rPr>
      </w:pPr>
      <w:r>
        <w:rPr>
          <w:rFonts w:hint="cs"/>
          <w:rtl/>
        </w:rPr>
        <w:t xml:space="preserve">בשלושת מפעלי </w:t>
      </w:r>
      <w:r>
        <w:rPr>
          <w:rFonts w:hint="cs"/>
          <w:rtl/>
        </w:rPr>
        <w:t>מי"ה</w:t>
      </w:r>
      <w:r>
        <w:rPr>
          <w:rFonts w:hint="cs"/>
          <w:rtl/>
        </w:rPr>
        <w:t xml:space="preserve"> - מפעל האשלג, מפעל הברום ומפעל המגנזיום, מתקיימות פעילויות שהן פריטים טעוני אישור לפי דיני רישוי עסקים. המפעלים ממוקמים בתוך גבולות אזור התעשייה, כפי שמוגדר בתוכנית מפעלי ים המלח סדום 51/100/02/10, ושטחם כ-0.3% מכלל שטח הזיכיון (להלן - שטח המפעלים). להלן תמונה של שטח הזיכיון; שטח המפעלים מסומן עליה בצבע אדום:</w:t>
      </w:r>
    </w:p>
    <w:p w:rsidR="006734B0" w:rsidP="00943F8C" w14:paraId="71E2B829" w14:textId="29174A29">
      <w:pPr>
        <w:pStyle w:val="734"/>
        <w:rPr>
          <w:highlight w:val="magenta"/>
          <w:rtl/>
        </w:rPr>
      </w:pPr>
      <w:r>
        <w:rPr>
          <w:rFonts w:hint="cs"/>
          <w:b w:val="0"/>
          <w:bCs w:val="0"/>
          <w:rtl/>
        </w:rPr>
        <w:t>מפה 2</w:t>
      </w:r>
      <w:r w:rsidRPr="00943F8C">
        <w:rPr>
          <w:rFonts w:hint="cs"/>
          <w:b w:val="0"/>
          <w:bCs w:val="0"/>
          <w:rtl/>
        </w:rPr>
        <w:t>:</w:t>
      </w:r>
      <w:r w:rsidRPr="00943F8C">
        <w:rPr>
          <w:rFonts w:hint="cs"/>
          <w:rtl/>
        </w:rPr>
        <w:t xml:space="preserve"> שטח המפעלים בתוך שטח הזיכיון</w:t>
      </w:r>
    </w:p>
    <w:p w:rsidR="00943F8C" w:rsidRPr="00943F8C" w:rsidP="00943F8C" w14:paraId="5C1E3DAC" w14:textId="5F2C555D">
      <w:pPr>
        <w:jc w:val="center"/>
        <w:rPr>
          <w:highlight w:val="magenta"/>
          <w:rtl/>
        </w:rPr>
      </w:pPr>
      <w:r>
        <w:rPr>
          <w:noProof/>
          <w:rtl/>
          <w:lang w:val="he-IL"/>
        </w:rPr>
        <w:drawing>
          <wp:inline distT="0" distB="0" distL="0" distR="0">
            <wp:extent cx="3500737" cy="4054110"/>
            <wp:effectExtent l="0" t="0" r="5080" b="0"/>
            <wp:docPr id="1108647568" name="תמונה 29" descr="תמונה שמכילה מפה, טקסט&#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647568" name="תמונה 29" descr="תמונה שמכילה מפה, טקסט&#10;&#10;תוכן שנוצר על-ידי בינה מלאכותית עשוי להיות שגוי."/>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a:xfrm>
                      <a:off x="0" y="0"/>
                      <a:ext cx="3518022" cy="4074127"/>
                    </a:xfrm>
                    <a:prstGeom prst="rect">
                      <a:avLst/>
                    </a:prstGeom>
                  </pic:spPr>
                </pic:pic>
              </a:graphicData>
            </a:graphic>
          </wp:inline>
        </w:drawing>
      </w:r>
    </w:p>
    <w:p w:rsidR="006734B0" w:rsidRPr="00943F8C" w:rsidP="00943F8C" w14:paraId="21BFED24" w14:textId="7C09DFE5">
      <w:pPr>
        <w:pStyle w:val="738"/>
        <w:rPr>
          <w:rtl/>
        </w:rPr>
      </w:pPr>
      <w:r w:rsidRPr="00943F8C">
        <w:rPr>
          <w:rFonts w:hint="cs"/>
          <w:rtl/>
        </w:rPr>
        <w:t xml:space="preserve">המקור: המשרד </w:t>
      </w:r>
      <w:r w:rsidRPr="00943F8C">
        <w:rPr>
          <w:rFonts w:hint="cs"/>
          <w:rtl/>
        </w:rPr>
        <w:t>להג"ס</w:t>
      </w:r>
      <w:r w:rsidRPr="00943F8C">
        <w:rPr>
          <w:rFonts w:hint="cs"/>
          <w:rtl/>
        </w:rPr>
        <w:t xml:space="preserve">. </w:t>
      </w:r>
    </w:p>
    <w:p w:rsidR="006734B0" w:rsidP="00CE7A9A" w14:paraId="5AF93573" w14:textId="7C10DE29">
      <w:pPr>
        <w:pStyle w:val="7392"/>
        <w:rPr>
          <w:sz w:val="16"/>
          <w:szCs w:val="20"/>
          <w:rtl/>
        </w:rPr>
      </w:pPr>
      <w:r>
        <w:rPr>
          <w:rFonts w:hint="cs"/>
          <w:rtl/>
        </w:rPr>
        <w:t xml:space="preserve">יובהר כי לצורך אסדרה סביבתית של פעילות תעשייתית, ובכלל זה פעילותה של </w:t>
      </w:r>
      <w:r>
        <w:rPr>
          <w:rFonts w:hint="cs"/>
          <w:rtl/>
        </w:rPr>
        <w:t>מי"ה</w:t>
      </w:r>
      <w:r>
        <w:rPr>
          <w:rFonts w:hint="cs"/>
          <w:rtl/>
        </w:rPr>
        <w:t xml:space="preserve">, מצויים בידי המשרד </w:t>
      </w:r>
      <w:r>
        <w:rPr>
          <w:rFonts w:hint="cs"/>
          <w:rtl/>
        </w:rPr>
        <w:t>להג"ס</w:t>
      </w:r>
      <w:r>
        <w:rPr>
          <w:rFonts w:hint="cs"/>
          <w:rtl/>
        </w:rPr>
        <w:t xml:space="preserve"> נוסף על דיני רישוי עסקים, כמה כלים רגולטורים אחרים, ובהם היתר רעלים לפי חוק החומרים המסוכנים, התשנ"ג-1993, והיתר פליטה לפי חוק אוויר נקי, התשס"ח-2008</w:t>
      </w:r>
      <w:r w:rsidR="00A31713">
        <w:rPr>
          <w:rFonts w:hint="cs"/>
          <w:rtl/>
        </w:rPr>
        <w:t xml:space="preserve"> (להלן </w:t>
      </w:r>
      <w:r w:rsidR="00A31713">
        <w:rPr>
          <w:rtl/>
        </w:rPr>
        <w:t>–</w:t>
      </w:r>
      <w:r w:rsidR="00A31713">
        <w:rPr>
          <w:rFonts w:hint="cs"/>
          <w:rtl/>
        </w:rPr>
        <w:t xml:space="preserve"> חוק אוויר נקי),</w:t>
      </w:r>
      <w:r>
        <w:rPr>
          <w:rFonts w:hint="cs"/>
          <w:rtl/>
        </w:rPr>
        <w:t xml:space="preserve"> וכן חלים דיני הסביבה הכלליים דוגמת החוק למניעת מפגעים, התשכ"א-1961, חוק שמירת הניקיון, התשמ"ד-1984</w:t>
      </w:r>
      <w:r w:rsidR="00A31713">
        <w:rPr>
          <w:rFonts w:hint="cs"/>
          <w:rtl/>
        </w:rPr>
        <w:t xml:space="preserve"> (להלן </w:t>
      </w:r>
      <w:r w:rsidR="00A31713">
        <w:rPr>
          <w:rtl/>
        </w:rPr>
        <w:t>–</w:t>
      </w:r>
      <w:r w:rsidR="00A31713">
        <w:rPr>
          <w:rFonts w:hint="cs"/>
          <w:rtl/>
        </w:rPr>
        <w:t xml:space="preserve"> חוק שמירת הניקיון),</w:t>
      </w:r>
      <w:r>
        <w:rPr>
          <w:rFonts w:hint="cs"/>
          <w:rtl/>
        </w:rPr>
        <w:t xml:space="preserve"> </w:t>
      </w:r>
      <w:r w:rsidRPr="009B0287">
        <w:rPr>
          <w:rFonts w:hint="cs"/>
          <w:rtl/>
        </w:rPr>
        <w:t xml:space="preserve">חוק </w:t>
      </w:r>
      <w:r w:rsidRPr="009B0287">
        <w:rPr>
          <w:rFonts w:hint="eastAsia"/>
          <w:rtl/>
        </w:rPr>
        <w:t>המים</w:t>
      </w:r>
      <w:r w:rsidRPr="009B0287">
        <w:rPr>
          <w:rFonts w:hint="cs"/>
          <w:rtl/>
        </w:rPr>
        <w:t>,</w:t>
      </w:r>
      <w:r>
        <w:rPr>
          <w:rFonts w:hint="cs"/>
          <w:rtl/>
        </w:rPr>
        <w:t xml:space="preserve"> התשי"ט-1959 ועוד. כמו כן, למשרדי ממשלה ולרשויות אחרות נתונות סמכויות </w:t>
      </w:r>
      <w:r>
        <w:rPr>
          <w:rFonts w:hint="cs"/>
          <w:rtl/>
        </w:rPr>
        <w:t>לאסדרת</w:t>
      </w:r>
      <w:r>
        <w:rPr>
          <w:rFonts w:hint="cs"/>
          <w:rtl/>
        </w:rPr>
        <w:t xml:space="preserve"> פעילויות תעשייתיות. בפרק זה נבחנת התנהלות המשרד </w:t>
      </w:r>
      <w:r>
        <w:rPr>
          <w:rFonts w:hint="cs"/>
          <w:rtl/>
        </w:rPr>
        <w:t>להג"ס</w:t>
      </w:r>
      <w:r>
        <w:rPr>
          <w:rFonts w:hint="cs"/>
          <w:rtl/>
        </w:rPr>
        <w:t xml:space="preserve"> </w:t>
      </w:r>
      <w:r w:rsidRPr="00A062C9">
        <w:rPr>
          <w:rFonts w:hint="cs"/>
          <w:rtl/>
        </w:rPr>
        <w:t xml:space="preserve">בכל הנוגע לדרישות הסביבתיות שהוא היה </w:t>
      </w:r>
      <w:r>
        <w:rPr>
          <w:rFonts w:hint="cs"/>
          <w:rtl/>
        </w:rPr>
        <w:t xml:space="preserve">יכול לקבוע במסגרת הסמכויות המוקנות לו מתוקף חוק רישוי עסקים ותקנותיו, שלא נקבעו במסגרת היתר הפליטה או היתר הרעלים. </w:t>
      </w:r>
    </w:p>
    <w:p w:rsidR="006734B0" w:rsidRPr="00943F8C" w:rsidP="00943F8C" w14:paraId="25845F89" w14:textId="0DCE3D49">
      <w:pPr>
        <w:pStyle w:val="733155"/>
        <w:rPr>
          <w:rtl/>
        </w:rPr>
      </w:pPr>
      <w:r w:rsidRPr="00943F8C">
        <w:rPr>
          <w:rFonts w:hint="cs"/>
          <w:rtl/>
        </w:rPr>
        <w:t xml:space="preserve">במהלך השנים 1968 - 1995: אי-הפעלת </w:t>
      </w:r>
      <w:r w:rsidR="00A31713">
        <w:rPr>
          <w:rFonts w:hint="cs"/>
          <w:rtl/>
        </w:rPr>
        <w:t>דיני</w:t>
      </w:r>
      <w:r w:rsidRPr="00943F8C">
        <w:rPr>
          <w:rFonts w:hint="cs"/>
          <w:rtl/>
        </w:rPr>
        <w:t xml:space="preserve"> רישוי עסקים על </w:t>
      </w:r>
      <w:r w:rsidRPr="00943F8C">
        <w:rPr>
          <w:rFonts w:hint="cs"/>
          <w:rtl/>
        </w:rPr>
        <w:t>מי"ה</w:t>
      </w:r>
    </w:p>
    <w:p w:rsidR="006734B0" w:rsidP="00CE7A9A" w14:paraId="6251CDAE" w14:textId="77777777">
      <w:pPr>
        <w:pStyle w:val="7392"/>
        <w:rPr>
          <w:rFonts w:cs="FrankRuehl"/>
          <w:rtl/>
        </w:rPr>
      </w:pPr>
      <w:r>
        <w:rPr>
          <w:rFonts w:hint="cs"/>
          <w:rtl/>
        </w:rPr>
        <w:t>במסגרת הליך משפטי אזרחי שהתקיים בתחילת שנות התשעים של המאה העשרים בבית המשפט המחוזי</w:t>
      </w:r>
      <w:r>
        <w:rPr>
          <w:rStyle w:val="FootnoteReference1"/>
          <w:rtl/>
        </w:rPr>
        <w:footnoteReference w:id="21"/>
      </w:r>
      <w:r>
        <w:rPr>
          <w:rFonts w:hint="cs"/>
          <w:rtl/>
        </w:rPr>
        <w:t xml:space="preserve">, עלה כי במשך כל עשרות שנות פעילותה של </w:t>
      </w:r>
      <w:r>
        <w:rPr>
          <w:rFonts w:hint="cs"/>
          <w:rtl/>
        </w:rPr>
        <w:t>מי"ה</w:t>
      </w:r>
      <w:r>
        <w:rPr>
          <w:rFonts w:hint="cs"/>
          <w:rtl/>
        </w:rPr>
        <w:t xml:space="preserve"> עד אותו המועד, היא סברה - כי על פי חוק הזיכיון, עבודות שהיא מבצעת בשטח הזיכיון לשם מימוש מטרותיו של הזיכיון, פטורות מקבלת היתר בנייה לפי </w:t>
      </w:r>
      <w:r w:rsidRPr="004F678D">
        <w:rPr>
          <w:rFonts w:hint="eastAsia"/>
          <w:rtl/>
        </w:rPr>
        <w:t>חוק</w:t>
      </w:r>
      <w:r w:rsidRPr="004F678D">
        <w:rPr>
          <w:rtl/>
        </w:rPr>
        <w:t xml:space="preserve"> </w:t>
      </w:r>
      <w:r w:rsidRPr="004F678D">
        <w:rPr>
          <w:rFonts w:hint="eastAsia"/>
          <w:rtl/>
        </w:rPr>
        <w:t>התכנון</w:t>
      </w:r>
      <w:r w:rsidRPr="004F678D">
        <w:rPr>
          <w:rtl/>
        </w:rPr>
        <w:t xml:space="preserve"> </w:t>
      </w:r>
      <w:r w:rsidRPr="004F678D">
        <w:rPr>
          <w:rFonts w:hint="eastAsia"/>
          <w:rtl/>
        </w:rPr>
        <w:t>והבנייה</w:t>
      </w:r>
      <w:r>
        <w:rPr>
          <w:rFonts w:hint="cs"/>
          <w:rtl/>
        </w:rPr>
        <w:t xml:space="preserve">, התשכ"ה-1965 (להלן - חוק התכנון והבנייה) - והיא פעלה על בסיס הנחה זו. בפסק הדין שניתן בהליך זה הבהיר בית המשפט כי שטר הזיכיון אומנם העניק </w:t>
      </w:r>
      <w:r>
        <w:rPr>
          <w:rFonts w:hint="cs"/>
          <w:rtl/>
        </w:rPr>
        <w:t>למי"ה</w:t>
      </w:r>
      <w:r>
        <w:rPr>
          <w:rFonts w:hint="cs"/>
          <w:rtl/>
        </w:rPr>
        <w:t xml:space="preserve"> זכות ייחודית לבצע בשטח הזיכיון עבודות המנויות בשטר הזיכיון, אך לא הקנה לה זכות לבנות ללא היתר בנייה. עוד הבהיר בית המשפט כי לפי סעיף 19 לשטר הזיכיון חייבת </w:t>
      </w:r>
      <w:r>
        <w:rPr>
          <w:rFonts w:hint="cs"/>
          <w:rtl/>
        </w:rPr>
        <w:t>מי"ה</w:t>
      </w:r>
      <w:r>
        <w:rPr>
          <w:rFonts w:hint="cs"/>
          <w:rtl/>
        </w:rPr>
        <w:t xml:space="preserve"> למלא אחר כל הדינים המתייחסים לבריאות ולביטחון של הציבור, ועל כן קבע כי גם מטעם זה כפופה פעילותה של </w:t>
      </w:r>
      <w:r>
        <w:rPr>
          <w:rFonts w:hint="cs"/>
          <w:rtl/>
        </w:rPr>
        <w:t>מי"ה</w:t>
      </w:r>
      <w:r>
        <w:rPr>
          <w:rFonts w:hint="cs"/>
          <w:rtl/>
        </w:rPr>
        <w:t xml:space="preserve"> לחוק התכנון והבנייה ש</w:t>
      </w:r>
      <w:r>
        <w:rPr>
          <w:rFonts w:hint="cs"/>
          <w:sz w:val="24"/>
          <w:rtl/>
        </w:rPr>
        <w:t xml:space="preserve">אחת ממטרותיו היא לשמור על בריאות הציבור. </w:t>
      </w:r>
    </w:p>
    <w:p w:rsidR="006734B0" w:rsidP="00CE7A9A" w14:paraId="774C6DEA" w14:textId="2AB963FE">
      <w:pPr>
        <w:pStyle w:val="7392"/>
        <w:rPr>
          <w:rtl/>
        </w:rPr>
      </w:pPr>
      <w:r>
        <w:rPr>
          <w:rFonts w:hint="cs"/>
          <w:rtl/>
        </w:rPr>
        <w:t xml:space="preserve">בעקבות קביעת בית המשפט, וכדי לתת </w:t>
      </w:r>
      <w:r>
        <w:rPr>
          <w:rFonts w:hint="cs"/>
          <w:rtl/>
        </w:rPr>
        <w:t>למי"ה</w:t>
      </w:r>
      <w:r>
        <w:rPr>
          <w:rFonts w:hint="cs"/>
          <w:rtl/>
        </w:rPr>
        <w:t xml:space="preserve"> תקופת התארגנות להסדרה תכנונית של פעילות מפעליה ולאפשר את המשך פעילותם השוטפת באופן רציף, חוקק חוק </w:t>
      </w:r>
      <w:r>
        <w:rPr>
          <w:rFonts w:hint="cs"/>
          <w:rtl/>
        </w:rPr>
        <w:t>זכיון</w:t>
      </w:r>
      <w:r>
        <w:rPr>
          <w:rFonts w:hint="cs"/>
          <w:rtl/>
        </w:rPr>
        <w:t xml:space="preserve"> ים המלח (תכנון ובנייה) (הוראות שעה לעבודות מסוימות), התשנ"ד-1994 (להלן - חוק הוראות השעה), בו נקבע כי יראו כל </w:t>
      </w:r>
      <w:r w:rsidRPr="00927A6F">
        <w:rPr>
          <w:rFonts w:hint="cs"/>
          <w:rtl/>
        </w:rPr>
        <w:t xml:space="preserve">עבודה </w:t>
      </w:r>
      <w:r>
        <w:rPr>
          <w:rFonts w:hint="cs"/>
          <w:rtl/>
        </w:rPr>
        <w:t xml:space="preserve">טעונת היתר בנייה שאת ביצועה השלימה </w:t>
      </w:r>
      <w:r>
        <w:rPr>
          <w:rFonts w:hint="cs"/>
          <w:rtl/>
        </w:rPr>
        <w:t>מי"ה</w:t>
      </w:r>
      <w:r>
        <w:rPr>
          <w:rFonts w:hint="cs"/>
          <w:rtl/>
        </w:rPr>
        <w:t xml:space="preserve"> בשטח הזיכיון לפני חקיקת הוראות השעה, כאילו נעשתה לפי הוראות חוק התכנון והבנייה</w:t>
      </w:r>
      <w:r>
        <w:rPr>
          <w:rStyle w:val="FootnoteReference1"/>
          <w:rtl/>
        </w:rPr>
        <w:footnoteReference w:id="22"/>
      </w:r>
      <w:r>
        <w:rPr>
          <w:rFonts w:hint="cs"/>
          <w:rtl/>
        </w:rPr>
        <w:t xml:space="preserve">. בהמשך תוקן גם חוק רישוי עסקים ונוסף לו סעיף 3א שכותרתו "הוראות </w:t>
      </w:r>
      <w:r>
        <w:rPr>
          <w:rFonts w:hint="cs"/>
          <w:rtl/>
        </w:rPr>
        <w:t>לענין</w:t>
      </w:r>
      <w:r>
        <w:rPr>
          <w:rFonts w:hint="cs"/>
          <w:rtl/>
        </w:rPr>
        <w:t xml:space="preserve"> מפעלי ים המלח", </w:t>
      </w:r>
      <w:bookmarkStart w:id="28" w:name="_Hlk189646743"/>
      <w:r>
        <w:rPr>
          <w:rFonts w:hint="cs"/>
          <w:rtl/>
        </w:rPr>
        <w:t xml:space="preserve">ובו נקבע כי יראו את העסקים טעוני הרישוי של </w:t>
      </w:r>
      <w:r>
        <w:rPr>
          <w:rFonts w:hint="cs"/>
          <w:rtl/>
        </w:rPr>
        <w:t>מי"ה</w:t>
      </w:r>
      <w:r>
        <w:rPr>
          <w:rFonts w:hint="cs"/>
          <w:rtl/>
        </w:rPr>
        <w:t xml:space="preserve"> שהיו קיימים </w:t>
      </w:r>
      <w:r w:rsidRPr="0097449C">
        <w:rPr>
          <w:rFonts w:hint="cs"/>
          <w:rtl/>
        </w:rPr>
        <w:t>בפברואר 1995</w:t>
      </w:r>
      <w:r>
        <w:rPr>
          <w:rStyle w:val="FootnoteReference1"/>
          <w:rtl/>
        </w:rPr>
        <w:footnoteReference w:id="23"/>
      </w:r>
      <w:r>
        <w:rPr>
          <w:rFonts w:hint="cs"/>
          <w:rtl/>
        </w:rPr>
        <w:t>, כעסקים שניתן לגביהם רישיון עסק על פי חוק רישוי עסקים</w:t>
      </w:r>
      <w:bookmarkEnd w:id="28"/>
      <w:r>
        <w:rPr>
          <w:rFonts w:hint="cs"/>
          <w:rtl/>
        </w:rPr>
        <w:t xml:space="preserve"> (להלן - ההסדר המיוחד). </w:t>
      </w:r>
      <w:r w:rsidRPr="0097449C">
        <w:rPr>
          <w:rFonts w:hint="cs"/>
          <w:rtl/>
        </w:rPr>
        <w:t>בדברי ההסבר להצעת החוק</w:t>
      </w:r>
      <w:r>
        <w:rPr>
          <w:rFonts w:hint="cs"/>
          <w:rtl/>
        </w:rPr>
        <w:t xml:space="preserve"> (להלן - דברי ההסבר) צוין כי ההסדר המיוחד הוצע כדי שלא לפגוע בתפקוד התקין של </w:t>
      </w:r>
      <w:r>
        <w:rPr>
          <w:rFonts w:hint="cs"/>
          <w:rtl/>
        </w:rPr>
        <w:t>מי"ה</w:t>
      </w:r>
      <w:r>
        <w:rPr>
          <w:rFonts w:hint="cs"/>
          <w:rtl/>
        </w:rPr>
        <w:t xml:space="preserve"> בשל המעבר ממצב שבו סברה כי אין היא חייבת ברישוי עסקים למצב שבו היא נדרשת לפעול לפי חוק רישוי עסקים</w:t>
      </w:r>
      <w:r>
        <w:rPr>
          <w:rStyle w:val="FootnoteReference1"/>
          <w:rtl/>
        </w:rPr>
        <w:footnoteReference w:id="24"/>
      </w:r>
      <w:r>
        <w:rPr>
          <w:rFonts w:hint="cs"/>
          <w:rtl/>
        </w:rPr>
        <w:t xml:space="preserve">. לפי ההסדר המיוחד, </w:t>
      </w:r>
      <w:r w:rsidRPr="001C16B0">
        <w:rPr>
          <w:rtl/>
        </w:rPr>
        <w:t>הרשויות הרלוונטיות יוכלו לכלול ב</w:t>
      </w:r>
      <w:r>
        <w:rPr>
          <w:rFonts w:hint="cs"/>
          <w:rtl/>
        </w:rPr>
        <w:t>רישיונות העסק הסטטוטוריים של</w:t>
      </w:r>
      <w:r w:rsidR="00A31713">
        <w:rPr>
          <w:rFonts w:hint="cs"/>
          <w:rtl/>
        </w:rPr>
        <w:t xml:space="preserve"> </w:t>
      </w:r>
      <w:r w:rsidR="00A31713">
        <w:rPr>
          <w:rFonts w:hint="cs"/>
          <w:rtl/>
        </w:rPr>
        <w:t>מי"ה</w:t>
      </w:r>
      <w:r w:rsidRPr="001C16B0">
        <w:rPr>
          <w:rtl/>
        </w:rPr>
        <w:t xml:space="preserve"> תנאים כמו בכל רישיון עסק אחר. בנוגע לפעילויות ולעבודות של </w:t>
      </w:r>
      <w:r w:rsidRPr="001C16B0">
        <w:rPr>
          <w:rtl/>
        </w:rPr>
        <w:t>מי"ה</w:t>
      </w:r>
      <w:r w:rsidRPr="001C16B0">
        <w:rPr>
          <w:rtl/>
        </w:rPr>
        <w:t xml:space="preserve"> בשטח הזיכיון שהתבצעו מאותו המועד (שנת 1995), חל ההסדר הרגיל הקבוע בחוק רישוי עסקים, והן מחויבות ב</w:t>
      </w:r>
      <w:r>
        <w:rPr>
          <w:rFonts w:hint="cs"/>
          <w:rtl/>
        </w:rPr>
        <w:t xml:space="preserve">קבלת </w:t>
      </w:r>
      <w:r w:rsidRPr="001C16B0">
        <w:rPr>
          <w:rtl/>
        </w:rPr>
        <w:t xml:space="preserve">רישיון עסק. </w:t>
      </w:r>
    </w:p>
    <w:p w:rsidR="006734B0" w:rsidP="00CE7A9A" w14:paraId="4A21A4D1" w14:textId="77777777">
      <w:pPr>
        <w:pStyle w:val="7392"/>
        <w:rPr>
          <w:rtl/>
        </w:rPr>
      </w:pPr>
      <w:r w:rsidRPr="00B40F44">
        <w:rPr>
          <w:rFonts w:hint="eastAsia"/>
          <w:rtl/>
        </w:rPr>
        <w:t>חוק</w:t>
      </w:r>
      <w:r w:rsidRPr="00B40F44">
        <w:rPr>
          <w:rtl/>
        </w:rPr>
        <w:t xml:space="preserve"> </w:t>
      </w:r>
      <w:r w:rsidRPr="00B40F44">
        <w:rPr>
          <w:rFonts w:hint="eastAsia"/>
          <w:rtl/>
        </w:rPr>
        <w:t>רישוי</w:t>
      </w:r>
      <w:r w:rsidRPr="00B40F44">
        <w:rPr>
          <w:rtl/>
        </w:rPr>
        <w:t xml:space="preserve"> </w:t>
      </w:r>
      <w:r w:rsidRPr="00B40F44">
        <w:rPr>
          <w:rFonts w:hint="eastAsia"/>
          <w:rtl/>
        </w:rPr>
        <w:t>עסקים</w:t>
      </w:r>
      <w:r w:rsidRPr="00B40F44">
        <w:rPr>
          <w:rtl/>
        </w:rPr>
        <w:t xml:space="preserve"> </w:t>
      </w:r>
      <w:r w:rsidRPr="00B40F44">
        <w:rPr>
          <w:rFonts w:hint="eastAsia"/>
          <w:rtl/>
        </w:rPr>
        <w:t>נועד</w:t>
      </w:r>
      <w:r w:rsidRPr="00B40F44">
        <w:rPr>
          <w:rtl/>
        </w:rPr>
        <w:t xml:space="preserve"> </w:t>
      </w:r>
      <w:r w:rsidRPr="00B40F44">
        <w:rPr>
          <w:rFonts w:hint="eastAsia"/>
          <w:rtl/>
        </w:rPr>
        <w:t>בין</w:t>
      </w:r>
      <w:r w:rsidRPr="00B40F44">
        <w:rPr>
          <w:rtl/>
        </w:rPr>
        <w:t xml:space="preserve"> </w:t>
      </w:r>
      <w:r w:rsidRPr="00B40F44">
        <w:rPr>
          <w:rFonts w:hint="eastAsia"/>
          <w:rtl/>
        </w:rPr>
        <w:t>היתר</w:t>
      </w:r>
      <w:r w:rsidRPr="00B40F44">
        <w:rPr>
          <w:rtl/>
        </w:rPr>
        <w:t xml:space="preserve"> </w:t>
      </w:r>
      <w:r w:rsidRPr="00B40F44">
        <w:rPr>
          <w:rFonts w:hint="eastAsia"/>
          <w:rtl/>
        </w:rPr>
        <w:t>להבטיח</w:t>
      </w:r>
      <w:r w:rsidRPr="00B40F44">
        <w:rPr>
          <w:rtl/>
        </w:rPr>
        <w:t xml:space="preserve"> </w:t>
      </w:r>
      <w:r w:rsidRPr="00B40F44">
        <w:rPr>
          <w:rFonts w:hint="eastAsia"/>
          <w:rtl/>
        </w:rPr>
        <w:t>כי</w:t>
      </w:r>
      <w:r w:rsidRPr="00B40F44">
        <w:rPr>
          <w:rtl/>
        </w:rPr>
        <w:t xml:space="preserve"> </w:t>
      </w:r>
      <w:r w:rsidRPr="00B40F44">
        <w:rPr>
          <w:rFonts w:hint="eastAsia"/>
          <w:rtl/>
        </w:rPr>
        <w:t>הפעילות</w:t>
      </w:r>
      <w:r w:rsidRPr="00B40F44">
        <w:rPr>
          <w:rtl/>
        </w:rPr>
        <w:t xml:space="preserve"> </w:t>
      </w:r>
      <w:r w:rsidRPr="00B40F44">
        <w:rPr>
          <w:rFonts w:hint="eastAsia"/>
          <w:rtl/>
        </w:rPr>
        <w:t>העסקית</w:t>
      </w:r>
      <w:r w:rsidRPr="00B40F44">
        <w:rPr>
          <w:rtl/>
        </w:rPr>
        <w:t xml:space="preserve"> </w:t>
      </w:r>
      <w:r w:rsidRPr="00B40F44">
        <w:rPr>
          <w:rFonts w:hint="eastAsia"/>
          <w:rtl/>
        </w:rPr>
        <w:t>תתבצע</w:t>
      </w:r>
      <w:r w:rsidRPr="00B40F44">
        <w:rPr>
          <w:rtl/>
        </w:rPr>
        <w:t xml:space="preserve"> </w:t>
      </w:r>
      <w:r w:rsidRPr="00B40F44">
        <w:rPr>
          <w:rFonts w:hint="eastAsia"/>
          <w:rtl/>
        </w:rPr>
        <w:t>תוך</w:t>
      </w:r>
      <w:r w:rsidRPr="00B40F44">
        <w:rPr>
          <w:rtl/>
        </w:rPr>
        <w:t xml:space="preserve"> </w:t>
      </w:r>
      <w:r w:rsidRPr="00B40F44">
        <w:rPr>
          <w:rFonts w:hint="eastAsia"/>
          <w:rtl/>
        </w:rPr>
        <w:t>שמירה</w:t>
      </w:r>
      <w:r w:rsidRPr="00B40F44">
        <w:rPr>
          <w:rtl/>
        </w:rPr>
        <w:t xml:space="preserve"> </w:t>
      </w:r>
      <w:r w:rsidRPr="00B40F44">
        <w:rPr>
          <w:rFonts w:hint="eastAsia"/>
          <w:rtl/>
        </w:rPr>
        <w:t>נאותה</w:t>
      </w:r>
      <w:r w:rsidRPr="00B40F44">
        <w:rPr>
          <w:rtl/>
        </w:rPr>
        <w:t xml:space="preserve"> </w:t>
      </w:r>
      <w:r w:rsidRPr="00B40F44">
        <w:rPr>
          <w:rFonts w:hint="eastAsia"/>
          <w:rtl/>
        </w:rPr>
        <w:t>על</w:t>
      </w:r>
      <w:r w:rsidRPr="00B40F44">
        <w:rPr>
          <w:rtl/>
        </w:rPr>
        <w:t xml:space="preserve"> </w:t>
      </w:r>
      <w:r w:rsidRPr="00B40F44">
        <w:rPr>
          <w:rFonts w:hint="eastAsia"/>
          <w:rtl/>
        </w:rPr>
        <w:t>הסביבה</w:t>
      </w:r>
      <w:r w:rsidRPr="00B40F44">
        <w:rPr>
          <w:rtl/>
        </w:rPr>
        <w:t xml:space="preserve">. </w:t>
      </w:r>
      <w:r w:rsidRPr="00B40F44">
        <w:rPr>
          <w:rFonts w:hint="eastAsia"/>
          <w:rtl/>
        </w:rPr>
        <w:t>עולה</w:t>
      </w:r>
      <w:r w:rsidRPr="00B40F44">
        <w:rPr>
          <w:rtl/>
        </w:rPr>
        <w:t xml:space="preserve"> </w:t>
      </w:r>
      <w:r w:rsidRPr="00B40F44">
        <w:rPr>
          <w:rFonts w:hint="eastAsia"/>
          <w:rtl/>
        </w:rPr>
        <w:t>כי</w:t>
      </w:r>
      <w:r w:rsidRPr="00B40F44">
        <w:rPr>
          <w:rtl/>
        </w:rPr>
        <w:t xml:space="preserve"> </w:t>
      </w:r>
      <w:r w:rsidRPr="00B40F44">
        <w:rPr>
          <w:rFonts w:hint="eastAsia"/>
          <w:rtl/>
        </w:rPr>
        <w:t>במשך</w:t>
      </w:r>
      <w:r w:rsidRPr="00B40F44">
        <w:rPr>
          <w:rtl/>
        </w:rPr>
        <w:t xml:space="preserve"> </w:t>
      </w:r>
      <w:r w:rsidRPr="00B40F44">
        <w:rPr>
          <w:rFonts w:hint="eastAsia"/>
          <w:rtl/>
        </w:rPr>
        <w:t>יותר</w:t>
      </w:r>
      <w:r w:rsidRPr="00B40F44">
        <w:rPr>
          <w:rtl/>
        </w:rPr>
        <w:t xml:space="preserve"> </w:t>
      </w:r>
      <w:r w:rsidRPr="00B40F44">
        <w:rPr>
          <w:rFonts w:hint="eastAsia"/>
          <w:rtl/>
        </w:rPr>
        <w:t>מ</w:t>
      </w:r>
      <w:r w:rsidRPr="00B40F44">
        <w:rPr>
          <w:rtl/>
        </w:rPr>
        <w:t xml:space="preserve">-25 </w:t>
      </w:r>
      <w:r w:rsidRPr="00B40F44">
        <w:rPr>
          <w:rFonts w:hint="eastAsia"/>
          <w:rtl/>
        </w:rPr>
        <w:t>שנים</w:t>
      </w:r>
      <w:r w:rsidRPr="00B40F44">
        <w:rPr>
          <w:rtl/>
        </w:rPr>
        <w:t xml:space="preserve"> </w:t>
      </w:r>
      <w:r w:rsidRPr="00B40F44">
        <w:rPr>
          <w:rFonts w:hint="eastAsia"/>
          <w:rtl/>
        </w:rPr>
        <w:t>לאחר</w:t>
      </w:r>
      <w:r w:rsidRPr="00B40F44">
        <w:rPr>
          <w:rtl/>
        </w:rPr>
        <w:t xml:space="preserve"> </w:t>
      </w:r>
      <w:r w:rsidRPr="00B40F44">
        <w:rPr>
          <w:rFonts w:hint="eastAsia"/>
          <w:rtl/>
        </w:rPr>
        <w:t>חקיקת</w:t>
      </w:r>
      <w:r w:rsidRPr="00B40F44">
        <w:rPr>
          <w:rtl/>
        </w:rPr>
        <w:t xml:space="preserve"> </w:t>
      </w:r>
      <w:r w:rsidRPr="00B40F44">
        <w:rPr>
          <w:rFonts w:hint="eastAsia"/>
          <w:rtl/>
        </w:rPr>
        <w:t>החוק</w:t>
      </w:r>
      <w:r w:rsidRPr="00B40F44">
        <w:rPr>
          <w:rtl/>
        </w:rPr>
        <w:t xml:space="preserve"> בשנת 1968, </w:t>
      </w:r>
      <w:r w:rsidRPr="003E39A4">
        <w:rPr>
          <w:rtl/>
        </w:rPr>
        <w:t xml:space="preserve">תהליכים תעשייתיים משמעותיים ורבים שביצעה </w:t>
      </w:r>
      <w:r w:rsidRPr="003E39A4">
        <w:rPr>
          <w:rtl/>
        </w:rPr>
        <w:t>מי"ה</w:t>
      </w:r>
      <w:r w:rsidRPr="003E39A4">
        <w:rPr>
          <w:rtl/>
        </w:rPr>
        <w:t xml:space="preserve"> בשטח זה, לרבות כאלה הכוללים עיסוק עם חומרים מסוכנים, שפכים תעשייתיים ופליטות מזהמים לאוויר, התנהלו ללא </w:t>
      </w:r>
      <w:r>
        <w:rPr>
          <w:rFonts w:hint="cs"/>
          <w:rtl/>
        </w:rPr>
        <w:t xml:space="preserve">שנדרש מהם </w:t>
      </w:r>
      <w:r w:rsidRPr="003E39A4">
        <w:rPr>
          <w:rtl/>
        </w:rPr>
        <w:t xml:space="preserve">רישוי </w:t>
      </w:r>
      <w:r>
        <w:rPr>
          <w:rFonts w:hint="cs"/>
          <w:rtl/>
        </w:rPr>
        <w:t>מתאים</w:t>
      </w:r>
      <w:r w:rsidRPr="003E39A4">
        <w:rPr>
          <w:rtl/>
        </w:rPr>
        <w:t xml:space="preserve">. </w:t>
      </w:r>
    </w:p>
    <w:p w:rsidR="006734B0" w:rsidRPr="008D2DC1" w:rsidP="008D2DC1" w14:paraId="07BCB4AE" w14:textId="77777777">
      <w:pPr>
        <w:pStyle w:val="733155"/>
        <w:rPr>
          <w:rtl/>
        </w:rPr>
      </w:pPr>
      <w:r w:rsidRPr="008D2DC1">
        <w:rPr>
          <w:rFonts w:hint="cs"/>
          <w:rtl/>
        </w:rPr>
        <w:t xml:space="preserve">שנת 1995 ואילך: ליקויים </w:t>
      </w:r>
      <w:r w:rsidRPr="008D2DC1">
        <w:rPr>
          <w:rFonts w:hint="cs"/>
          <w:rtl/>
        </w:rPr>
        <w:t>באסדרת</w:t>
      </w:r>
      <w:r w:rsidRPr="008D2DC1">
        <w:rPr>
          <w:rFonts w:hint="cs"/>
          <w:rtl/>
        </w:rPr>
        <w:t xml:space="preserve"> תנאים סביבתיים ברישיונות העסק של </w:t>
      </w:r>
      <w:r w:rsidRPr="008D2DC1">
        <w:rPr>
          <w:rFonts w:hint="cs"/>
          <w:rtl/>
        </w:rPr>
        <w:t>מי"ה</w:t>
      </w:r>
    </w:p>
    <w:p w:rsidR="006734B0" w:rsidRPr="008C362D" w:rsidP="008C362D" w14:paraId="6D6C2703" w14:textId="77777777">
      <w:pPr>
        <w:pStyle w:val="73414"/>
        <w:rPr>
          <w:rtl/>
        </w:rPr>
      </w:pPr>
      <w:r w:rsidRPr="008C362D">
        <w:rPr>
          <w:rFonts w:hint="cs"/>
          <w:rtl/>
        </w:rPr>
        <w:t xml:space="preserve">אסדרה חלקית של תנאים סביבתיים ברישיונות עסק בתוך שטח המפעלים </w:t>
      </w:r>
    </w:p>
    <w:p w:rsidR="006734B0" w:rsidP="00CE7A9A" w14:paraId="692199F2" w14:textId="77777777">
      <w:pPr>
        <w:pStyle w:val="7392"/>
        <w:rPr>
          <w:rtl/>
        </w:rPr>
      </w:pPr>
      <w:r>
        <w:rPr>
          <w:rFonts w:hint="cs"/>
          <w:rtl/>
        </w:rPr>
        <w:t xml:space="preserve">לשלושת המפעלים הפועלים באתר סדום (מפעל האשלג, מפעל הברום ומפעל המגנזיום, המכונים בדוח זה </w:t>
      </w:r>
      <w:r>
        <w:rPr>
          <w:rFonts w:hint="cs"/>
          <w:rtl/>
        </w:rPr>
        <w:t>מי"ה</w:t>
      </w:r>
      <w:r>
        <w:rPr>
          <w:rFonts w:hint="cs"/>
          <w:rtl/>
        </w:rPr>
        <w:t xml:space="preserve">) רישיון עסקים סטטוטורי מכוח ההסדר המיוחד משנת 1995. נוסף על רישיון סטטוטורי זה, המשרד </w:t>
      </w:r>
      <w:r>
        <w:rPr>
          <w:rFonts w:hint="cs"/>
          <w:rtl/>
        </w:rPr>
        <w:t>להג"ס</w:t>
      </w:r>
      <w:r>
        <w:rPr>
          <w:rFonts w:hint="cs"/>
          <w:rtl/>
        </w:rPr>
        <w:t xml:space="preserve"> קבע תנאים ברישיון העסק של המפעלים הללו בשנים שונות. </w:t>
      </w:r>
    </w:p>
    <w:p w:rsidR="006734B0" w:rsidRPr="00943F8C" w:rsidP="00943F8C" w14:paraId="481B16F9" w14:textId="77777777">
      <w:pPr>
        <w:pStyle w:val="73512"/>
        <w:rPr>
          <w:rtl/>
        </w:rPr>
      </w:pPr>
      <w:r w:rsidRPr="00943F8C">
        <w:rPr>
          <w:rFonts w:hint="cs"/>
          <w:rtl/>
        </w:rPr>
        <w:t xml:space="preserve">מפעל הברום </w:t>
      </w:r>
    </w:p>
    <w:p w:rsidR="006734B0" w:rsidP="00CE7A9A" w14:paraId="524D2932" w14:textId="77777777">
      <w:pPr>
        <w:pStyle w:val="7392"/>
        <w:rPr>
          <w:rtl/>
        </w:rPr>
      </w:pPr>
      <w:r>
        <w:rPr>
          <w:rFonts w:hint="cs"/>
          <w:rtl/>
        </w:rPr>
        <w:t>מפעל ה</w:t>
      </w:r>
      <w:r w:rsidRPr="00210D91">
        <w:rPr>
          <w:rFonts w:hint="cs"/>
          <w:rtl/>
        </w:rPr>
        <w:t xml:space="preserve">ברום </w:t>
      </w:r>
      <w:r>
        <w:rPr>
          <w:rFonts w:hint="cs"/>
          <w:rtl/>
        </w:rPr>
        <w:t xml:space="preserve">מהווה חלק משרשרת הייצור של מפעלי ים המלח. פעילות המפעל מתבצעת בשישה מתקני ייצור. נוסף על מתקני הייצור קיימים במפעל שירותי תעשייה שונים ובהם מתקני התפלת מים ודיזל גנרטורים, מגדלי קירור ומעבדות. בשנת 2000 קבע המשרד </w:t>
      </w:r>
      <w:r>
        <w:rPr>
          <w:rFonts w:hint="cs"/>
          <w:rtl/>
        </w:rPr>
        <w:t>להג"ס</w:t>
      </w:r>
      <w:r>
        <w:rPr>
          <w:rFonts w:hint="cs"/>
          <w:rtl/>
        </w:rPr>
        <w:t xml:space="preserve"> את התנאים הקיימים כיום ברישיון העסק של המפעל. </w:t>
      </w:r>
    </w:p>
    <w:p w:rsidR="006734B0" w:rsidRPr="00943F8C" w:rsidP="00943F8C" w14:paraId="75323BBA" w14:textId="197EA537">
      <w:pPr>
        <w:pStyle w:val="7318"/>
        <w:rPr>
          <w:rtl/>
        </w:rPr>
      </w:pPr>
      <w:r w:rsidRPr="00943F8C">
        <w:rPr>
          <w:rFonts w:hint="cs"/>
          <w:rtl/>
        </w:rPr>
        <w:t xml:space="preserve">נמצא כי התנאים שקבע המשרד </w:t>
      </w:r>
      <w:r w:rsidRPr="00943F8C">
        <w:rPr>
          <w:rFonts w:hint="cs"/>
          <w:rtl/>
        </w:rPr>
        <w:t>להג"ס</w:t>
      </w:r>
      <w:r w:rsidRPr="00943F8C">
        <w:rPr>
          <w:rFonts w:hint="cs"/>
          <w:rtl/>
        </w:rPr>
        <w:t xml:space="preserve"> ברישיון העסק של מפעל הברום נקבעו לפני </w:t>
      </w:r>
      <w:r w:rsidR="00943F8C">
        <w:rPr>
          <w:rtl/>
        </w:rPr>
        <w:br/>
      </w:r>
      <w:r w:rsidRPr="00943F8C">
        <w:rPr>
          <w:rFonts w:hint="cs"/>
          <w:rtl/>
        </w:rPr>
        <w:t xml:space="preserve">כ-25 שנה ולא עודכנו מאז. מדובר בתנאים ישנים, חסרים ומצומצמים לעומת התנאים שהוא קבע למפעלים דומים אחרים, אשר אינם מתייחסים להיבטים סביבתיים רבים. כך לדוגמה, המשרד </w:t>
      </w:r>
      <w:r w:rsidRPr="00943F8C">
        <w:rPr>
          <w:rFonts w:hint="cs"/>
          <w:rtl/>
        </w:rPr>
        <w:t>להג"ס</w:t>
      </w:r>
      <w:r w:rsidRPr="00943F8C">
        <w:rPr>
          <w:rFonts w:hint="cs"/>
          <w:rtl/>
        </w:rPr>
        <w:t xml:space="preserve"> לא כלל בתנאים אלו התייחסות לטיפול בשפכי המפעל ובמפגעי אסבסט. </w:t>
      </w:r>
    </w:p>
    <w:p w:rsidR="006734B0" w:rsidRPr="00E82C4D" w:rsidP="00CE7A9A" w14:paraId="232A433C" w14:textId="77777777">
      <w:pPr>
        <w:pStyle w:val="7392"/>
        <w:rPr>
          <w:rtl/>
        </w:rPr>
      </w:pPr>
      <w:r>
        <w:rPr>
          <w:rFonts w:hint="cs"/>
          <w:rtl/>
        </w:rPr>
        <w:t xml:space="preserve">יצוין כי המשרד </w:t>
      </w:r>
      <w:r>
        <w:rPr>
          <w:rFonts w:hint="cs"/>
          <w:rtl/>
        </w:rPr>
        <w:t>להג"ס</w:t>
      </w:r>
      <w:r>
        <w:rPr>
          <w:rFonts w:hint="cs"/>
          <w:rtl/>
        </w:rPr>
        <w:t xml:space="preserve"> מסר בתשובתו למשרד מבקר המדינה כי "ליבת פעילותו של מפעל הברום" מוסדרת באמצעות היתר רעלים, היתר פליטה והיתר הזרמה לים, וכי דרישות שונות בתחום הסביבתי מקבלות מענה עדכני ושוטף הן מכוח ההיתרים והן מכוח חקיקה סביבתית רלוונטית. </w:t>
      </w:r>
    </w:p>
    <w:p w:rsidR="006734B0" w:rsidRPr="00943F8C" w:rsidP="00943F8C" w14:paraId="27622798" w14:textId="28282975">
      <w:pPr>
        <w:pStyle w:val="7318"/>
        <w:rPr>
          <w:rtl/>
        </w:rPr>
      </w:pPr>
      <w:r w:rsidRPr="00943F8C">
        <w:rPr>
          <w:rFonts w:hint="eastAsia"/>
          <w:rtl/>
        </w:rPr>
        <w:t>על</w:t>
      </w:r>
      <w:r w:rsidRPr="00943F8C">
        <w:rPr>
          <w:rtl/>
        </w:rPr>
        <w:t xml:space="preserve"> </w:t>
      </w:r>
      <w:r w:rsidRPr="00943F8C">
        <w:rPr>
          <w:rFonts w:hint="eastAsia"/>
          <w:rtl/>
        </w:rPr>
        <w:t>המשרד</w:t>
      </w:r>
      <w:r w:rsidRPr="00943F8C">
        <w:rPr>
          <w:rtl/>
        </w:rPr>
        <w:t xml:space="preserve"> </w:t>
      </w:r>
      <w:r w:rsidRPr="00943F8C">
        <w:rPr>
          <w:rFonts w:hint="eastAsia"/>
          <w:rtl/>
        </w:rPr>
        <w:t>להג</w:t>
      </w:r>
      <w:r w:rsidRPr="00943F8C">
        <w:rPr>
          <w:rtl/>
        </w:rPr>
        <w:t>"ס</w:t>
      </w:r>
      <w:r w:rsidRPr="00943F8C">
        <w:rPr>
          <w:rtl/>
        </w:rPr>
        <w:t xml:space="preserve"> </w:t>
      </w:r>
      <w:r w:rsidRPr="00943F8C">
        <w:rPr>
          <w:rFonts w:hint="eastAsia"/>
          <w:rtl/>
        </w:rPr>
        <w:t>לבחון</w:t>
      </w:r>
      <w:r w:rsidRPr="00943F8C">
        <w:rPr>
          <w:rtl/>
        </w:rPr>
        <w:t xml:space="preserve"> </w:t>
      </w:r>
      <w:r w:rsidRPr="00943F8C">
        <w:rPr>
          <w:rFonts w:hint="eastAsia"/>
          <w:rtl/>
        </w:rPr>
        <w:t>את</w:t>
      </w:r>
      <w:r w:rsidRPr="00943F8C">
        <w:rPr>
          <w:rtl/>
        </w:rPr>
        <w:t xml:space="preserve"> </w:t>
      </w:r>
      <w:r w:rsidRPr="00943F8C">
        <w:rPr>
          <w:rFonts w:hint="eastAsia"/>
          <w:rtl/>
        </w:rPr>
        <w:t>הצורך</w:t>
      </w:r>
      <w:r w:rsidRPr="00943F8C">
        <w:rPr>
          <w:rtl/>
        </w:rPr>
        <w:t xml:space="preserve"> </w:t>
      </w:r>
      <w:r w:rsidRPr="00943F8C">
        <w:rPr>
          <w:rFonts w:hint="eastAsia"/>
          <w:rtl/>
        </w:rPr>
        <w:t>בהוספת</w:t>
      </w:r>
      <w:r w:rsidRPr="00943F8C">
        <w:rPr>
          <w:rtl/>
        </w:rPr>
        <w:t xml:space="preserve"> תנאים </w:t>
      </w:r>
      <w:r w:rsidRPr="00943F8C">
        <w:rPr>
          <w:rFonts w:hint="cs"/>
          <w:rtl/>
        </w:rPr>
        <w:t>סביבתיים ל</w:t>
      </w:r>
      <w:r w:rsidRPr="00943F8C">
        <w:rPr>
          <w:rtl/>
        </w:rPr>
        <w:t>רישיון</w:t>
      </w:r>
      <w:r w:rsidRPr="00943F8C">
        <w:rPr>
          <w:rFonts w:hint="cs"/>
          <w:rtl/>
        </w:rPr>
        <w:t xml:space="preserve"> העסק של מפעל הברום המתייחסים לכלל </w:t>
      </w:r>
      <w:r w:rsidRPr="00E205B2" w:rsidR="00E205B2">
        <w:rPr>
          <w:rtl/>
        </w:rPr>
        <w:t>הפעילויות המתקיימות</w:t>
      </w:r>
      <w:r w:rsidRPr="00943F8C">
        <w:rPr>
          <w:rtl/>
        </w:rPr>
        <w:t xml:space="preserve"> </w:t>
      </w:r>
      <w:r w:rsidRPr="00943F8C">
        <w:rPr>
          <w:rFonts w:hint="eastAsia"/>
          <w:rtl/>
        </w:rPr>
        <w:t>במפעל</w:t>
      </w:r>
      <w:r w:rsidRPr="00943F8C">
        <w:rPr>
          <w:rtl/>
        </w:rPr>
        <w:t xml:space="preserve"> </w:t>
      </w:r>
      <w:r w:rsidRPr="00943F8C">
        <w:rPr>
          <w:rFonts w:hint="eastAsia"/>
          <w:rtl/>
        </w:rPr>
        <w:t xml:space="preserve">הברום </w:t>
      </w:r>
      <w:r w:rsidRPr="00E205B2" w:rsidR="00E205B2">
        <w:rPr>
          <w:rtl/>
        </w:rPr>
        <w:t>שלהן</w:t>
      </w:r>
      <w:r w:rsidRPr="00E205B2" w:rsidR="00E205B2">
        <w:rPr>
          <w:rFonts w:hint="eastAsia"/>
          <w:rtl/>
        </w:rPr>
        <w:t xml:space="preserve"> </w:t>
      </w:r>
      <w:r w:rsidRPr="00943F8C">
        <w:rPr>
          <w:rFonts w:hint="eastAsia"/>
          <w:rtl/>
        </w:rPr>
        <w:t>השפעות</w:t>
      </w:r>
      <w:r w:rsidRPr="00943F8C">
        <w:rPr>
          <w:rtl/>
        </w:rPr>
        <w:t xml:space="preserve"> </w:t>
      </w:r>
      <w:r w:rsidRPr="00943F8C">
        <w:rPr>
          <w:rFonts w:hint="eastAsia"/>
          <w:rtl/>
        </w:rPr>
        <w:t>סביבתיות</w:t>
      </w:r>
      <w:r w:rsidRPr="00943F8C">
        <w:rPr>
          <w:rtl/>
        </w:rPr>
        <w:t>.</w:t>
      </w:r>
      <w:r w:rsidRPr="00943F8C">
        <w:rPr>
          <w:rFonts w:hint="cs"/>
          <w:rtl/>
        </w:rPr>
        <w:t xml:space="preserve"> </w:t>
      </w:r>
    </w:p>
    <w:p w:rsidR="006734B0" w:rsidRPr="00943F8C" w:rsidP="00943F8C" w14:paraId="7B95C10A" w14:textId="77777777">
      <w:pPr>
        <w:pStyle w:val="73512"/>
        <w:rPr>
          <w:rtl/>
        </w:rPr>
      </w:pPr>
      <w:r w:rsidRPr="00943F8C">
        <w:rPr>
          <w:rFonts w:hint="cs"/>
          <w:rtl/>
        </w:rPr>
        <w:t>מפעל האשלג</w:t>
      </w:r>
    </w:p>
    <w:p w:rsidR="006734B0" w:rsidP="00CE7A9A" w14:paraId="3B1BA022" w14:textId="77777777">
      <w:pPr>
        <w:pStyle w:val="7392"/>
        <w:rPr>
          <w:rtl/>
        </w:rPr>
      </w:pPr>
      <w:r>
        <w:rPr>
          <w:rFonts w:hint="cs"/>
          <w:rtl/>
        </w:rPr>
        <w:t xml:space="preserve">מפעל האשלג עוסק בייצור דשנים המבוססים על אשלגן ומייצר ארבעה סוגי מוצרי אשלג ממלח אשר נקצר מים המלח. המפעל מורכב מכמה מתקני ייצור, והוא כולל פריטי רישוי רבים. בשנת 2009 עדכן המשרד </w:t>
      </w:r>
      <w:r>
        <w:rPr>
          <w:rFonts w:hint="cs"/>
          <w:rtl/>
        </w:rPr>
        <w:t>להג"ס</w:t>
      </w:r>
      <w:r>
        <w:rPr>
          <w:rFonts w:hint="cs"/>
          <w:rtl/>
        </w:rPr>
        <w:t xml:space="preserve"> תנאים שנקבעו ברישיון העסק של המפעל בשנות התשעים של המאה העשרים וקבע את התנאים הקיימים ברישיונו בתקופת הביקורת הנוכחית, ובשנת 2012 הוא עדכן תנאים הנוגעים לפליטות לאוויר לאור כניסתו לתוקף של חוק אוויר נקי, התשס"ח-2008. </w:t>
      </w:r>
    </w:p>
    <w:p w:rsidR="006734B0" w:rsidRPr="00943F8C" w:rsidP="00943F8C" w14:paraId="2DDB09CD" w14:textId="77777777">
      <w:pPr>
        <w:pStyle w:val="7318"/>
        <w:rPr>
          <w:rtl/>
        </w:rPr>
      </w:pPr>
      <w:r w:rsidRPr="00943F8C">
        <w:rPr>
          <w:rFonts w:hint="cs"/>
          <w:rtl/>
        </w:rPr>
        <w:t xml:space="preserve">נמצא כי התנאים שקבע המשרד </w:t>
      </w:r>
      <w:r w:rsidRPr="00943F8C">
        <w:rPr>
          <w:rFonts w:hint="cs"/>
          <w:rtl/>
        </w:rPr>
        <w:t>להג"ס</w:t>
      </w:r>
      <w:r w:rsidRPr="00943F8C">
        <w:rPr>
          <w:rFonts w:hint="cs"/>
          <w:rtl/>
        </w:rPr>
        <w:t xml:space="preserve"> ברישיון העסק של מפעל האשלג, אשר לא עודכנו במהלך כ-15 השנים האחרונות, הם חסרים שכן הם אינם כוללים התייחסות לחלק מהפעילויות המתקיימות בתחומו שלהן השפעות סביבתיות נרחבות. כך לדוגמה, המשרד </w:t>
      </w:r>
      <w:r w:rsidRPr="00943F8C">
        <w:rPr>
          <w:rFonts w:hint="cs"/>
          <w:rtl/>
        </w:rPr>
        <w:t>להג"ס</w:t>
      </w:r>
      <w:r w:rsidRPr="00943F8C">
        <w:rPr>
          <w:rFonts w:hint="cs"/>
          <w:rtl/>
        </w:rPr>
        <w:t xml:space="preserve"> מסר כי לא נקבעו תנאים סביבתיים בנוגע לתשתיות הדלק בשטח המפעל, לרבות תחנות הדלק וחוות הדלקים, ובנוגע למתקן הטיפול בשפכים. </w:t>
      </w:r>
    </w:p>
    <w:p w:rsidR="006734B0" w:rsidRPr="00943F8C" w:rsidP="00943F8C" w14:paraId="4713C1F5" w14:textId="321A048E">
      <w:pPr>
        <w:pStyle w:val="7318"/>
        <w:rPr>
          <w:rtl/>
        </w:rPr>
      </w:pPr>
      <w:r w:rsidRPr="00943F8C">
        <w:rPr>
          <w:rFonts w:hint="cs"/>
          <w:rtl/>
        </w:rPr>
        <w:t xml:space="preserve">על המשרד </w:t>
      </w:r>
      <w:r w:rsidRPr="00943F8C">
        <w:rPr>
          <w:rFonts w:hint="cs"/>
          <w:rtl/>
        </w:rPr>
        <w:t>להג"ס</w:t>
      </w:r>
      <w:r w:rsidRPr="00943F8C">
        <w:rPr>
          <w:rFonts w:hint="cs"/>
          <w:rtl/>
        </w:rPr>
        <w:t xml:space="preserve"> לבחון את הצורך בהוספת תנאים סביבתיים לרישיון העסק של מפעל האשלג המתייחסים </w:t>
      </w:r>
      <w:r w:rsidRPr="00943F8C">
        <w:rPr>
          <w:rFonts w:hint="eastAsia"/>
          <w:rtl/>
        </w:rPr>
        <w:t>לכלל</w:t>
      </w:r>
      <w:r w:rsidRPr="00943F8C">
        <w:rPr>
          <w:rtl/>
        </w:rPr>
        <w:t xml:space="preserve"> </w:t>
      </w:r>
      <w:r w:rsidRPr="00E205B2" w:rsidR="00E205B2">
        <w:rPr>
          <w:rtl/>
        </w:rPr>
        <w:t>הפעילויות המתקיימות</w:t>
      </w:r>
      <w:r w:rsidRPr="00943F8C">
        <w:rPr>
          <w:rtl/>
        </w:rPr>
        <w:t xml:space="preserve"> </w:t>
      </w:r>
      <w:r w:rsidRPr="00943F8C">
        <w:rPr>
          <w:rFonts w:hint="eastAsia"/>
          <w:rtl/>
        </w:rPr>
        <w:t>במפעל</w:t>
      </w:r>
      <w:r w:rsidRPr="00943F8C">
        <w:rPr>
          <w:rtl/>
        </w:rPr>
        <w:t xml:space="preserve"> </w:t>
      </w:r>
      <w:r w:rsidRPr="00943F8C">
        <w:rPr>
          <w:rFonts w:hint="eastAsia"/>
          <w:rtl/>
        </w:rPr>
        <w:t>האשלג</w:t>
      </w:r>
      <w:r w:rsidRPr="00943F8C">
        <w:rPr>
          <w:rtl/>
        </w:rPr>
        <w:t xml:space="preserve"> </w:t>
      </w:r>
      <w:r w:rsidRPr="00E205B2" w:rsidR="00E205B2">
        <w:rPr>
          <w:rtl/>
        </w:rPr>
        <w:t>שלהן</w:t>
      </w:r>
      <w:r w:rsidRPr="00E205B2" w:rsidR="00E205B2">
        <w:rPr>
          <w:rFonts w:hint="eastAsia"/>
          <w:rtl/>
        </w:rPr>
        <w:t xml:space="preserve"> </w:t>
      </w:r>
      <w:r w:rsidRPr="00943F8C">
        <w:rPr>
          <w:rFonts w:hint="eastAsia"/>
          <w:rtl/>
        </w:rPr>
        <w:t>השפעות</w:t>
      </w:r>
      <w:r w:rsidRPr="00943F8C">
        <w:rPr>
          <w:rtl/>
        </w:rPr>
        <w:t xml:space="preserve"> </w:t>
      </w:r>
      <w:r w:rsidRPr="00943F8C">
        <w:rPr>
          <w:rFonts w:hint="eastAsia"/>
          <w:rtl/>
        </w:rPr>
        <w:t>סביבתיות</w:t>
      </w:r>
      <w:r w:rsidRPr="00943F8C">
        <w:rPr>
          <w:rtl/>
        </w:rPr>
        <w:t>.</w:t>
      </w:r>
      <w:r w:rsidRPr="00943F8C">
        <w:rPr>
          <w:rFonts w:hint="cs"/>
          <w:rtl/>
        </w:rPr>
        <w:t xml:space="preserve"> </w:t>
      </w:r>
    </w:p>
    <w:p w:rsidR="006734B0" w:rsidP="00CE7A9A" w14:paraId="5C04AE97" w14:textId="5011DCCE">
      <w:pPr>
        <w:pStyle w:val="7392"/>
        <w:rPr>
          <w:rtl/>
        </w:rPr>
      </w:pPr>
      <w:r w:rsidRPr="007E5799">
        <w:rPr>
          <w:rFonts w:hint="cs"/>
          <w:rtl/>
        </w:rPr>
        <w:t xml:space="preserve">המשרד </w:t>
      </w:r>
      <w:r w:rsidRPr="007E5799">
        <w:rPr>
          <w:rFonts w:hint="cs"/>
          <w:rtl/>
        </w:rPr>
        <w:t>להג"ס</w:t>
      </w:r>
      <w:r w:rsidRPr="007E5799">
        <w:rPr>
          <w:rFonts w:hint="cs"/>
          <w:rtl/>
        </w:rPr>
        <w:t xml:space="preserve"> מסר בתשובתו למשרד מבקר המדינה, בדומה לתשובתו לגבי מפעל הברום, כי ליבת פעילות מפעל האשלג מוסדרת באמצעות היתר רעלים, היתר פליטה והיתר הזרמה לים. לצד זאת ציין המשרד כי בימים אלו הוא מגבש טיוטת תנאי</w:t>
      </w:r>
      <w:r w:rsidR="005F2F70">
        <w:rPr>
          <w:rFonts w:hint="cs"/>
          <w:rtl/>
        </w:rPr>
        <w:t xml:space="preserve"> רישיון עסק</w:t>
      </w:r>
      <w:r w:rsidRPr="007E5799">
        <w:rPr>
          <w:rFonts w:hint="cs"/>
          <w:rtl/>
        </w:rPr>
        <w:t xml:space="preserve"> מעודכנת יותר.</w:t>
      </w:r>
      <w:r>
        <w:rPr>
          <w:rFonts w:hint="cs"/>
          <w:rtl/>
        </w:rPr>
        <w:t xml:space="preserve"> </w:t>
      </w:r>
    </w:p>
    <w:p w:rsidR="006734B0" w:rsidP="00943F8C" w14:paraId="3AAAC7D9" w14:textId="77777777">
      <w:pPr>
        <w:pStyle w:val="73610"/>
        <w:rPr>
          <w:rtl/>
        </w:rPr>
      </w:pPr>
      <w:r>
        <w:rPr>
          <w:rFonts w:hint="cs"/>
          <w:rtl/>
        </w:rPr>
        <w:t>תחנת הכוח החדשה במפעל האשלג</w:t>
      </w:r>
    </w:p>
    <w:p w:rsidR="006734B0" w:rsidP="00CE7A9A" w14:paraId="44C1A660" w14:textId="77777777">
      <w:pPr>
        <w:pStyle w:val="7392"/>
        <w:rPr>
          <w:rtl/>
        </w:rPr>
      </w:pPr>
      <w:r>
        <w:rPr>
          <w:rFonts w:hint="cs"/>
          <w:rtl/>
        </w:rPr>
        <w:t xml:space="preserve">בשנת 2018 החלה לפעול בתוך מפעל האשלג תחנת כוח חדשה על שטח של 12,000 מ"ר, המופעלת בגז טבעי, בהספק של </w:t>
      </w:r>
      <w:r w:rsidRPr="00210D91">
        <w:rPr>
          <w:rFonts w:hint="cs"/>
          <w:rtl/>
        </w:rPr>
        <w:t>230</w:t>
      </w:r>
      <w:r>
        <w:rPr>
          <w:rFonts w:hint="cs"/>
          <w:rtl/>
        </w:rPr>
        <w:t xml:space="preserve"> </w:t>
      </w:r>
      <w:r>
        <w:t>MV</w:t>
      </w:r>
      <w:r>
        <w:rPr>
          <w:rStyle w:val="FootnoteReference1"/>
          <w:rtl/>
        </w:rPr>
        <w:footnoteReference w:id="25"/>
      </w:r>
      <w:r>
        <w:rPr>
          <w:rFonts w:hint="cs"/>
          <w:rtl/>
        </w:rPr>
        <w:t xml:space="preserve">. זאת, נוסף על תחנת כוח קיימת שהספקה הוא 50 </w:t>
      </w:r>
      <w:r>
        <w:t>MV</w:t>
      </w:r>
      <w:r>
        <w:rPr>
          <w:rFonts w:hint="cs"/>
          <w:rtl/>
        </w:rPr>
        <w:t xml:space="preserve">. </w:t>
      </w:r>
    </w:p>
    <w:p w:rsidR="006734B0" w:rsidP="00943F8C" w14:paraId="541882D8" w14:textId="69F408E7">
      <w:pPr>
        <w:pStyle w:val="734"/>
        <w:rPr>
          <w:rtl/>
        </w:rPr>
      </w:pPr>
      <w:r w:rsidRPr="00943F8C">
        <w:rPr>
          <w:rFonts w:hint="cs"/>
          <w:b w:val="0"/>
          <w:bCs w:val="0"/>
          <w:rtl/>
        </w:rPr>
        <w:t xml:space="preserve">תמונה </w:t>
      </w:r>
      <w:r w:rsidR="00D0542F">
        <w:rPr>
          <w:rFonts w:hint="cs"/>
          <w:b w:val="0"/>
          <w:bCs w:val="0"/>
          <w:rtl/>
        </w:rPr>
        <w:t>1</w:t>
      </w:r>
      <w:r w:rsidRPr="00943F8C">
        <w:rPr>
          <w:rFonts w:hint="cs"/>
          <w:b w:val="0"/>
          <w:bCs w:val="0"/>
          <w:rtl/>
        </w:rPr>
        <w:t>:</w:t>
      </w:r>
      <w:r>
        <w:rPr>
          <w:rFonts w:hint="cs"/>
          <w:rtl/>
        </w:rPr>
        <w:t xml:space="preserve"> תחנת הכוח החדשה במפעל האשלג</w:t>
      </w:r>
    </w:p>
    <w:p w:rsidR="006734B0" w:rsidP="006734B0" w14:paraId="4B608DBB" w14:textId="77777777">
      <w:pPr>
        <w:spacing w:line="360" w:lineRule="auto"/>
        <w:rPr>
          <w:rtl/>
        </w:rPr>
      </w:pPr>
      <w:r>
        <w:rPr>
          <w:noProof/>
        </w:rPr>
        <w:drawing>
          <wp:inline distT="0" distB="0" distL="0" distR="0">
            <wp:extent cx="4669442" cy="2615910"/>
            <wp:effectExtent l="0" t="0" r="4445" b="635"/>
            <wp:docPr id="1962086320" name="תמונה 1962086320" descr="תמונה שמכילה סירה, אוניה, בחוץ, כחול&#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086320" name="תמונה 1962086320" descr="תמונה שמכילה סירה, אוניה, בחוץ, כחול&#10;&#10;תוכן שנוצר על-ידי בינה מלאכותית עשוי להיות שגוי."/>
                    <pic:cNvPicPr>
                      <a:picLocks noChangeAspect="1" noChangeArrowheads="1"/>
                    </pic:cNvPicPr>
                  </pic:nvPicPr>
                  <pic:blipFill>
                    <a:blip xmlns:r="http://schemas.openxmlformats.org/officeDocument/2006/relationships" r:embed="rId3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698385" cy="2632124"/>
                    </a:xfrm>
                    <a:prstGeom prst="rect">
                      <a:avLst/>
                    </a:prstGeom>
                    <a:noFill/>
                    <a:ln>
                      <a:noFill/>
                    </a:ln>
                  </pic:spPr>
                </pic:pic>
              </a:graphicData>
            </a:graphic>
          </wp:inline>
        </w:drawing>
      </w:r>
    </w:p>
    <w:p w:rsidR="006734B0" w:rsidRPr="00943F8C" w:rsidP="00943F8C" w14:paraId="522A2309" w14:textId="726C3795">
      <w:pPr>
        <w:pStyle w:val="738"/>
        <w:rPr>
          <w:rtl/>
        </w:rPr>
      </w:pPr>
      <w:r>
        <w:rPr>
          <w:rFonts w:hint="cs"/>
          <w:rtl/>
        </w:rPr>
        <w:t>המקור</w:t>
      </w:r>
      <w:r w:rsidRPr="00943F8C">
        <w:rPr>
          <w:rFonts w:hint="cs"/>
          <w:rtl/>
        </w:rPr>
        <w:t xml:space="preserve">: </w:t>
      </w:r>
      <w:r w:rsidRPr="00943F8C">
        <w:t>https://ywct.com/he/our-projects/icl-dead-sea-works-power-plant-israel</w:t>
      </w:r>
      <w:r w:rsidRPr="00943F8C">
        <w:rPr>
          <w:rFonts w:hint="cs"/>
          <w:rtl/>
        </w:rPr>
        <w:t xml:space="preserve">/. </w:t>
      </w:r>
    </w:p>
    <w:p w:rsidR="006734B0" w:rsidRPr="00943F8C" w:rsidP="00943F8C" w14:paraId="358F03E3" w14:textId="77777777">
      <w:pPr>
        <w:pStyle w:val="7318"/>
        <w:rPr>
          <w:rtl/>
        </w:rPr>
      </w:pPr>
      <w:r w:rsidRPr="00943F8C">
        <w:rPr>
          <w:rFonts w:hint="eastAsia"/>
          <w:rtl/>
        </w:rPr>
        <w:t>נמצא</w:t>
      </w:r>
      <w:r w:rsidRPr="00943F8C">
        <w:rPr>
          <w:rtl/>
        </w:rPr>
        <w:t xml:space="preserve"> כי המשרד </w:t>
      </w:r>
      <w:r w:rsidRPr="00943F8C">
        <w:rPr>
          <w:rtl/>
        </w:rPr>
        <w:t>להג"ס</w:t>
      </w:r>
      <w:r w:rsidRPr="00943F8C">
        <w:rPr>
          <w:rtl/>
        </w:rPr>
        <w:t xml:space="preserve"> </w:t>
      </w:r>
      <w:r w:rsidRPr="00943F8C">
        <w:rPr>
          <w:rFonts w:hint="eastAsia"/>
          <w:rtl/>
        </w:rPr>
        <w:t>לא</w:t>
      </w:r>
      <w:r w:rsidRPr="00943F8C">
        <w:rPr>
          <w:rtl/>
        </w:rPr>
        <w:t xml:space="preserve"> </w:t>
      </w:r>
      <w:r w:rsidRPr="00943F8C">
        <w:rPr>
          <w:rFonts w:hint="eastAsia"/>
          <w:rtl/>
        </w:rPr>
        <w:t>קבע</w:t>
      </w:r>
      <w:r w:rsidRPr="00943F8C">
        <w:rPr>
          <w:rtl/>
        </w:rPr>
        <w:t xml:space="preserve"> תנאים סביבתיים </w:t>
      </w:r>
      <w:r w:rsidRPr="00943F8C">
        <w:rPr>
          <w:rFonts w:hint="cs"/>
          <w:rtl/>
        </w:rPr>
        <w:t xml:space="preserve">ייעודיים </w:t>
      </w:r>
      <w:r w:rsidRPr="00943F8C">
        <w:rPr>
          <w:rFonts w:hint="eastAsia"/>
          <w:rtl/>
        </w:rPr>
        <w:t>בנוגע</w:t>
      </w:r>
      <w:r w:rsidRPr="00943F8C">
        <w:rPr>
          <w:rtl/>
        </w:rPr>
        <w:t xml:space="preserve"> </w:t>
      </w:r>
      <w:r w:rsidRPr="00943F8C">
        <w:rPr>
          <w:rFonts w:hint="eastAsia"/>
          <w:rtl/>
        </w:rPr>
        <w:t>לתחנת</w:t>
      </w:r>
      <w:r w:rsidRPr="00943F8C">
        <w:rPr>
          <w:rtl/>
        </w:rPr>
        <w:t xml:space="preserve"> </w:t>
      </w:r>
      <w:r w:rsidRPr="00943F8C">
        <w:rPr>
          <w:rFonts w:hint="eastAsia"/>
          <w:rtl/>
        </w:rPr>
        <w:t>הכוח</w:t>
      </w:r>
      <w:r w:rsidRPr="00943F8C">
        <w:rPr>
          <w:rtl/>
        </w:rPr>
        <w:t xml:space="preserve"> </w:t>
      </w:r>
      <w:r w:rsidRPr="00943F8C">
        <w:rPr>
          <w:rFonts w:hint="eastAsia"/>
          <w:rtl/>
        </w:rPr>
        <w:t>החדשה</w:t>
      </w:r>
      <w:r w:rsidRPr="00943F8C">
        <w:rPr>
          <w:rtl/>
        </w:rPr>
        <w:t xml:space="preserve"> </w:t>
      </w:r>
      <w:r w:rsidRPr="00943F8C">
        <w:rPr>
          <w:rFonts w:hint="eastAsia"/>
          <w:rtl/>
        </w:rPr>
        <w:t>במסגרת</w:t>
      </w:r>
      <w:r w:rsidRPr="00943F8C">
        <w:rPr>
          <w:rtl/>
        </w:rPr>
        <w:t xml:space="preserve"> </w:t>
      </w:r>
      <w:r w:rsidRPr="00943F8C">
        <w:rPr>
          <w:rFonts w:hint="eastAsia"/>
          <w:rtl/>
        </w:rPr>
        <w:t>רישיון</w:t>
      </w:r>
      <w:r w:rsidRPr="00943F8C">
        <w:rPr>
          <w:rtl/>
        </w:rPr>
        <w:t xml:space="preserve"> </w:t>
      </w:r>
      <w:r w:rsidRPr="00943F8C">
        <w:rPr>
          <w:rFonts w:hint="eastAsia"/>
          <w:rtl/>
        </w:rPr>
        <w:t>העסק</w:t>
      </w:r>
      <w:r w:rsidRPr="00943F8C">
        <w:rPr>
          <w:rtl/>
        </w:rPr>
        <w:t xml:space="preserve"> </w:t>
      </w:r>
      <w:r w:rsidRPr="00943F8C">
        <w:rPr>
          <w:rFonts w:hint="eastAsia"/>
          <w:rtl/>
        </w:rPr>
        <w:t>של</w:t>
      </w:r>
      <w:r w:rsidRPr="00943F8C">
        <w:rPr>
          <w:rtl/>
        </w:rPr>
        <w:t xml:space="preserve"> </w:t>
      </w:r>
      <w:r w:rsidRPr="00943F8C">
        <w:rPr>
          <w:rFonts w:hint="eastAsia"/>
          <w:rtl/>
        </w:rPr>
        <w:t>המפעל</w:t>
      </w:r>
      <w:r w:rsidRPr="00943F8C">
        <w:rPr>
          <w:rFonts w:hint="cs"/>
          <w:rtl/>
        </w:rPr>
        <w:t xml:space="preserve">. זאת, אף שבמסגרת התנאים שנקבעו ברישיון העסק של מפעל האשלג משנת 2009 ציין המשרד </w:t>
      </w:r>
      <w:r w:rsidRPr="00943F8C">
        <w:rPr>
          <w:rFonts w:hint="cs"/>
          <w:rtl/>
        </w:rPr>
        <w:t>להג"ס</w:t>
      </w:r>
      <w:r w:rsidRPr="00943F8C">
        <w:rPr>
          <w:rFonts w:hint="cs"/>
          <w:rtl/>
        </w:rPr>
        <w:t xml:space="preserve"> כי "לתחנת </w:t>
      </w:r>
      <w:r w:rsidRPr="00943F8C">
        <w:rPr>
          <w:rFonts w:hint="cs"/>
          <w:rtl/>
        </w:rPr>
        <w:t>הכח</w:t>
      </w:r>
      <w:r w:rsidRPr="00943F8C">
        <w:rPr>
          <w:rFonts w:hint="cs"/>
          <w:rtl/>
        </w:rPr>
        <w:t xml:space="preserve"> המתוכננת [החדשה] יוצאו תנאים נוספים בנפרד". </w:t>
      </w:r>
    </w:p>
    <w:p w:rsidR="006734B0" w:rsidP="00CE7A9A" w14:paraId="4A94D95B" w14:textId="77777777">
      <w:pPr>
        <w:pStyle w:val="7392"/>
        <w:rPr>
          <w:rtl/>
        </w:rPr>
      </w:pPr>
      <w:r>
        <w:rPr>
          <w:rFonts w:hint="cs"/>
          <w:rtl/>
        </w:rPr>
        <w:t xml:space="preserve">באפריל </w:t>
      </w:r>
      <w:r w:rsidRPr="00210D91">
        <w:rPr>
          <w:rFonts w:hint="cs"/>
          <w:rtl/>
        </w:rPr>
        <w:t>2024 מסרו נציגי</w:t>
      </w:r>
      <w:r>
        <w:rPr>
          <w:rFonts w:hint="cs"/>
          <w:rtl/>
        </w:rPr>
        <w:t xml:space="preserve"> המועצה האזורית תמר למשרד מבקר המדינה כי לתחנת הכוח </w:t>
      </w:r>
      <w:r>
        <w:rPr>
          <w:rFonts w:ascii="David" w:hAnsi="David" w:hint="cs"/>
          <w:sz w:val="24"/>
          <w:rtl/>
        </w:rPr>
        <w:t>רישיון עסק סטטוטורי מאחר שהיא הייתה קיימת לפני שנת 1995 (מועד חקיקת התיקון לחוק רישוי עסקים), וכי פעילותה הורחבה אך לא שונתה, זאת בהתבסס, בין השאר,</w:t>
      </w:r>
      <w:r>
        <w:rPr>
          <w:rFonts w:hint="cs"/>
          <w:rtl/>
        </w:rPr>
        <w:t xml:space="preserve"> על </w:t>
      </w:r>
      <w:r w:rsidRPr="00210D91">
        <w:rPr>
          <w:rFonts w:hint="cs"/>
          <w:rtl/>
        </w:rPr>
        <w:t>חוות דעת משפטית</w:t>
      </w:r>
      <w:r>
        <w:rPr>
          <w:rFonts w:hint="cs"/>
          <w:rtl/>
        </w:rPr>
        <w:t xml:space="preserve"> שהגישה </w:t>
      </w:r>
      <w:r>
        <w:rPr>
          <w:rFonts w:hint="cs"/>
          <w:rtl/>
        </w:rPr>
        <w:t>מי"ה</w:t>
      </w:r>
      <w:r>
        <w:rPr>
          <w:rFonts w:hint="cs"/>
          <w:rtl/>
        </w:rPr>
        <w:t xml:space="preserve"> למועצה בשנת 2020. </w:t>
      </w:r>
    </w:p>
    <w:p w:rsidR="006734B0" w:rsidRPr="00943F8C" w:rsidP="00943F8C" w14:paraId="4B63533F" w14:textId="6CF70379">
      <w:pPr>
        <w:pStyle w:val="7318"/>
        <w:rPr>
          <w:rtl/>
        </w:rPr>
      </w:pPr>
      <w:r w:rsidRPr="00943F8C">
        <w:rPr>
          <w:rFonts w:hint="cs"/>
          <w:rtl/>
        </w:rPr>
        <w:t>נמצא כי המועצה האזורית</w:t>
      </w:r>
      <w:r w:rsidR="00A31713">
        <w:rPr>
          <w:rFonts w:hint="cs"/>
          <w:rtl/>
        </w:rPr>
        <w:t xml:space="preserve"> תמר</w:t>
      </w:r>
      <w:r w:rsidRPr="00943F8C">
        <w:rPr>
          <w:rFonts w:hint="cs"/>
          <w:rtl/>
        </w:rPr>
        <w:t xml:space="preserve"> נשענה על חוות דעת של </w:t>
      </w:r>
      <w:r w:rsidRPr="00943F8C">
        <w:rPr>
          <w:rFonts w:hint="cs"/>
          <w:rtl/>
        </w:rPr>
        <w:t>מי"ה</w:t>
      </w:r>
      <w:r w:rsidRPr="00943F8C">
        <w:rPr>
          <w:rFonts w:hint="cs"/>
          <w:rtl/>
        </w:rPr>
        <w:t xml:space="preserve"> ולפיה רישיון העסק של תחנת הכוח הישנה תקף גם לגבי תחנת הכוח החדשה ללא שנמצא כי היא בחנה את הנושא על ידי מי מטעמה. כמו כן חוות הדעת מעוררת קושי ממשי בכמה היבטים: (א) רישיון העסק הסטטוטורי ניתן לתחנת הכוח הישנה. תחנת הכוח החדשה פועלת בשיטת ייצור שונה ומייצרת חשמל בהיקף של פי חמישה מתחנת הכוח הישנה; (ב) התחנות ממוקמות בסמיכות אך בשטח שונה ולכל אחת מהן תשתיות נפרדות; (ג) חוות הדעת המשפטית שעליה היא התבססה בהחלטתה אינה מתייחסת לשאלת הצורך ברישיון עסק נפרד או במתן תנאים סביבתיים לתחנת הכוח החדשה.</w:t>
      </w:r>
    </w:p>
    <w:p w:rsidR="006734B0" w:rsidP="00CE7A9A" w14:paraId="3C7D73E6" w14:textId="77777777">
      <w:pPr>
        <w:pStyle w:val="7392"/>
        <w:rPr>
          <w:rtl/>
        </w:rPr>
      </w:pPr>
      <w:r>
        <w:rPr>
          <w:rFonts w:hint="cs"/>
          <w:rtl/>
        </w:rPr>
        <w:t xml:space="preserve">במענה להיבטים אלו מסרה המועצה האזורית תמר למשרד מבקר המדינה במאי 2024 כי הנושא בבדיקה. </w:t>
      </w:r>
    </w:p>
    <w:p w:rsidR="006734B0" w:rsidP="00CE7A9A" w14:paraId="33D41A7E" w14:textId="3C9D4152">
      <w:pPr>
        <w:pStyle w:val="7392"/>
        <w:rPr>
          <w:rtl/>
        </w:rPr>
      </w:pPr>
      <w:r>
        <w:rPr>
          <w:rFonts w:hint="cs"/>
          <w:rtl/>
        </w:rPr>
        <w:t xml:space="preserve">המשרד </w:t>
      </w:r>
      <w:r w:rsidRPr="00F571AD" w:rsidR="00F571AD">
        <w:rPr>
          <w:rtl/>
        </w:rPr>
        <w:t>להג"ס</w:t>
      </w:r>
      <w:r w:rsidRPr="00F571AD" w:rsidR="00F571AD">
        <w:rPr>
          <w:rtl/>
        </w:rPr>
        <w:t xml:space="preserve"> מסר בתשובותיו למשרד מבקר המדינה כי התנאים </w:t>
      </w:r>
      <w:r w:rsidRPr="00F571AD" w:rsidR="00F571AD">
        <w:rPr>
          <w:rtl/>
        </w:rPr>
        <w:t>המאסדרים</w:t>
      </w:r>
      <w:r w:rsidRPr="00F571AD" w:rsidR="00F571AD">
        <w:rPr>
          <w:rtl/>
        </w:rPr>
        <w:t xml:space="preserve"> את פעילותה של תחנת הכוח החדשה מצוינים בהיתר הפליטה של מפעל האשלג, ועל כן לא נקבעו תנאים כאלה גם ברישיון העסק וכי האמירה שהייתה כלולה בתנאים ברישיון עסק למפעל האשלג משנת 2009 שלפיה יינתנו תנאים נפרדים לתחנת כוח זו בהמשך</w:t>
      </w:r>
      <w:r w:rsidR="005F2F70">
        <w:rPr>
          <w:rFonts w:hint="cs"/>
          <w:rtl/>
        </w:rPr>
        <w:t>,</w:t>
      </w:r>
      <w:r w:rsidRPr="00F571AD" w:rsidR="00F571AD">
        <w:rPr>
          <w:rtl/>
        </w:rPr>
        <w:t xml:space="preserve"> צוינה בטרם נכנס לתוקפו חוק אוויר נקי שמכוחו ניתן למפעל היתר פליטה. גם </w:t>
      </w:r>
      <w:r w:rsidRPr="00F571AD" w:rsidR="00F571AD">
        <w:rPr>
          <w:rtl/>
        </w:rPr>
        <w:t>מי"ה</w:t>
      </w:r>
      <w:r w:rsidRPr="00F571AD" w:rsidR="00F571AD">
        <w:rPr>
          <w:rtl/>
        </w:rPr>
        <w:t xml:space="preserve"> מסרה בתשובתה למשרד מבקר המדינה כי תנאים סביבתיים לפעולת תחנת הכוח נקבעו בין השאר בהיתר הפליטה ובהיתר הרעלים שלה, וכן כי תחנת הכוח החדשה חוסה לפי עמדתה תחת רישיון העסק הסטטוטורי של </w:t>
      </w:r>
      <w:r w:rsidRPr="00F571AD" w:rsidR="00F571AD">
        <w:rPr>
          <w:rtl/>
        </w:rPr>
        <w:t>מי"ה</w:t>
      </w:r>
      <w:r w:rsidRPr="00F571AD" w:rsidR="00F571AD">
        <w:rPr>
          <w:rtl/>
        </w:rPr>
        <w:t>, מאחר שמדובר בפעילות שהתבצעה לפני חקיקת הוראות השעה והרחבתה או החלפתה אינם מצריכים רישיון עסק חדש</w:t>
      </w:r>
      <w:r>
        <w:rPr>
          <w:rFonts w:hint="cs"/>
          <w:rtl/>
        </w:rPr>
        <w:t xml:space="preserve">. </w:t>
      </w:r>
    </w:p>
    <w:p w:rsidR="006734B0" w:rsidP="00CE7A9A" w14:paraId="6B0928BD" w14:textId="6DE5F681">
      <w:pPr>
        <w:pStyle w:val="7392"/>
        <w:rPr>
          <w:rtl/>
        </w:rPr>
      </w:pPr>
      <w:r>
        <w:rPr>
          <w:rFonts w:hint="cs"/>
          <w:rtl/>
        </w:rPr>
        <w:t xml:space="preserve">לצד זאת, המועצה האזורית תמר </w:t>
      </w:r>
      <w:r w:rsidR="00A31713">
        <w:rPr>
          <w:rFonts w:hint="cs"/>
          <w:rtl/>
        </w:rPr>
        <w:t>והיח</w:t>
      </w:r>
      <w:r w:rsidRPr="00F571AD" w:rsidR="00A31713">
        <w:rPr>
          <w:rtl/>
        </w:rPr>
        <w:t>"</w:t>
      </w:r>
      <w:r w:rsidR="00A31713">
        <w:rPr>
          <w:rFonts w:hint="cs"/>
          <w:rtl/>
        </w:rPr>
        <w:t>ס</w:t>
      </w:r>
      <w:r w:rsidR="00A31713">
        <w:rPr>
          <w:rFonts w:hint="cs"/>
          <w:rtl/>
        </w:rPr>
        <w:t xml:space="preserve"> נגב מזרחי</w:t>
      </w:r>
      <w:r>
        <w:rPr>
          <w:rFonts w:hint="cs"/>
          <w:rtl/>
        </w:rPr>
        <w:t xml:space="preserve"> ציינו כי היחידה הסביבתית </w:t>
      </w:r>
      <w:r w:rsidRPr="00330B95">
        <w:rPr>
          <w:rFonts w:hint="cs"/>
          <w:rtl/>
        </w:rPr>
        <w:t>שיקפ</w:t>
      </w:r>
      <w:r>
        <w:rPr>
          <w:rFonts w:hint="cs"/>
          <w:rtl/>
        </w:rPr>
        <w:t xml:space="preserve">ה למשרד </w:t>
      </w:r>
      <w:r>
        <w:rPr>
          <w:rFonts w:hint="cs"/>
          <w:rtl/>
        </w:rPr>
        <w:t>להג"ס</w:t>
      </w:r>
      <w:r>
        <w:rPr>
          <w:rFonts w:hint="cs"/>
          <w:rtl/>
        </w:rPr>
        <w:t xml:space="preserve">, כמה פעמים, את הצורך בהוצאת תנאים נוספים ברישיון העסק הסטטוטורי הקיים של תחנת הכוח, אך להבנתה בשל סדרי קדימויות </w:t>
      </w:r>
      <w:r w:rsidR="00A31713">
        <w:rPr>
          <w:rFonts w:hint="cs"/>
          <w:rtl/>
        </w:rPr>
        <w:t>אחרים</w:t>
      </w:r>
      <w:r>
        <w:rPr>
          <w:rFonts w:hint="cs"/>
          <w:rtl/>
        </w:rPr>
        <w:t xml:space="preserve"> ומאחר שהתחנה הוקמה תחת דרישות סביבתיות במסגרת היתר הבנייה ויש לגביה דרישות במסגרת היתר הפליטה והיתר הרעלים, החליט המשרד כי הטיפול בתנאים שברישיון העסק ייעשה בהמשך. </w:t>
      </w:r>
    </w:p>
    <w:p w:rsidR="006734B0" w:rsidRPr="00943F8C" w:rsidP="00943F8C" w14:paraId="596CDA1D" w14:textId="77777777">
      <w:pPr>
        <w:pStyle w:val="7318"/>
        <w:rPr>
          <w:rtl/>
        </w:rPr>
      </w:pPr>
      <w:r w:rsidRPr="00943F8C">
        <w:rPr>
          <w:rFonts w:hint="cs"/>
          <w:rtl/>
        </w:rPr>
        <w:t xml:space="preserve">על המועצה האזורית תמר להשלים את בחינת הצורך בהוצאת רישיון עסק לתחנת הכוח החדשה ולסכם את תוצאות הבחינה במסמך </w:t>
      </w:r>
      <w:r w:rsidRPr="00943F8C">
        <w:rPr>
          <w:rFonts w:hint="cs"/>
          <w:rtl/>
        </w:rPr>
        <w:t>רישמי</w:t>
      </w:r>
      <w:r w:rsidRPr="00943F8C">
        <w:rPr>
          <w:rFonts w:hint="cs"/>
          <w:rtl/>
        </w:rPr>
        <w:t xml:space="preserve"> שיהווה בסיס להמשך פעולתה בנושא. על המשרד </w:t>
      </w:r>
      <w:r w:rsidRPr="00943F8C">
        <w:rPr>
          <w:rFonts w:hint="cs"/>
          <w:rtl/>
        </w:rPr>
        <w:t>להג"ס</w:t>
      </w:r>
      <w:r w:rsidRPr="00943F8C">
        <w:rPr>
          <w:rFonts w:hint="cs"/>
          <w:rtl/>
        </w:rPr>
        <w:t xml:space="preserve"> לבחון את הצורך בקביעת תנאים סביבתיים לתחנת הכוח החדשה ברישיון העסק שלה, בשים לב למאפייניה ולהשפעות הסביבתיות של פעולתה.</w:t>
      </w:r>
    </w:p>
    <w:p w:rsidR="006734B0" w:rsidP="00CE7A9A" w14:paraId="3FF86353" w14:textId="1B900B92">
      <w:pPr>
        <w:pStyle w:val="7392"/>
        <w:rPr>
          <w:rtl/>
        </w:rPr>
      </w:pPr>
      <w:r>
        <w:rPr>
          <w:rFonts w:hint="cs"/>
          <w:rtl/>
        </w:rPr>
        <w:t>יצוין כי מבדיקת צוות הביקורת עלה כי התנאים הנוספים ב</w:t>
      </w:r>
      <w:r w:rsidR="00CB682C">
        <w:rPr>
          <w:rFonts w:hint="cs"/>
          <w:rtl/>
        </w:rPr>
        <w:t xml:space="preserve">טיוטת </w:t>
      </w:r>
      <w:r>
        <w:rPr>
          <w:rFonts w:hint="cs"/>
          <w:rtl/>
        </w:rPr>
        <w:t xml:space="preserve">רישיון העסק של </w:t>
      </w:r>
      <w:r>
        <w:rPr>
          <w:rFonts w:hint="cs"/>
          <w:rtl/>
        </w:rPr>
        <w:t>מי"ה</w:t>
      </w:r>
      <w:r>
        <w:rPr>
          <w:rFonts w:hint="cs"/>
          <w:rtl/>
        </w:rPr>
        <w:t xml:space="preserve"> שגיבש המשרד לאחר מועד סיום הביקורת כוללים התייחסות להיבטים סביבתיים שלא הוסדרו עד כה לגבי תחנת הכוח. </w:t>
      </w:r>
    </w:p>
    <w:p w:rsidR="006734B0" w:rsidRPr="00943F8C" w:rsidP="00943F8C" w14:paraId="2DBC71C8" w14:textId="77777777">
      <w:pPr>
        <w:pStyle w:val="73512"/>
        <w:rPr>
          <w:rtl/>
        </w:rPr>
      </w:pPr>
      <w:r w:rsidRPr="00943F8C">
        <w:rPr>
          <w:rFonts w:hint="cs"/>
          <w:rtl/>
        </w:rPr>
        <w:t>מפעל המגנזיום</w:t>
      </w:r>
    </w:p>
    <w:p w:rsidR="006734B0" w:rsidP="00CE7A9A" w14:paraId="3165CEA3" w14:textId="77777777">
      <w:pPr>
        <w:pStyle w:val="7392"/>
        <w:rPr>
          <w:b/>
          <w:bCs/>
          <w:rtl/>
        </w:rPr>
      </w:pPr>
      <w:r>
        <w:rPr>
          <w:rFonts w:hint="cs"/>
          <w:rtl/>
        </w:rPr>
        <w:t xml:space="preserve">בינואר 2023 </w:t>
      </w:r>
      <w:r w:rsidRPr="00EA58D2">
        <w:rPr>
          <w:rFonts w:hint="cs"/>
          <w:rtl/>
        </w:rPr>
        <w:t xml:space="preserve">קבע המשרד </w:t>
      </w:r>
      <w:r w:rsidRPr="00EA58D2">
        <w:rPr>
          <w:rFonts w:hint="cs"/>
          <w:rtl/>
        </w:rPr>
        <w:t>להג"ס</w:t>
      </w:r>
      <w:r w:rsidRPr="00EA58D2">
        <w:rPr>
          <w:rFonts w:hint="cs"/>
          <w:rtl/>
        </w:rPr>
        <w:t xml:space="preserve"> תנאים סביבתיים</w:t>
      </w:r>
      <w:r>
        <w:rPr>
          <w:rFonts w:hint="cs"/>
          <w:rtl/>
        </w:rPr>
        <w:t xml:space="preserve"> לרישיון העסק של מפעל המגנזיום המסדירים את הפעילויות השונות המתקיימות במפעל. בנימוקי החלטתו לקבוע תנאים סביבתיים ברישיון העסק ציין המשרד </w:t>
      </w:r>
      <w:r>
        <w:rPr>
          <w:rFonts w:hint="cs"/>
          <w:rtl/>
        </w:rPr>
        <w:t>להג"ס</w:t>
      </w:r>
      <w:r>
        <w:rPr>
          <w:rFonts w:hint="cs"/>
          <w:rtl/>
        </w:rPr>
        <w:t xml:space="preserve"> כי "העסק שבנדון פועל עם תנאים ברישיון משנת 1998. במסגרת הבחינה של פוטנציאל השפעתו על הסביבה, נמצאו פערים משמעותיים בין תנאי משרדנו שהוצאו בשנת 1998 לאופן הפעולה הרצוי והמקובל כיום על פי הדרישות והסטנדרים למניעת סיכונים סביבתיים". עוד צוין בהחלטה כי "חלק מהתנאים הנוספים המצורפים מטרתם למנוע </w:t>
      </w:r>
      <w:r>
        <w:rPr>
          <w:rFonts w:hint="cs"/>
          <w:b/>
          <w:bCs/>
          <w:rtl/>
        </w:rPr>
        <w:t xml:space="preserve">סכנה לפגיעה באיכות הסביבה" </w:t>
      </w:r>
      <w:r>
        <w:rPr>
          <w:rFonts w:hint="cs"/>
          <w:rtl/>
        </w:rPr>
        <w:t>(ההדגשה במקור).</w:t>
      </w:r>
    </w:p>
    <w:p w:rsidR="006734B0" w:rsidRPr="00BE32D0" w:rsidP="00943F8C" w14:paraId="29B519E9" w14:textId="77777777">
      <w:pPr>
        <w:pStyle w:val="7318"/>
        <w:rPr>
          <w:rtl/>
        </w:rPr>
      </w:pPr>
      <w:r w:rsidRPr="009F321B">
        <w:rPr>
          <w:rFonts w:hint="cs"/>
          <w:rtl/>
        </w:rPr>
        <w:t>נמצא כי התנאים הנוספים ש</w:t>
      </w:r>
      <w:r>
        <w:rPr>
          <w:rFonts w:hint="cs"/>
          <w:rtl/>
        </w:rPr>
        <w:t xml:space="preserve">קבע </w:t>
      </w:r>
      <w:r w:rsidRPr="009F321B">
        <w:rPr>
          <w:rFonts w:hint="cs"/>
          <w:rtl/>
        </w:rPr>
        <w:t xml:space="preserve">המשרד </w:t>
      </w:r>
      <w:r w:rsidRPr="009F321B">
        <w:rPr>
          <w:rFonts w:hint="cs"/>
          <w:rtl/>
        </w:rPr>
        <w:t>להג"ס</w:t>
      </w:r>
      <w:r w:rsidRPr="009F321B">
        <w:rPr>
          <w:rFonts w:hint="cs"/>
          <w:rtl/>
        </w:rPr>
        <w:t xml:space="preserve"> ב</w:t>
      </w:r>
      <w:r>
        <w:rPr>
          <w:rFonts w:hint="cs"/>
          <w:rtl/>
        </w:rPr>
        <w:t xml:space="preserve">ינואר </w:t>
      </w:r>
      <w:r w:rsidRPr="009F321B">
        <w:rPr>
          <w:rFonts w:hint="cs"/>
          <w:rtl/>
        </w:rPr>
        <w:t>202</w:t>
      </w:r>
      <w:r>
        <w:rPr>
          <w:rFonts w:hint="cs"/>
          <w:rtl/>
        </w:rPr>
        <w:t xml:space="preserve">3 ברישיון העסק של </w:t>
      </w:r>
      <w:r w:rsidRPr="009F321B">
        <w:rPr>
          <w:rFonts w:hint="cs"/>
          <w:rtl/>
        </w:rPr>
        <w:t xml:space="preserve">מפעל המגנזיום כוללים דרישות סביבתיות מקיפות לפעילות המפעל, </w:t>
      </w:r>
      <w:r>
        <w:rPr>
          <w:rFonts w:hint="cs"/>
          <w:rtl/>
        </w:rPr>
        <w:t>ו</w:t>
      </w:r>
      <w:r w:rsidRPr="009F321B">
        <w:rPr>
          <w:rFonts w:hint="cs"/>
          <w:rtl/>
        </w:rPr>
        <w:t xml:space="preserve">בהן דרישות עבור </w:t>
      </w:r>
      <w:r>
        <w:rPr>
          <w:rFonts w:hint="cs"/>
          <w:rtl/>
        </w:rPr>
        <w:t>ה</w:t>
      </w:r>
      <w:r w:rsidRPr="009F321B">
        <w:rPr>
          <w:rFonts w:hint="cs"/>
          <w:rtl/>
        </w:rPr>
        <w:t xml:space="preserve">טיפול </w:t>
      </w:r>
      <w:r>
        <w:rPr>
          <w:rFonts w:hint="cs"/>
          <w:rtl/>
        </w:rPr>
        <w:t>ב</w:t>
      </w:r>
      <w:r w:rsidRPr="009F321B">
        <w:rPr>
          <w:rFonts w:hint="cs"/>
          <w:rtl/>
        </w:rPr>
        <w:t>שפכי התעשייה</w:t>
      </w:r>
      <w:r>
        <w:rPr>
          <w:rFonts w:hint="cs"/>
          <w:rtl/>
        </w:rPr>
        <w:t xml:space="preserve"> והבקרה עליהם</w:t>
      </w:r>
      <w:r w:rsidRPr="009F321B">
        <w:rPr>
          <w:rFonts w:hint="cs"/>
          <w:rtl/>
        </w:rPr>
        <w:t xml:space="preserve">, דרישות עבור תשתיות </w:t>
      </w:r>
      <w:r>
        <w:rPr>
          <w:rFonts w:hint="cs"/>
          <w:rtl/>
        </w:rPr>
        <w:t>ה</w:t>
      </w:r>
      <w:r w:rsidRPr="009F321B">
        <w:rPr>
          <w:rFonts w:hint="cs"/>
          <w:rtl/>
        </w:rPr>
        <w:t xml:space="preserve">דלק </w:t>
      </w:r>
      <w:r>
        <w:rPr>
          <w:rFonts w:hint="cs"/>
          <w:rtl/>
        </w:rPr>
        <w:t>ה</w:t>
      </w:r>
      <w:r w:rsidRPr="009F321B">
        <w:rPr>
          <w:rFonts w:hint="cs"/>
          <w:rtl/>
        </w:rPr>
        <w:t xml:space="preserve">קיימות, דרישות לגבי בקרה ותחזוקה של התשתיות ודרישות לגבי בית המלאכה המצוי במפעל. </w:t>
      </w:r>
    </w:p>
    <w:p w:rsidR="006734B0" w:rsidP="00943F8C" w14:paraId="23AFB931" w14:textId="0018A786">
      <w:pPr>
        <w:pStyle w:val="7318"/>
        <w:rPr>
          <w:rtl/>
        </w:rPr>
      </w:pPr>
      <w:r>
        <w:rPr>
          <w:rFonts w:hint="cs"/>
          <w:rtl/>
        </w:rPr>
        <w:t xml:space="preserve">משרד מבקר המדינה מציין לטובה את פעולת המשרד </w:t>
      </w:r>
      <w:r>
        <w:rPr>
          <w:rFonts w:hint="cs"/>
          <w:rtl/>
        </w:rPr>
        <w:t>להג"ס</w:t>
      </w:r>
      <w:r>
        <w:rPr>
          <w:rFonts w:hint="cs"/>
          <w:rtl/>
        </w:rPr>
        <w:t xml:space="preserve"> לקביעת תנאים סביבתיים ברישיון העסק של מפעל המגנזיום בשנת 2023. פעולה זו והנימוקים שציין המשרד בבסיס החלטתו וכן אמירתו של המשרד ולפיה מטרת התנאים הנוספים היא למנוע סכנה לפגיעה באיכות הסביבה, מלמדים על הפערים המשמעותיים שקיימים לגבי אופן ההתנהלות של המשרד למול שורה ארוכה של מתקנים </w:t>
      </w:r>
      <w:r>
        <w:rPr>
          <w:rFonts w:hint="cs"/>
          <w:rtl/>
        </w:rPr>
        <w:t>שמי"ה</w:t>
      </w:r>
      <w:r>
        <w:rPr>
          <w:rFonts w:hint="cs"/>
          <w:rtl/>
        </w:rPr>
        <w:t xml:space="preserve"> הפעילה וממשיכה להפעיל לאורך שנים רבות. </w:t>
      </w:r>
    </w:p>
    <w:p w:rsidR="006734B0" w:rsidRPr="002B4A75" w:rsidP="00943F8C" w14:paraId="27605376" w14:textId="77777777">
      <w:pPr>
        <w:pStyle w:val="7318"/>
        <w:rPr>
          <w:rtl/>
        </w:rPr>
      </w:pPr>
      <w:r w:rsidRPr="001630CE">
        <w:rPr>
          <w:rFonts w:hint="cs"/>
          <w:rtl/>
        </w:rPr>
        <w:t xml:space="preserve">על המשרד </w:t>
      </w:r>
      <w:r w:rsidRPr="001630CE">
        <w:rPr>
          <w:rFonts w:hint="cs"/>
          <w:rtl/>
        </w:rPr>
        <w:t>להג"ס</w:t>
      </w:r>
      <w:r w:rsidRPr="001630CE">
        <w:rPr>
          <w:rFonts w:hint="cs"/>
          <w:rtl/>
        </w:rPr>
        <w:t xml:space="preserve"> ל</w:t>
      </w:r>
      <w:r>
        <w:rPr>
          <w:rFonts w:hint="cs"/>
          <w:rtl/>
        </w:rPr>
        <w:t>וודא את</w:t>
      </w:r>
      <w:r w:rsidRPr="001630CE">
        <w:rPr>
          <w:rFonts w:hint="cs"/>
          <w:rtl/>
        </w:rPr>
        <w:t xml:space="preserve"> יישום התנאים הנוספים שקבע ברישיון העסק של מפעל המגנזיום</w:t>
      </w:r>
      <w:r>
        <w:rPr>
          <w:rFonts w:hint="cs"/>
          <w:rtl/>
        </w:rPr>
        <w:t xml:space="preserve"> </w:t>
      </w:r>
      <w:r w:rsidRPr="001630CE">
        <w:rPr>
          <w:rFonts w:hint="cs"/>
          <w:rtl/>
        </w:rPr>
        <w:t xml:space="preserve">ולנקוט </w:t>
      </w:r>
      <w:r>
        <w:rPr>
          <w:rFonts w:hint="cs"/>
          <w:rtl/>
        </w:rPr>
        <w:t>את ה</w:t>
      </w:r>
      <w:r w:rsidRPr="001630CE">
        <w:rPr>
          <w:rFonts w:hint="cs"/>
          <w:rtl/>
        </w:rPr>
        <w:t xml:space="preserve">כלים העומדים </w:t>
      </w:r>
      <w:r>
        <w:rPr>
          <w:rFonts w:hint="cs"/>
          <w:rtl/>
        </w:rPr>
        <w:t>ל</w:t>
      </w:r>
      <w:r w:rsidRPr="001630CE">
        <w:rPr>
          <w:rFonts w:hint="cs"/>
          <w:rtl/>
        </w:rPr>
        <w:t>רשותו כאשר מתקיימת הפרה של</w:t>
      </w:r>
      <w:r>
        <w:rPr>
          <w:rFonts w:hint="cs"/>
          <w:rtl/>
        </w:rPr>
        <w:t>הם</w:t>
      </w:r>
      <w:r w:rsidRPr="001630CE">
        <w:rPr>
          <w:rFonts w:hint="cs"/>
          <w:rtl/>
        </w:rPr>
        <w:t xml:space="preserve">. </w:t>
      </w:r>
    </w:p>
    <w:p w:rsidR="006734B0" w:rsidRPr="008C362D" w:rsidP="008C362D" w14:paraId="356E945C" w14:textId="77777777">
      <w:pPr>
        <w:pStyle w:val="73414"/>
        <w:rPr>
          <w:rtl/>
        </w:rPr>
      </w:pPr>
      <w:r w:rsidRPr="008C362D">
        <w:rPr>
          <w:rFonts w:hint="cs"/>
          <w:rtl/>
        </w:rPr>
        <w:t xml:space="preserve">ליקויים באסדרה הסביבתית </w:t>
      </w:r>
      <w:r w:rsidRPr="008C362D">
        <w:rPr>
          <w:rFonts w:hint="eastAsia"/>
          <w:rtl/>
        </w:rPr>
        <w:t>באמצעות</w:t>
      </w:r>
      <w:r w:rsidRPr="008C362D">
        <w:rPr>
          <w:rtl/>
        </w:rPr>
        <w:t xml:space="preserve"> </w:t>
      </w:r>
      <w:r w:rsidRPr="008C362D">
        <w:rPr>
          <w:rFonts w:hint="eastAsia"/>
          <w:rtl/>
        </w:rPr>
        <w:t>רישיון</w:t>
      </w:r>
      <w:r w:rsidRPr="008C362D">
        <w:rPr>
          <w:rtl/>
        </w:rPr>
        <w:t xml:space="preserve"> </w:t>
      </w:r>
      <w:r w:rsidRPr="008C362D">
        <w:rPr>
          <w:rFonts w:hint="eastAsia"/>
          <w:rtl/>
        </w:rPr>
        <w:t>עסק</w:t>
      </w:r>
      <w:r w:rsidRPr="008C362D">
        <w:rPr>
          <w:rFonts w:hint="cs"/>
          <w:rtl/>
        </w:rPr>
        <w:t xml:space="preserve"> בנוגע לפעילויות התעשייתיות של </w:t>
      </w:r>
      <w:r w:rsidRPr="008C362D">
        <w:rPr>
          <w:rFonts w:hint="cs"/>
          <w:rtl/>
        </w:rPr>
        <w:t>מי"ה</w:t>
      </w:r>
      <w:r w:rsidRPr="008C362D">
        <w:rPr>
          <w:rFonts w:hint="cs"/>
          <w:rtl/>
        </w:rPr>
        <w:t xml:space="preserve"> מחוץ לשטח המפעלים</w:t>
      </w:r>
    </w:p>
    <w:p w:rsidR="006734B0" w:rsidP="00CE7A9A" w14:paraId="6E3E53A1" w14:textId="77777777">
      <w:pPr>
        <w:pStyle w:val="7392"/>
        <w:rPr>
          <w:rtl/>
        </w:rPr>
      </w:pPr>
      <w:r>
        <w:rPr>
          <w:rFonts w:hint="cs"/>
          <w:rtl/>
        </w:rPr>
        <w:t xml:space="preserve">נוסף על הפעילויות התעשייתיות המתקיימות בשטח המפעלים, במשך עשרות שנים </w:t>
      </w:r>
      <w:r>
        <w:rPr>
          <w:rFonts w:hint="cs"/>
          <w:rtl/>
        </w:rPr>
        <w:t>מי"ה</w:t>
      </w:r>
      <w:r>
        <w:rPr>
          <w:rFonts w:hint="cs"/>
          <w:rtl/>
        </w:rPr>
        <w:t xml:space="preserve"> הקימה בתחום הזיכיון, בשטח הנמצא מחוץ לשטח המפעלים, מתקני תעשייה ותשתיות רבים שבהם מבוצעים תהליכים תעשייתיים שגם להם השפעות סביבתיות משמעותיות. בין אלו ניתן למנות את הפעילויות האלה: תשתיות הולכת </w:t>
      </w:r>
      <w:r>
        <w:rPr>
          <w:rFonts w:hint="cs"/>
          <w:rtl/>
        </w:rPr>
        <w:t>תמלחת</w:t>
      </w:r>
      <w:r>
        <w:rPr>
          <w:rFonts w:hint="cs"/>
          <w:rtl/>
        </w:rPr>
        <w:t xml:space="preserve">, תחנות שאיבה, תעלות הזנה ותעלות הזרמה לים המלח, מסוע האשלג (מסוף צפע), אתרי פסולת. </w:t>
      </w:r>
    </w:p>
    <w:p w:rsidR="006734B0" w:rsidRPr="00943F8C" w:rsidP="00943F8C" w14:paraId="681B28E5" w14:textId="6D856D94">
      <w:pPr>
        <w:pStyle w:val="7392"/>
        <w:rPr>
          <w:rtl/>
        </w:rPr>
      </w:pPr>
      <w:r w:rsidRPr="00943F8C">
        <w:rPr>
          <w:rFonts w:hint="cs"/>
          <w:rtl/>
        </w:rPr>
        <w:t xml:space="preserve">משרד מבקר המדינה בדק כמה פעילויות </w:t>
      </w:r>
      <w:r w:rsidRPr="00943F8C">
        <w:rPr>
          <w:rFonts w:hint="cs"/>
          <w:rtl/>
        </w:rPr>
        <w:t>שמי"ה</w:t>
      </w:r>
      <w:r w:rsidRPr="00943F8C">
        <w:rPr>
          <w:rFonts w:hint="cs"/>
          <w:rtl/>
        </w:rPr>
        <w:t xml:space="preserve"> מבצעת בתחום הזיכיון בשטח הנמצא מחוץ לשטח המפעלים ואת השפעתן על הסביבה</w:t>
      </w:r>
      <w:r w:rsidR="0046653C">
        <w:rPr>
          <w:rFonts w:hint="cs"/>
          <w:rtl/>
        </w:rPr>
        <w:t xml:space="preserve"> </w:t>
      </w:r>
      <w:r w:rsidRPr="0046653C" w:rsidR="0046653C">
        <w:rPr>
          <w:rtl/>
        </w:rPr>
        <w:t>במציאות של אי-קביעת תנאים סביבתיים ייעודים לפעילויות אלה</w:t>
      </w:r>
      <w:r w:rsidRPr="00943F8C">
        <w:rPr>
          <w:rFonts w:hint="cs"/>
          <w:rtl/>
        </w:rPr>
        <w:t>:</w:t>
      </w:r>
    </w:p>
    <w:p w:rsidR="006734B0" w:rsidRPr="00943F8C" w:rsidP="00943F8C" w14:paraId="74FCB81F" w14:textId="77777777">
      <w:pPr>
        <w:pStyle w:val="73512"/>
        <w:rPr>
          <w:rtl/>
        </w:rPr>
      </w:pPr>
      <w:r w:rsidRPr="00943F8C">
        <w:rPr>
          <w:rFonts w:hint="cs"/>
          <w:rtl/>
        </w:rPr>
        <w:t>דוגמה א': מסוע צפע המוביל אשלג וחוצה את שמורת הטבע מדבר יהודה</w:t>
      </w:r>
    </w:p>
    <w:p w:rsidR="006734B0" w:rsidRPr="00943F8C" w:rsidP="00943F8C" w14:paraId="1E3082C9" w14:textId="77777777">
      <w:pPr>
        <w:pStyle w:val="7392"/>
        <w:rPr>
          <w:spacing w:val="-2"/>
          <w:rtl/>
        </w:rPr>
      </w:pPr>
      <w:r w:rsidRPr="00943F8C">
        <w:rPr>
          <w:rFonts w:hint="cs"/>
          <w:spacing w:val="-2"/>
          <w:rtl/>
        </w:rPr>
        <w:t xml:space="preserve">כדי לשנע ולייצא את האשלג, הקימה </w:t>
      </w:r>
      <w:r w:rsidRPr="00943F8C">
        <w:rPr>
          <w:rFonts w:hint="cs"/>
          <w:spacing w:val="-2"/>
          <w:rtl/>
        </w:rPr>
        <w:t>מי"ה</w:t>
      </w:r>
      <w:r w:rsidRPr="00943F8C">
        <w:rPr>
          <w:rFonts w:hint="cs"/>
          <w:spacing w:val="-2"/>
          <w:rtl/>
        </w:rPr>
        <w:t xml:space="preserve"> בשנות השמונים של המאה העשרים מסוע באורך של כ-18 ק"מ, המעביר את האשלג המופק בשטחי המפעלים אל מסוף התובלה צפע במישור רותם, ומשם לנמל אשדוד ולרחבי העולם. המסוע משנע בממוצע כ-1.4 מיליון טונות אשלג מדי שנה מתוך כ-3.7 מיליון טונות אשלג המיוצרים בממוצע במפעלי ים המלח מדי שנה, כאשר לשינוע האשלג באמצעות המסוע תועלות סביבתיות רבות, שכן הוא מחליף שינוע של האשלג באמצעות משאיות כביש. המסוע חוצה את שמורת הטבע מדבר יהודה ואת הנחלים פרס, אדמון וחמרית. </w:t>
      </w:r>
    </w:p>
    <w:p w:rsidR="006734B0" w:rsidRPr="00943F8C" w:rsidP="00943F8C" w14:paraId="461626DF" w14:textId="3F463617">
      <w:pPr>
        <w:pStyle w:val="734"/>
        <w:rPr>
          <w:rtl/>
        </w:rPr>
      </w:pPr>
      <w:r>
        <w:rPr>
          <w:rFonts w:hint="cs"/>
          <w:b w:val="0"/>
          <w:bCs w:val="0"/>
          <w:rtl/>
        </w:rPr>
        <w:t>מפה 3</w:t>
      </w:r>
      <w:r w:rsidRPr="00943F8C">
        <w:rPr>
          <w:rFonts w:hint="cs"/>
          <w:b w:val="0"/>
          <w:bCs w:val="0"/>
          <w:rtl/>
        </w:rPr>
        <w:t>:</w:t>
      </w:r>
      <w:r w:rsidRPr="00943F8C">
        <w:rPr>
          <w:rFonts w:hint="cs"/>
          <w:rtl/>
        </w:rPr>
        <w:t xml:space="preserve"> תוואי מסוע צפע המוביל אשלג </w:t>
      </w:r>
      <w:r w:rsidRPr="00943F8C">
        <w:rPr>
          <w:rFonts w:hint="cs"/>
          <w:rtl/>
        </w:rPr>
        <w:t>ממי"ה</w:t>
      </w:r>
      <w:r w:rsidRPr="00943F8C">
        <w:rPr>
          <w:rFonts w:hint="cs"/>
          <w:rtl/>
        </w:rPr>
        <w:t xml:space="preserve"> למישור רותם</w:t>
      </w:r>
    </w:p>
    <w:p w:rsidR="006734B0" w:rsidP="006734B0" w14:paraId="5ADE0849" w14:textId="77777777">
      <w:pPr>
        <w:jc w:val="center"/>
        <w:rPr>
          <w:rtl/>
        </w:rPr>
      </w:pPr>
      <w:r>
        <w:rPr>
          <w:noProof/>
        </w:rPr>
        <w:drawing>
          <wp:inline distT="0" distB="0" distL="0" distR="0">
            <wp:extent cx="3309423" cy="4699541"/>
            <wp:effectExtent l="0" t="0" r="5715" b="0"/>
            <wp:docPr id="1799042774" name="תמונה 1799042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042774" name="תמונה 1799042774"/>
                    <pic:cNvPicPr>
                      <a:picLocks noChangeAspect="1" noChangeArrowheads="1"/>
                    </pic:cNvPicPr>
                  </pic:nvPicPr>
                  <pic:blipFill>
                    <a:blip xmlns:r="http://schemas.openxmlformats.org/officeDocument/2006/relationships" r:embed="rId3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329305" cy="4727774"/>
                    </a:xfrm>
                    <a:prstGeom prst="rect">
                      <a:avLst/>
                    </a:prstGeom>
                    <a:noFill/>
                    <a:ln>
                      <a:noFill/>
                    </a:ln>
                  </pic:spPr>
                </pic:pic>
              </a:graphicData>
            </a:graphic>
          </wp:inline>
        </w:drawing>
      </w:r>
    </w:p>
    <w:p w:rsidR="006734B0" w:rsidRPr="004C5FAC" w:rsidP="00943F8C" w14:paraId="12F0B91B" w14:textId="7FA655E2">
      <w:pPr>
        <w:pStyle w:val="738"/>
        <w:spacing w:after="120"/>
        <w:rPr>
          <w:rtl/>
        </w:rPr>
      </w:pPr>
      <w:r w:rsidRPr="004C5FAC">
        <w:rPr>
          <w:rtl/>
        </w:rPr>
        <w:t xml:space="preserve">המקור: </w:t>
      </w:r>
      <w:r w:rsidRPr="00715734">
        <w:rPr>
          <w:rtl/>
        </w:rPr>
        <w:t>מפת הרקע "</w:t>
      </w:r>
      <w:r w:rsidRPr="00715734">
        <w:t>World_Imagery</w:t>
      </w:r>
      <w:r w:rsidRPr="00715734">
        <w:rPr>
          <w:rtl/>
        </w:rPr>
        <w:t>" - </w:t>
      </w:r>
      <w:r w:rsidRPr="00715734">
        <w:t>Esri, Maxar, Earthstar Geographics, and the GIS User Community</w:t>
      </w:r>
      <w:r w:rsidRPr="00715734">
        <w:rPr>
          <w:rtl/>
        </w:rPr>
        <w:t xml:space="preserve">, שכבות של המשרד </w:t>
      </w:r>
      <w:r w:rsidRPr="00715734">
        <w:rPr>
          <w:rtl/>
        </w:rPr>
        <w:t>להג"ס</w:t>
      </w:r>
      <w:r w:rsidRPr="004C5FAC">
        <w:rPr>
          <w:rtl/>
        </w:rPr>
        <w:t>, בעיבוד משרד מבקר המדינה.</w:t>
      </w:r>
    </w:p>
    <w:p w:rsidR="006734B0" w:rsidRPr="00943F8C" w:rsidP="00943F8C" w14:paraId="37F9F975" w14:textId="4CDF7E18">
      <w:pPr>
        <w:pStyle w:val="7318"/>
        <w:rPr>
          <w:rtl/>
        </w:rPr>
      </w:pPr>
      <w:r w:rsidRPr="00943F8C">
        <w:rPr>
          <w:rFonts w:hint="cs"/>
          <w:rtl/>
        </w:rPr>
        <w:t xml:space="preserve">מסוע צפע, שבעזרתו מובילה </w:t>
      </w:r>
      <w:r w:rsidRPr="00943F8C">
        <w:rPr>
          <w:rFonts w:hint="cs"/>
          <w:rtl/>
        </w:rPr>
        <w:t>מי"ה</w:t>
      </w:r>
      <w:r w:rsidRPr="00943F8C">
        <w:rPr>
          <w:rFonts w:hint="cs"/>
          <w:rtl/>
        </w:rPr>
        <w:t xml:space="preserve"> אשלג ממפעליה בים המלח לרחבי העולם, הוא חלק מפעילותה התעשייתית של </w:t>
      </w:r>
      <w:r w:rsidRPr="00943F8C">
        <w:rPr>
          <w:rFonts w:hint="cs"/>
          <w:rtl/>
        </w:rPr>
        <w:t>מי"ה</w:t>
      </w:r>
      <w:r w:rsidRPr="00943F8C">
        <w:rPr>
          <w:rFonts w:hint="cs"/>
          <w:rtl/>
        </w:rPr>
        <w:t xml:space="preserve">. נמצא כי עד למועד סיום הביקורת (יוני 2024), עשרות שנים לאחר הקמתו, המשרד </w:t>
      </w:r>
      <w:r w:rsidRPr="00943F8C">
        <w:rPr>
          <w:rFonts w:hint="cs"/>
          <w:rtl/>
        </w:rPr>
        <w:t>להג"ס</w:t>
      </w:r>
      <w:r w:rsidRPr="00943F8C">
        <w:rPr>
          <w:rFonts w:hint="cs"/>
          <w:rtl/>
        </w:rPr>
        <w:t xml:space="preserve"> לא מימש את סמכותו לקבוע תנאים סביבתיים ייעודיים ברישיון העסק של </w:t>
      </w:r>
      <w:r w:rsidRPr="00943F8C">
        <w:rPr>
          <w:rFonts w:hint="cs"/>
          <w:rtl/>
        </w:rPr>
        <w:t>מי"ה</w:t>
      </w:r>
      <w:r w:rsidRPr="00943F8C">
        <w:rPr>
          <w:rFonts w:hint="cs"/>
          <w:rtl/>
        </w:rPr>
        <w:t xml:space="preserve"> בנוגע למסוע צפע. זאת על אף השפעתו האפשרית השלילית של המסוע על הסביבה, בין השאר בשל נשירת אשלג ממנו, ועל אף הצורך להטיל חובה על בעלי המסוע (</w:t>
      </w:r>
      <w:r w:rsidRPr="00943F8C">
        <w:rPr>
          <w:rFonts w:hint="cs"/>
          <w:rtl/>
        </w:rPr>
        <w:t>מי"ה</w:t>
      </w:r>
      <w:r w:rsidRPr="00943F8C">
        <w:rPr>
          <w:rFonts w:hint="cs"/>
          <w:rtl/>
        </w:rPr>
        <w:t xml:space="preserve">) </w:t>
      </w:r>
      <w:r w:rsidRPr="00943F8C">
        <w:rPr>
          <w:rFonts w:hint="cs"/>
          <w:rtl/>
        </w:rPr>
        <w:t>לנטר</w:t>
      </w:r>
      <w:r w:rsidRPr="00943F8C">
        <w:rPr>
          <w:rFonts w:hint="cs"/>
          <w:rtl/>
        </w:rPr>
        <w:t xml:space="preserve"> את הסביבה ולדווח למשרד על תוצרי הניטור ועל מפגעים סביבתיים הנגרמים כתוצאה מהפעילות שלו. </w:t>
      </w:r>
    </w:p>
    <w:p w:rsidR="006734B0" w:rsidP="00943F8C" w14:paraId="0BE3BD45" w14:textId="77777777">
      <w:pPr>
        <w:pStyle w:val="7392"/>
        <w:rPr>
          <w:b/>
          <w:bCs/>
          <w:sz w:val="28"/>
          <w:szCs w:val="28"/>
          <w:u w:val="single"/>
          <w:rtl/>
        </w:rPr>
      </w:pPr>
      <w:r w:rsidRPr="00287D09">
        <w:rPr>
          <w:rFonts w:hint="cs"/>
          <w:rtl/>
        </w:rPr>
        <w:t xml:space="preserve">מנתוני </w:t>
      </w:r>
      <w:r w:rsidRPr="00DF72DE">
        <w:rPr>
          <w:rFonts w:hint="cs"/>
          <w:rtl/>
        </w:rPr>
        <w:t>רט"ג</w:t>
      </w:r>
      <w:r w:rsidRPr="00287D09">
        <w:rPr>
          <w:rFonts w:hint="cs"/>
          <w:rtl/>
        </w:rPr>
        <w:t xml:space="preserve"> ו</w:t>
      </w:r>
      <w:r w:rsidRPr="00DF72DE">
        <w:rPr>
          <w:rFonts w:hint="cs"/>
          <w:rtl/>
        </w:rPr>
        <w:t>מבדיקה</w:t>
      </w:r>
      <w:r w:rsidRPr="00287D09">
        <w:rPr>
          <w:rFonts w:hint="cs"/>
          <w:rtl/>
        </w:rPr>
        <w:t xml:space="preserve"> שביצעה בדצמבר 2016 בנוגע להשפעת מסוע צפע על הצומח בנחלים שאותם הוא חוצה עולה כי במהלך השנים דלף אשלג בכמויות ניכרות מהמסוע אל השטחים הפתוחים שבסביבתו. דליפות אלו הובילו להמלחה של שטחים אלו, לזיהומם ולפגיעה במערכת האקולוגית.</w:t>
      </w:r>
      <w:r>
        <w:rPr>
          <w:rFonts w:cs="David" w:hint="cs"/>
          <w:rtl/>
        </w:rPr>
        <w:t xml:space="preserve"> </w:t>
      </w:r>
      <w:r w:rsidRPr="00287D09">
        <w:rPr>
          <w:rFonts w:hint="cs"/>
          <w:rtl/>
        </w:rPr>
        <w:t>כך צוין בסיכום הבדיקה: "לזליגת האשלג יש השפעה על חברת הצומח בנחלים שהוא עובר מעליהם. עושר המינים הולך ועולה ככל שמתרחקים מהמסוע. ומסתמן כי מגוון המינים גבוה יותר במעלה לעומת מורד הנחל".</w:t>
      </w:r>
      <w:r w:rsidRPr="00287D09">
        <w:rPr>
          <w:rFonts w:hint="cs"/>
          <w:b/>
          <w:bCs/>
          <w:sz w:val="28"/>
          <w:szCs w:val="28"/>
          <w:rtl/>
        </w:rPr>
        <w:t xml:space="preserve"> </w:t>
      </w:r>
      <w:r w:rsidRPr="00287D09">
        <w:rPr>
          <w:rFonts w:hint="cs"/>
          <w:rtl/>
        </w:rPr>
        <w:t>להלן תמונה המציגה את נשורת האשלג בתוך שמורת הטבע מדבר יהודה בשנת 2017:</w:t>
      </w:r>
      <w:r>
        <w:rPr>
          <w:rFonts w:hint="cs"/>
          <w:rtl/>
        </w:rPr>
        <w:t xml:space="preserve"> </w:t>
      </w:r>
    </w:p>
    <w:p w:rsidR="006734B0" w:rsidRPr="00943F8C" w:rsidP="00943F8C" w14:paraId="3AE0C9A6" w14:textId="27384981">
      <w:pPr>
        <w:pStyle w:val="734"/>
        <w:rPr>
          <w:rtl/>
        </w:rPr>
      </w:pPr>
      <w:r w:rsidRPr="00943F8C">
        <w:rPr>
          <w:rFonts w:hint="cs"/>
          <w:b w:val="0"/>
          <w:bCs w:val="0"/>
          <w:rtl/>
        </w:rPr>
        <w:t xml:space="preserve">תמונה </w:t>
      </w:r>
      <w:r w:rsidR="00D0542F">
        <w:rPr>
          <w:rFonts w:hint="cs"/>
          <w:b w:val="0"/>
          <w:bCs w:val="0"/>
          <w:rtl/>
        </w:rPr>
        <w:t>2</w:t>
      </w:r>
      <w:r w:rsidRPr="00943F8C">
        <w:rPr>
          <w:rFonts w:hint="cs"/>
          <w:b w:val="0"/>
          <w:bCs w:val="0"/>
          <w:rtl/>
        </w:rPr>
        <w:t>:</w:t>
      </w:r>
      <w:r w:rsidRPr="00943F8C">
        <w:rPr>
          <w:rFonts w:hint="cs"/>
          <w:rtl/>
        </w:rPr>
        <w:t xml:space="preserve"> נשורת אשלג ממסוע צפע בשמורת הטבע מדבר יהודה, 2017</w:t>
      </w:r>
    </w:p>
    <w:p w:rsidR="006734B0" w:rsidRPr="00943F8C" w:rsidP="00943F8C" w14:paraId="5CA4A704" w14:textId="77777777">
      <w:pPr>
        <w:spacing w:after="240" w:line="360" w:lineRule="auto"/>
        <w:jc w:val="left"/>
        <w:rPr>
          <w:rStyle w:val="7331"/>
          <w:rtl/>
        </w:rPr>
      </w:pPr>
      <w:r>
        <w:rPr>
          <w:noProof/>
        </w:rPr>
        <w:drawing>
          <wp:inline distT="0" distB="0" distL="0" distR="0">
            <wp:extent cx="4693313" cy="3160278"/>
            <wp:effectExtent l="0" t="0" r="0" b="2540"/>
            <wp:docPr id="15" name="תמונה 15" descr="תמונה שמכילה בחוץ, שמיים, דיונות, מכתש&#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תמונה 15" descr="תמונה שמכילה בחוץ, שמיים, דיונות, מכתש&#10;&#10;תוכן שנוצר על-ידי בינה מלאכותית עשוי להיות שגוי."/>
                    <pic:cNvPicPr>
                      <a:picLocks noChangeAspect="1" noChangeArrowheads="1"/>
                    </pic:cNvPicPr>
                  </pic:nvPicPr>
                  <pic:blipFill>
                    <a:blip xmlns:r="http://schemas.openxmlformats.org/officeDocument/2006/relationships" r:embed="rId38">
                      <a:extLst>
                        <a:ext xmlns:a="http://schemas.openxmlformats.org/drawingml/2006/main" uri="{28A0092B-C50C-407E-A947-70E740481C1C}">
                          <a14:useLocalDpi xmlns:a14="http://schemas.microsoft.com/office/drawing/2010/main" val="0"/>
                        </a:ext>
                      </a:extLst>
                    </a:blip>
                    <a:stretch>
                      <a:fillRect/>
                    </a:stretch>
                  </pic:blipFill>
                  <pic:spPr bwMode="auto">
                    <a:xfrm>
                      <a:off x="0" y="0"/>
                      <a:ext cx="4725398" cy="3181883"/>
                    </a:xfrm>
                    <a:prstGeom prst="rect">
                      <a:avLst/>
                    </a:prstGeom>
                    <a:noFill/>
                    <a:ln>
                      <a:noFill/>
                    </a:ln>
                  </pic:spPr>
                </pic:pic>
              </a:graphicData>
            </a:graphic>
          </wp:inline>
        </w:drawing>
      </w:r>
      <w:r w:rsidRPr="00943F8C">
        <w:rPr>
          <w:rStyle w:val="7331"/>
          <w:rFonts w:hint="cs"/>
          <w:rtl/>
        </w:rPr>
        <w:t xml:space="preserve">המקור: </w:t>
      </w:r>
      <w:r w:rsidRPr="00943F8C">
        <w:rPr>
          <w:rStyle w:val="7331"/>
          <w:rFonts w:hint="cs"/>
          <w:rtl/>
        </w:rPr>
        <w:t>יח"ס</w:t>
      </w:r>
      <w:r w:rsidRPr="00943F8C">
        <w:rPr>
          <w:rStyle w:val="7331"/>
          <w:rFonts w:hint="cs"/>
          <w:rtl/>
        </w:rPr>
        <w:t xml:space="preserve"> נגב מזרחי.</w:t>
      </w:r>
    </w:p>
    <w:p w:rsidR="006734B0" w:rsidP="00943F8C" w14:paraId="33A829C2" w14:textId="77777777">
      <w:pPr>
        <w:pStyle w:val="7392"/>
        <w:rPr>
          <w:rtl/>
        </w:rPr>
      </w:pPr>
      <w:r>
        <w:rPr>
          <w:rFonts w:hint="cs"/>
          <w:sz w:val="24"/>
          <w:rtl/>
        </w:rPr>
        <w:t>יצוין כי</w:t>
      </w:r>
      <w:r>
        <w:rPr>
          <w:rFonts w:hint="cs"/>
          <w:b/>
          <w:bCs/>
          <w:sz w:val="24"/>
          <w:rtl/>
        </w:rPr>
        <w:t xml:space="preserve"> </w:t>
      </w:r>
      <w:r>
        <w:rPr>
          <w:rFonts w:hint="cs"/>
          <w:rtl/>
        </w:rPr>
        <w:t xml:space="preserve">באתר </w:t>
      </w:r>
      <w:r>
        <w:t xml:space="preserve">ICL </w:t>
      </w:r>
      <w:r>
        <w:rPr>
          <w:rFonts w:hint="cs"/>
        </w:rPr>
        <w:t>G</w:t>
      </w:r>
      <w:r>
        <w:t>roup</w:t>
      </w:r>
      <w:r>
        <w:rPr>
          <w:rFonts w:hint="cs"/>
          <w:rtl/>
        </w:rPr>
        <w:t xml:space="preserve"> (לשעבר חברת כימיקלים לישראל בע"מ - </w:t>
      </w:r>
      <w:r>
        <w:rPr>
          <w:rFonts w:hint="cs"/>
          <w:rtl/>
        </w:rPr>
        <w:t>כי"ל</w:t>
      </w:r>
      <w:r>
        <w:rPr>
          <w:rFonts w:hint="cs"/>
          <w:rtl/>
        </w:rPr>
        <w:t xml:space="preserve">, להלן - </w:t>
      </w:r>
      <w:r>
        <w:rPr>
          <w:rFonts w:hint="cs"/>
          <w:rtl/>
        </w:rPr>
        <w:t>כי"ל</w:t>
      </w:r>
      <w:r>
        <w:rPr>
          <w:rFonts w:hint="cs"/>
          <w:rtl/>
        </w:rPr>
        <w:t xml:space="preserve">) דווח כי בשנת 2017 נאספו כ-800 טונות אשלג שנשר מהמסוע, ולפי מידע שמסר המשרד </w:t>
      </w:r>
      <w:r>
        <w:rPr>
          <w:rFonts w:hint="cs"/>
          <w:rtl/>
        </w:rPr>
        <w:t>להג"ס</w:t>
      </w:r>
      <w:r>
        <w:rPr>
          <w:rFonts w:hint="cs"/>
          <w:rtl/>
        </w:rPr>
        <w:t xml:space="preserve">, </w:t>
      </w:r>
      <w:r>
        <w:rPr>
          <w:rFonts w:hint="cs"/>
          <w:rtl/>
        </w:rPr>
        <w:t>מי"ה</w:t>
      </w:r>
      <w:r>
        <w:rPr>
          <w:rFonts w:hint="cs"/>
          <w:rtl/>
        </w:rPr>
        <w:t xml:space="preserve"> ביצעה בשנים האחרונות פרויקט </w:t>
      </w:r>
      <w:r>
        <w:rPr>
          <w:rFonts w:hint="cs"/>
          <w:rtl/>
        </w:rPr>
        <w:t>לכירוי</w:t>
      </w:r>
      <w:r>
        <w:rPr>
          <w:rFonts w:hint="cs"/>
          <w:rtl/>
        </w:rPr>
        <w:t xml:space="preserve"> המסוע כדי למנוע דליפות אשלג נוספות. </w:t>
      </w:r>
    </w:p>
    <w:p w:rsidR="006734B0" w:rsidRPr="00554C33" w:rsidP="006734B0" w14:paraId="5556C121" w14:textId="0ABA8979">
      <w:pPr>
        <w:pStyle w:val="734"/>
        <w:rPr>
          <w:rtl/>
        </w:rPr>
      </w:pPr>
      <w:r w:rsidRPr="00943F8C">
        <w:rPr>
          <w:rFonts w:hint="cs"/>
          <w:b w:val="0"/>
          <w:bCs w:val="0"/>
          <w:rtl/>
        </w:rPr>
        <w:t xml:space="preserve">תמונה </w:t>
      </w:r>
      <w:r w:rsidR="00D0542F">
        <w:rPr>
          <w:rFonts w:hint="cs"/>
          <w:b w:val="0"/>
          <w:bCs w:val="0"/>
          <w:rtl/>
        </w:rPr>
        <w:t>3</w:t>
      </w:r>
      <w:r w:rsidRPr="00943F8C">
        <w:rPr>
          <w:rFonts w:hint="cs"/>
          <w:b w:val="0"/>
          <w:bCs w:val="0"/>
          <w:rtl/>
        </w:rPr>
        <w:t>:</w:t>
      </w:r>
      <w:r w:rsidRPr="00554C33">
        <w:rPr>
          <w:rFonts w:hint="cs"/>
          <w:rtl/>
        </w:rPr>
        <w:t xml:space="preserve"> מסוע צפע לאחר איסוף האשלג שזלג, 2018 </w:t>
      </w:r>
    </w:p>
    <w:p w:rsidR="006734B0" w:rsidRPr="00554C33" w:rsidP="006734B0" w14:paraId="7C3BFE07" w14:textId="77777777">
      <w:r>
        <w:rPr>
          <w:noProof/>
        </w:rPr>
        <w:drawing>
          <wp:inline distT="0" distB="0" distL="0" distR="0">
            <wp:extent cx="4694353" cy="3117197"/>
            <wp:effectExtent l="0" t="0" r="5080" b="0"/>
            <wp:docPr id="1453791629" name="תמונה 2" descr="תמונה שמכילה בחוץ, שמיים, הר, בתרונות&#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791629" name="תמונה 2" descr="תמונה שמכילה בחוץ, שמיים, הר, בתרונות&#10;&#10;תוכן שנוצר על-ידי בינה מלאכותית עשוי להיות שגוי."/>
                    <pic:cNvPicPr/>
                  </pic:nvPicPr>
                  <pic:blipFill>
                    <a:blip xmlns:r="http://schemas.openxmlformats.org/officeDocument/2006/relationships" r:embed="rId39" cstate="print">
                      <a:extLst>
                        <a:ext xmlns:a="http://schemas.openxmlformats.org/drawingml/2006/main" uri="{28A0092B-C50C-407E-A947-70E740481C1C}">
                          <a14:useLocalDpi xmlns:a14="http://schemas.microsoft.com/office/drawing/2010/main" val="0"/>
                        </a:ext>
                      </a:extLst>
                    </a:blip>
                    <a:stretch>
                      <a:fillRect/>
                    </a:stretch>
                  </pic:blipFill>
                  <pic:spPr>
                    <a:xfrm>
                      <a:off x="0" y="0"/>
                      <a:ext cx="4715150" cy="3131007"/>
                    </a:xfrm>
                    <a:prstGeom prst="rect">
                      <a:avLst/>
                    </a:prstGeom>
                  </pic:spPr>
                </pic:pic>
              </a:graphicData>
            </a:graphic>
          </wp:inline>
        </w:drawing>
      </w:r>
    </w:p>
    <w:p w:rsidR="006734B0" w:rsidRPr="00554C33" w:rsidP="006734B0" w14:paraId="248D5A17" w14:textId="77777777">
      <w:pPr>
        <w:pStyle w:val="738"/>
        <w:rPr>
          <w:rtl/>
        </w:rPr>
      </w:pPr>
      <w:r w:rsidRPr="00554C33">
        <w:rPr>
          <w:rFonts w:hint="cs"/>
          <w:rtl/>
        </w:rPr>
        <w:t xml:space="preserve">המקור: </w:t>
      </w:r>
      <w:r w:rsidRPr="00554C33">
        <w:rPr>
          <w:rFonts w:hint="cs"/>
          <w:rtl/>
        </w:rPr>
        <w:t>מי"ה</w:t>
      </w:r>
      <w:r w:rsidRPr="00554C33">
        <w:rPr>
          <w:rFonts w:hint="cs"/>
          <w:rtl/>
        </w:rPr>
        <w:t xml:space="preserve">. </w:t>
      </w:r>
    </w:p>
    <w:p w:rsidR="006734B0" w:rsidP="00943F8C" w14:paraId="5DC5EE75" w14:textId="320D23CB">
      <w:pPr>
        <w:pStyle w:val="7392"/>
        <w:rPr>
          <w:rtl/>
        </w:rPr>
      </w:pPr>
      <w:r>
        <w:rPr>
          <w:rFonts w:hint="cs"/>
          <w:rtl/>
        </w:rPr>
        <w:t xml:space="preserve">ואולם, </w:t>
      </w:r>
      <w:r w:rsidRPr="00B92DE5" w:rsidR="00B92DE5">
        <w:rPr>
          <w:rtl/>
        </w:rPr>
        <w:t>רט"ג</w:t>
      </w:r>
      <w:r w:rsidRPr="00B92DE5" w:rsidR="00B92DE5">
        <w:rPr>
          <w:rtl/>
        </w:rPr>
        <w:t xml:space="preserve"> מסרה לצוות הביקורת כי פעולות </w:t>
      </w:r>
      <w:r w:rsidRPr="00B92DE5" w:rsidR="00B92DE5">
        <w:rPr>
          <w:rtl/>
        </w:rPr>
        <w:t>מי"ה</w:t>
      </w:r>
      <w:r w:rsidRPr="00B92DE5" w:rsidR="00B92DE5">
        <w:rPr>
          <w:rtl/>
        </w:rPr>
        <w:t xml:space="preserve"> לקירוי המסוע בוצעו רק בקטעים מסוימים, ונכון למועד הביקורת מתרחשות מפעם לפעם תקלות שבר במסוע הגורמות לפיזור אשלג בשטחים הפתוחים, ועדיין קיים צורך בקירוי של החלקים שטרם בוצע בהם התיקון. עוד מסרה </w:t>
      </w:r>
      <w:r w:rsidRPr="00B92DE5" w:rsidR="00B92DE5">
        <w:rPr>
          <w:rtl/>
        </w:rPr>
        <w:t>רט"ג</w:t>
      </w:r>
      <w:r w:rsidRPr="00B92DE5" w:rsidR="00B92DE5">
        <w:rPr>
          <w:rtl/>
        </w:rPr>
        <w:t xml:space="preserve"> כי תקלות השבר הגורמות לפיזור האשלג אינן מדווחות לה, וכי פקח מטעמה מבצע סיורים לאורך המסוע לפחות אחת לחודש, ובמסגרתם הוא מתוודע לתקלות ולפיזור האשלג על גבי הקרקע</w:t>
      </w:r>
      <w:r>
        <w:rPr>
          <w:rFonts w:hint="cs"/>
          <w:rtl/>
        </w:rPr>
        <w:t xml:space="preserve">. </w:t>
      </w:r>
    </w:p>
    <w:p w:rsidR="006734B0" w:rsidRPr="00943F8C" w:rsidP="00943F8C" w14:paraId="0D59F0FF" w14:textId="7A22B2D5">
      <w:pPr>
        <w:pStyle w:val="7318"/>
        <w:rPr>
          <w:rtl/>
        </w:rPr>
      </w:pPr>
      <w:r w:rsidRPr="00943F8C">
        <w:rPr>
          <w:rFonts w:hint="cs"/>
          <w:rtl/>
        </w:rPr>
        <w:t xml:space="preserve">נמצא כי במהלך השנים דלף אשלג בכמויות ניכרות מהמסוע אל השטחים הפתוחים שבסביבתו. דליפות אלו הובילו, לדברי </w:t>
      </w:r>
      <w:r w:rsidRPr="00943F8C">
        <w:rPr>
          <w:rFonts w:hint="cs"/>
          <w:rtl/>
        </w:rPr>
        <w:t>רט"ג</w:t>
      </w:r>
      <w:r w:rsidRPr="00943F8C">
        <w:rPr>
          <w:rFonts w:hint="cs"/>
          <w:rtl/>
        </w:rPr>
        <w:t xml:space="preserve">, להמלחה של שטחים אלו, לזיהומם ולפגיעה במערכת האקולוגית. </w:t>
      </w:r>
      <w:r w:rsidRPr="00CB682C" w:rsidR="00CB682C">
        <w:rPr>
          <w:rtl/>
        </w:rPr>
        <w:t xml:space="preserve">הגם </w:t>
      </w:r>
      <w:r w:rsidRPr="00CB682C" w:rsidR="00CB682C">
        <w:rPr>
          <w:rtl/>
        </w:rPr>
        <w:t>שמי"ה</w:t>
      </w:r>
      <w:r w:rsidRPr="00CB682C" w:rsidR="00CB682C">
        <w:rPr>
          <w:rtl/>
        </w:rPr>
        <w:t xml:space="preserve"> ביצעה פעולות </w:t>
      </w:r>
      <w:r w:rsidRPr="00CB682C" w:rsidR="00CB682C">
        <w:rPr>
          <w:rtl/>
        </w:rPr>
        <w:t>לכירוי</w:t>
      </w:r>
      <w:r w:rsidRPr="00CB682C" w:rsidR="00CB682C">
        <w:rPr>
          <w:rtl/>
        </w:rPr>
        <w:t xml:space="preserve"> המסוע ואספה את האשלג שזלג, לפי </w:t>
      </w:r>
      <w:r w:rsidRPr="00CB682C" w:rsidR="00CB682C">
        <w:rPr>
          <w:rtl/>
        </w:rPr>
        <w:t>רט"ג</w:t>
      </w:r>
      <w:r w:rsidRPr="00CB682C" w:rsidR="00CB682C">
        <w:rPr>
          <w:rtl/>
        </w:rPr>
        <w:t>, נכון למועד</w:t>
      </w:r>
      <w:r w:rsidR="00CB682C">
        <w:rPr>
          <w:rFonts w:hint="cs"/>
          <w:rtl/>
        </w:rPr>
        <w:t xml:space="preserve"> </w:t>
      </w:r>
      <w:r w:rsidRPr="00943F8C">
        <w:rPr>
          <w:rFonts w:hint="cs"/>
          <w:rtl/>
        </w:rPr>
        <w:t xml:space="preserve">הביקורת עדיין מתקיימות מפעם לפעם תקלות שבר הגורמות לפיזור אשלג בשמורת הטבע מדבר יהודה. בהיעדר הכללת תנאים סביבתיים ברישיון העסק של </w:t>
      </w:r>
      <w:r w:rsidRPr="00943F8C">
        <w:rPr>
          <w:rFonts w:hint="cs"/>
          <w:rtl/>
        </w:rPr>
        <w:t>מי"ה</w:t>
      </w:r>
      <w:r w:rsidRPr="00943F8C">
        <w:rPr>
          <w:rFonts w:hint="cs"/>
          <w:rtl/>
        </w:rPr>
        <w:t xml:space="preserve">, לא מוטלת עליה החובה לדווח על זיהום זה לשום גורם מאסדר, וממילא לא ניתן לבצע אכיפה בגין הפרת תנאים ברישיון עסק ולנקוט צעדים בנושא. </w:t>
      </w:r>
    </w:p>
    <w:p w:rsidR="006734B0" w:rsidRPr="006C73FF" w:rsidP="00943F8C" w14:paraId="4E7F2F18" w14:textId="024807D8">
      <w:pPr>
        <w:pStyle w:val="7392"/>
        <w:rPr>
          <w:highlight w:val="cyan"/>
        </w:rPr>
      </w:pPr>
      <w:r>
        <w:rPr>
          <w:rFonts w:hint="cs"/>
          <w:rtl/>
        </w:rPr>
        <w:t>מי"ה</w:t>
      </w:r>
      <w:r>
        <w:rPr>
          <w:rFonts w:hint="cs"/>
          <w:rtl/>
        </w:rPr>
        <w:t xml:space="preserve"> מסרה בתשובתה למשרד מבקר המדינה כי אשלג הוא חומר דשן שאינו </w:t>
      </w:r>
      <w:r w:rsidRPr="001669F3">
        <w:rPr>
          <w:rFonts w:hint="cs"/>
          <w:rtl/>
        </w:rPr>
        <w:t xml:space="preserve">מסוכן </w:t>
      </w:r>
      <w:r w:rsidRPr="001669F3">
        <w:rPr>
          <w:rFonts w:hint="eastAsia"/>
          <w:rtl/>
        </w:rPr>
        <w:t>ואינו</w:t>
      </w:r>
      <w:r w:rsidRPr="001669F3">
        <w:rPr>
          <w:rtl/>
        </w:rPr>
        <w:t xml:space="preserve"> מזהם </w:t>
      </w:r>
      <w:r w:rsidRPr="001669F3">
        <w:rPr>
          <w:rFonts w:hint="cs"/>
          <w:rtl/>
        </w:rPr>
        <w:t xml:space="preserve">את </w:t>
      </w:r>
      <w:r w:rsidR="00B92DE5">
        <w:rPr>
          <w:rFonts w:hint="cs"/>
          <w:rtl/>
        </w:rPr>
        <w:t>ה</w:t>
      </w:r>
      <w:r w:rsidRPr="001669F3">
        <w:rPr>
          <w:rFonts w:hint="cs"/>
          <w:rtl/>
        </w:rPr>
        <w:t xml:space="preserve">קרקע וכי לא ידוע לה על פגיעה במערכת האקולוגית כטענת </w:t>
      </w:r>
      <w:r w:rsidRPr="001669F3">
        <w:rPr>
          <w:rFonts w:hint="cs"/>
          <w:rtl/>
        </w:rPr>
        <w:t>רט"ג</w:t>
      </w:r>
      <w:r w:rsidRPr="001669F3">
        <w:rPr>
          <w:rFonts w:hint="cs"/>
          <w:rtl/>
        </w:rPr>
        <w:t>. עוד מס</w:t>
      </w:r>
      <w:r>
        <w:rPr>
          <w:rFonts w:hint="cs"/>
          <w:rtl/>
        </w:rPr>
        <w:t xml:space="preserve">רה </w:t>
      </w:r>
      <w:r>
        <w:rPr>
          <w:rFonts w:hint="cs"/>
          <w:rtl/>
        </w:rPr>
        <w:t>מי"ה</w:t>
      </w:r>
      <w:r>
        <w:rPr>
          <w:rFonts w:hint="cs"/>
          <w:rtl/>
        </w:rPr>
        <w:t xml:space="preserve"> כי במהלך העשור האחרון בוצעו החלפות של קטעי כיסוי למסוע ובוצע ניקוי של האשלג שזלג, בעלות של כ-37 מיליוני ש"ח.</w:t>
      </w:r>
    </w:p>
    <w:p w:rsidR="006734B0" w:rsidP="00943F8C" w14:paraId="003E7800" w14:textId="77777777">
      <w:pPr>
        <w:pStyle w:val="7392"/>
        <w:rPr>
          <w:rtl/>
        </w:rPr>
      </w:pPr>
      <w:r>
        <w:rPr>
          <w:rFonts w:hint="cs"/>
          <w:rtl/>
        </w:rPr>
        <w:t xml:space="preserve">ואולם, </w:t>
      </w:r>
      <w:r>
        <w:rPr>
          <w:rFonts w:hint="cs"/>
          <w:rtl/>
        </w:rPr>
        <w:t>רט"ג</w:t>
      </w:r>
      <w:r>
        <w:rPr>
          <w:rFonts w:hint="cs"/>
          <w:rtl/>
        </w:rPr>
        <w:t xml:space="preserve"> חזרה על עמדתה בתשובה משלימה למשרד מבקר המדינה וציינה כי </w:t>
      </w:r>
      <w:r>
        <w:rPr>
          <w:rtl/>
        </w:rPr>
        <w:t>אשלג בכמויות גדולות יוצר המלחה</w:t>
      </w:r>
      <w:r>
        <w:rPr>
          <w:rFonts w:hint="cs"/>
          <w:rtl/>
        </w:rPr>
        <w:t xml:space="preserve"> של הקרקע</w:t>
      </w:r>
      <w:r>
        <w:rPr>
          <w:rtl/>
        </w:rPr>
        <w:t xml:space="preserve"> ופגיעה בצומח</w:t>
      </w:r>
      <w:r>
        <w:rPr>
          <w:rFonts w:hint="cs"/>
          <w:rtl/>
        </w:rPr>
        <w:t xml:space="preserve">, וכי בעבר דליפות האשלג גרמו לשינוי בתפקוד הרגיל של המערכת האקולוגית באזור ולהעדפת מינים מסוימים. </w:t>
      </w:r>
    </w:p>
    <w:p w:rsidR="006734B0" w:rsidP="00943F8C" w14:paraId="778E4807" w14:textId="77777777">
      <w:pPr>
        <w:pStyle w:val="7392"/>
        <w:rPr>
          <w:rtl/>
        </w:rPr>
      </w:pPr>
      <w:r>
        <w:rPr>
          <w:rFonts w:hint="cs"/>
          <w:rtl/>
        </w:rPr>
        <w:t xml:space="preserve">המשרד </w:t>
      </w:r>
      <w:r>
        <w:rPr>
          <w:rFonts w:hint="cs"/>
          <w:rtl/>
        </w:rPr>
        <w:t>להג"ס</w:t>
      </w:r>
      <w:r>
        <w:rPr>
          <w:rFonts w:hint="cs"/>
          <w:rtl/>
        </w:rPr>
        <w:t xml:space="preserve"> מסר בתשובתו למשרד מבקר המדינה כי למשרד יש סמכויות אכיפה לגבי אשלג המתעופף מהמסוע וזאת לפי חוק שמירת הניקיון, ובכלל זאת סמכויות לחקירה פלילית ולמתן צו שמירת הניקיון. עוד מסר המשרד כי בימים אלו הוא בוחן אסדרה של המסוע במסגרת היתר הפליטה לאוויר של המפעלים. </w:t>
      </w:r>
    </w:p>
    <w:p w:rsidR="006734B0" w:rsidRPr="00943F8C" w:rsidP="00943F8C" w14:paraId="286E1EF2" w14:textId="77777777">
      <w:pPr>
        <w:pStyle w:val="7318"/>
        <w:rPr>
          <w:rtl/>
        </w:rPr>
      </w:pPr>
      <w:r w:rsidRPr="00943F8C">
        <w:rPr>
          <w:rFonts w:hint="cs"/>
          <w:rtl/>
        </w:rPr>
        <w:t xml:space="preserve">משרד מבקר המדינה מציין כי סמכויות המשרד </w:t>
      </w:r>
      <w:r w:rsidRPr="00943F8C">
        <w:rPr>
          <w:rFonts w:hint="cs"/>
          <w:rtl/>
        </w:rPr>
        <w:t>להג"ס</w:t>
      </w:r>
      <w:r w:rsidRPr="00943F8C">
        <w:rPr>
          <w:rFonts w:hint="cs"/>
          <w:rtl/>
        </w:rPr>
        <w:t xml:space="preserve"> לפי חוק שמירת הניקיון הן מצומצמות ואין הן מחליפות תנאים סביבתיים ברישיון עסק. </w:t>
      </w:r>
      <w:r w:rsidRPr="00943F8C">
        <w:rPr>
          <w:rFonts w:hint="eastAsia"/>
          <w:rtl/>
        </w:rPr>
        <w:t>עוד</w:t>
      </w:r>
      <w:r w:rsidRPr="00943F8C">
        <w:rPr>
          <w:rtl/>
        </w:rPr>
        <w:t xml:space="preserve"> </w:t>
      </w:r>
      <w:r w:rsidRPr="00943F8C">
        <w:rPr>
          <w:rFonts w:hint="eastAsia"/>
          <w:rtl/>
        </w:rPr>
        <w:t>יצוין</w:t>
      </w:r>
      <w:r w:rsidRPr="00943F8C">
        <w:rPr>
          <w:rtl/>
        </w:rPr>
        <w:t xml:space="preserve"> כ</w:t>
      </w:r>
      <w:r w:rsidRPr="00943F8C">
        <w:rPr>
          <w:rFonts w:hint="cs"/>
          <w:rtl/>
        </w:rPr>
        <w:t xml:space="preserve">י מעיון בטיוטת תנאי רישיון העסק הנוספים שהמשרד גיבש לאחר סיום הביקורת עולה כי בכוונתו להסדיר תנאים סביבתיים למסוע צפע ברישיון העסק, ובמסגרת זאת הוא מתכוון לקבוע כי מחובתו של בעל העסק להכין תוכנית תחזוקה שנתית למסוע ולבצע בדיקה ותחזוקה בהתאם לתוכנית, לדווח למשרד </w:t>
      </w:r>
      <w:r w:rsidRPr="00943F8C">
        <w:rPr>
          <w:rFonts w:hint="cs"/>
          <w:rtl/>
        </w:rPr>
        <w:t>להג"ס</w:t>
      </w:r>
      <w:r w:rsidRPr="00943F8C">
        <w:rPr>
          <w:rFonts w:hint="cs"/>
          <w:rtl/>
        </w:rPr>
        <w:t xml:space="preserve"> בהתרחש אירוע פיזור או דליפה, ולנקות את החומר המזהם בהתאם להנחיות המשרד, להגיש דוח שנתי מסכם בדבר אירועי התחזוקה ועוד - תנאים שלא קיימים בשלב זה. </w:t>
      </w:r>
    </w:p>
    <w:p w:rsidR="006734B0" w:rsidRPr="00943F8C" w:rsidP="00943F8C" w14:paraId="23A5E915" w14:textId="77777777">
      <w:pPr>
        <w:pStyle w:val="7318"/>
      </w:pPr>
      <w:r w:rsidRPr="00943F8C">
        <w:rPr>
          <w:rFonts w:hint="cs"/>
          <w:rtl/>
        </w:rPr>
        <w:t xml:space="preserve">על המשרד </w:t>
      </w:r>
      <w:r w:rsidRPr="00943F8C">
        <w:rPr>
          <w:rFonts w:hint="cs"/>
          <w:rtl/>
        </w:rPr>
        <w:t>להג"ס</w:t>
      </w:r>
      <w:r w:rsidRPr="00943F8C">
        <w:rPr>
          <w:rFonts w:hint="cs"/>
          <w:rtl/>
        </w:rPr>
        <w:t xml:space="preserve"> להשלים בהקדם את הכללת התנאים הסביבתיים בנוגע למסוע צפע ברישיון העסק של </w:t>
      </w:r>
      <w:r w:rsidRPr="00943F8C">
        <w:rPr>
          <w:rFonts w:hint="cs"/>
          <w:rtl/>
        </w:rPr>
        <w:t>מי"ה</w:t>
      </w:r>
      <w:r w:rsidRPr="00943F8C">
        <w:rPr>
          <w:rFonts w:hint="cs"/>
          <w:rtl/>
        </w:rPr>
        <w:t xml:space="preserve"> או במסגרת היתר הפליטה, כדי למזער את ההשפעות הסביבתיות של מסוע האשלג. </w:t>
      </w:r>
    </w:p>
    <w:p w:rsidR="006734B0" w:rsidRPr="00943F8C" w:rsidP="00943F8C" w14:paraId="1C06BB56" w14:textId="77777777">
      <w:pPr>
        <w:pStyle w:val="73512"/>
        <w:rPr>
          <w:rtl/>
        </w:rPr>
      </w:pPr>
      <w:r w:rsidRPr="00943F8C">
        <w:rPr>
          <w:rFonts w:hint="cs"/>
          <w:rtl/>
        </w:rPr>
        <w:t>דוגמה ב': תחנת סניקה</w:t>
      </w:r>
      <w:r>
        <w:rPr>
          <w:rStyle w:val="FootnoteReference1"/>
          <w:rtl/>
        </w:rPr>
        <w:footnoteReference w:id="26"/>
      </w:r>
      <w:r w:rsidRPr="00943F8C">
        <w:rPr>
          <w:rFonts w:hint="cs"/>
          <w:rtl/>
        </w:rPr>
        <w:t xml:space="preserve"> וקווי ההולכה בשמורת הטבע מדבר יהודה</w:t>
      </w:r>
    </w:p>
    <w:p w:rsidR="006734B0" w:rsidRPr="00943F8C" w:rsidP="00943F8C" w14:paraId="494D8E2F" w14:textId="05DEB5E5">
      <w:pPr>
        <w:pStyle w:val="7392"/>
        <w:rPr>
          <w:rtl/>
        </w:rPr>
      </w:pPr>
      <w:r w:rsidRPr="00943F8C">
        <w:rPr>
          <w:rFonts w:hint="cs"/>
          <w:rtl/>
        </w:rPr>
        <w:t xml:space="preserve">בתחום שמורת הטבע מדבר יהודה ממוקמת תחנת סניקה המעבירה חומרים בין </w:t>
      </w:r>
      <w:r w:rsidRPr="00943F8C">
        <w:rPr>
          <w:rFonts w:hint="cs"/>
          <w:rtl/>
        </w:rPr>
        <w:t>מי"ה</w:t>
      </w:r>
      <w:r w:rsidRPr="00943F8C">
        <w:rPr>
          <w:rFonts w:hint="cs"/>
          <w:rtl/>
        </w:rPr>
        <w:t xml:space="preserve"> למפעלים אחרים מתשלובת </w:t>
      </w:r>
      <w:r w:rsidRPr="00943F8C">
        <w:rPr>
          <w:rFonts w:hint="cs"/>
          <w:rtl/>
        </w:rPr>
        <w:t>כי"ל</w:t>
      </w:r>
      <w:r w:rsidRPr="00943F8C">
        <w:rPr>
          <w:rFonts w:hint="cs"/>
          <w:rtl/>
        </w:rPr>
        <w:t xml:space="preserve"> (בשני הכיוונים). התחנה היא בבעלות מפעל א' הממוקם במישור רותם, מחוץ לשטח הזיכיון, ושייך לתשלובת </w:t>
      </w:r>
      <w:r w:rsidRPr="00943F8C">
        <w:rPr>
          <w:rFonts w:hint="cs"/>
          <w:rtl/>
        </w:rPr>
        <w:t>כי"ל</w:t>
      </w:r>
      <w:r w:rsidRPr="00943F8C">
        <w:rPr>
          <w:rFonts w:hint="cs"/>
          <w:rtl/>
        </w:rPr>
        <w:t xml:space="preserve">. בצמוד לתחנה נמצאים שלושה קווי הולכה (להלן - קווי ההולכה): קו שהוקם בשנת 1965 ומוביל </w:t>
      </w:r>
      <w:r w:rsidRPr="00943F8C">
        <w:rPr>
          <w:rFonts w:hint="cs"/>
          <w:rtl/>
        </w:rPr>
        <w:t>תמלחות</w:t>
      </w:r>
      <w:r w:rsidRPr="00943F8C">
        <w:rPr>
          <w:rFonts w:hint="cs"/>
          <w:rtl/>
        </w:rPr>
        <w:t xml:space="preserve"> </w:t>
      </w:r>
      <w:r w:rsidRPr="00943F8C">
        <w:rPr>
          <w:rFonts w:hint="cs"/>
          <w:rtl/>
        </w:rPr>
        <w:t>ממי"ה</w:t>
      </w:r>
      <w:r w:rsidRPr="00943F8C">
        <w:rPr>
          <w:rFonts w:hint="cs"/>
          <w:rtl/>
        </w:rPr>
        <w:t xml:space="preserve"> אל מפעל א', המשמשות חומר גלם למפעל (להלן - קו </w:t>
      </w:r>
      <w:r w:rsidRPr="00943F8C">
        <w:rPr>
          <w:rFonts w:hint="cs"/>
          <w:rtl/>
        </w:rPr>
        <w:t>התמלחת</w:t>
      </w:r>
      <w:r w:rsidRPr="00943F8C">
        <w:rPr>
          <w:rFonts w:hint="cs"/>
          <w:rtl/>
        </w:rPr>
        <w:t xml:space="preserve">); קו שהוקם בשנת 1994 המזרים שפכים ממפעל א' אל </w:t>
      </w:r>
      <w:r w:rsidRPr="00943F8C">
        <w:rPr>
          <w:rFonts w:hint="cs"/>
          <w:rtl/>
        </w:rPr>
        <w:t>מי"ה</w:t>
      </w:r>
      <w:r w:rsidRPr="00943F8C">
        <w:rPr>
          <w:rFonts w:hint="cs"/>
          <w:rtl/>
        </w:rPr>
        <w:t xml:space="preserve"> (להלן - קו השפכים); וקו נוסף שהוקם בשנות השישים של המאה העשרים, שמוביל מים מזוהמים של מפעל א', הנשאבים מקידוח באזור זה ומועברים </w:t>
      </w:r>
      <w:r w:rsidRPr="00943F8C">
        <w:rPr>
          <w:rFonts w:hint="cs"/>
          <w:rtl/>
        </w:rPr>
        <w:t>למי"ה</w:t>
      </w:r>
      <w:r w:rsidRPr="00943F8C">
        <w:rPr>
          <w:rFonts w:hint="cs"/>
          <w:rtl/>
        </w:rPr>
        <w:t xml:space="preserve"> (להלן - קו אפעה)</w:t>
      </w:r>
      <w:r>
        <w:rPr>
          <w:rStyle w:val="FootnoteReference1"/>
          <w:rtl/>
        </w:rPr>
        <w:footnoteReference w:id="27"/>
      </w:r>
      <w:r w:rsidRPr="00943F8C">
        <w:rPr>
          <w:rFonts w:hint="cs"/>
          <w:rtl/>
        </w:rPr>
        <w:t xml:space="preserve">. תחנת הסניקה, קו </w:t>
      </w:r>
      <w:r w:rsidRPr="00943F8C">
        <w:rPr>
          <w:rFonts w:hint="cs"/>
          <w:rtl/>
        </w:rPr>
        <w:t>התמלחת</w:t>
      </w:r>
      <w:r w:rsidRPr="00943F8C">
        <w:rPr>
          <w:rFonts w:hint="cs"/>
          <w:rtl/>
        </w:rPr>
        <w:t xml:space="preserve"> וקו השפכים הם בבעלות מפעל א', וקו אפעה הוא בבעלות </w:t>
      </w:r>
      <w:r w:rsidRPr="00943F8C">
        <w:rPr>
          <w:rFonts w:hint="cs"/>
          <w:rtl/>
        </w:rPr>
        <w:t>מי"ה</w:t>
      </w:r>
      <w:r w:rsidRPr="00943F8C">
        <w:rPr>
          <w:rFonts w:hint="cs"/>
          <w:rtl/>
        </w:rPr>
        <w:t>. להלן תמונות של תחנת הסניקה:</w:t>
      </w:r>
    </w:p>
    <w:p w:rsidR="006734B0" w:rsidP="006734B0" w14:paraId="3F5486E7" w14:textId="3BE6F8DE">
      <w:pPr>
        <w:pStyle w:val="734"/>
        <w:rPr>
          <w:rtl/>
        </w:rPr>
      </w:pPr>
      <w:r w:rsidRPr="00943F8C">
        <w:rPr>
          <w:rFonts w:hint="cs"/>
          <w:b w:val="0"/>
          <w:bCs w:val="0"/>
          <w:rtl/>
        </w:rPr>
        <w:t>תמונות</w:t>
      </w:r>
      <w:r w:rsidR="00D0542F">
        <w:rPr>
          <w:rFonts w:hint="cs"/>
          <w:b w:val="0"/>
          <w:bCs w:val="0"/>
          <w:rtl/>
        </w:rPr>
        <w:t xml:space="preserve"> 4-5</w:t>
      </w:r>
      <w:r w:rsidRPr="00943F8C">
        <w:rPr>
          <w:rFonts w:hint="cs"/>
          <w:b w:val="0"/>
          <w:bCs w:val="0"/>
          <w:rtl/>
        </w:rPr>
        <w:t>:</w:t>
      </w:r>
      <w:r w:rsidRPr="00554C33">
        <w:rPr>
          <w:rFonts w:hint="cs"/>
          <w:rtl/>
        </w:rPr>
        <w:t xml:space="preserve"> תחנת הסניקה בשמורת הטבע מדבר יהודה, מרץ 2024</w:t>
      </w:r>
    </w:p>
    <w:p w:rsidR="006734B0" w:rsidRPr="00554C33" w:rsidP="006734B0" w14:paraId="28C81FFD" w14:textId="77777777">
      <w:pPr>
        <w:rPr>
          <w:rtl/>
        </w:rPr>
      </w:pPr>
      <w:r>
        <w:rPr>
          <w:noProof/>
          <w:rtl/>
          <w:lang w:val="he-IL"/>
        </w:rPr>
        <w:drawing>
          <wp:inline distT="0" distB="0" distL="0" distR="0">
            <wp:extent cx="4669262" cy="2610948"/>
            <wp:effectExtent l="0" t="0" r="4445" b="5715"/>
            <wp:docPr id="456611421" name="תמונה 1" descr="תמונה שמכילה בחוץ, שמיים, ענן, גדר&#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611421" name="תמונה 1" descr="תמונה שמכילה בחוץ, שמיים, ענן, גדר&#10;&#10;תוכן שנוצר על-ידי בינה מלאכותית עשוי להיות שגוי."/>
                    <pic:cNvPicPr/>
                  </pic:nvPicPr>
                  <pic:blipFill>
                    <a:blip xmlns:r="http://schemas.openxmlformats.org/officeDocument/2006/relationships" r:embed="rId40">
                      <a:extLst>
                        <a:ext xmlns:a="http://schemas.openxmlformats.org/drawingml/2006/main" uri="{28A0092B-C50C-407E-A947-70E740481C1C}">
                          <a14:useLocalDpi xmlns:a14="http://schemas.microsoft.com/office/drawing/2010/main" val="0"/>
                        </a:ext>
                      </a:extLst>
                    </a:blip>
                    <a:stretch>
                      <a:fillRect/>
                    </a:stretch>
                  </pic:blipFill>
                  <pic:spPr>
                    <a:xfrm>
                      <a:off x="0" y="0"/>
                      <a:ext cx="4769616" cy="2667064"/>
                    </a:xfrm>
                    <a:prstGeom prst="rect">
                      <a:avLst/>
                    </a:prstGeom>
                  </pic:spPr>
                </pic:pic>
              </a:graphicData>
            </a:graphic>
          </wp:inline>
        </w:drawing>
      </w:r>
    </w:p>
    <w:p w:rsidR="006734B0" w:rsidP="00943F8C" w14:paraId="207FFF1C" w14:textId="77777777">
      <w:pPr>
        <w:spacing w:line="360" w:lineRule="auto"/>
        <w:rPr>
          <w:rtl/>
        </w:rPr>
      </w:pPr>
      <w:r>
        <w:rPr>
          <w:noProof/>
        </w:rPr>
        <w:drawing>
          <wp:inline distT="0" distB="0" distL="0" distR="0">
            <wp:extent cx="4668947" cy="2624153"/>
            <wp:effectExtent l="0" t="0" r="5080" b="5080"/>
            <wp:docPr id="892552731" name="תמונה 892552731" descr="תמונה שמכילה ענן, בחוץ, שמיים, הריסות&#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552731" name="תמונה 892552731" descr="תמונה שמכילה ענן, בחוץ, שמיים, הריסות&#10;&#10;תוכן שנוצר על-ידי בינה מלאכותית עשוי להיות שגוי."/>
                    <pic:cNvPicPr>
                      <a:picLocks noChangeAspect="1" noChangeArrowheads="1"/>
                    </pic:cNvPicPr>
                  </pic:nvPicPr>
                  <pic:blipFill>
                    <a:blip xmlns:r="http://schemas.openxmlformats.org/officeDocument/2006/relationships" r:embed="rId4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706502" cy="2645261"/>
                    </a:xfrm>
                    <a:prstGeom prst="rect">
                      <a:avLst/>
                    </a:prstGeom>
                    <a:noFill/>
                    <a:ln>
                      <a:noFill/>
                    </a:ln>
                  </pic:spPr>
                </pic:pic>
              </a:graphicData>
            </a:graphic>
          </wp:inline>
        </w:drawing>
      </w:r>
    </w:p>
    <w:p w:rsidR="006734B0" w:rsidRPr="00943F8C" w:rsidP="00943F8C" w14:paraId="696A929C" w14:textId="6FCA812E">
      <w:pPr>
        <w:pStyle w:val="738"/>
        <w:rPr>
          <w:rtl/>
        </w:rPr>
      </w:pPr>
      <w:r w:rsidRPr="005F2F70">
        <w:rPr>
          <w:rtl/>
        </w:rPr>
        <w:t>המקור: משרד מבקר המדינה.</w:t>
      </w:r>
      <w:r w:rsidRPr="00943F8C">
        <w:rPr>
          <w:rFonts w:hint="cs"/>
          <w:rtl/>
        </w:rPr>
        <w:t xml:space="preserve"> </w:t>
      </w:r>
    </w:p>
    <w:p w:rsidR="006734B0" w:rsidRPr="00943F8C" w:rsidP="00943F8C" w14:paraId="388768C7" w14:textId="77777777">
      <w:pPr>
        <w:pStyle w:val="7392"/>
        <w:numPr>
          <w:ilvl w:val="0"/>
          <w:numId w:val="32"/>
        </w:numPr>
        <w:rPr>
          <w:rtl/>
        </w:rPr>
      </w:pPr>
      <w:r w:rsidRPr="00943F8C">
        <w:rPr>
          <w:rFonts w:hint="cs"/>
          <w:rtl/>
        </w:rPr>
        <w:t xml:space="preserve">מנתונים שמסרה </w:t>
      </w:r>
      <w:r w:rsidRPr="00943F8C">
        <w:rPr>
          <w:rFonts w:hint="cs"/>
          <w:rtl/>
        </w:rPr>
        <w:t>יח"ס</w:t>
      </w:r>
      <w:r w:rsidRPr="00943F8C">
        <w:rPr>
          <w:rFonts w:hint="cs"/>
          <w:rtl/>
        </w:rPr>
        <w:t xml:space="preserve"> נגב מזרחי למשרד מבקר המדינה עולה כי מאוקטובר 2020 עד ינואר 2024 אירעו שמונה אירועי דליפה של חומרים מזהמים מקווי ההולכה, כמפורט להלן: </w:t>
      </w:r>
    </w:p>
    <w:p w:rsidR="006734B0" w:rsidP="00943F8C" w14:paraId="3DCB68AB" w14:textId="7434C782">
      <w:pPr>
        <w:pStyle w:val="734"/>
        <w:ind w:left="397"/>
        <w:rPr>
          <w:rtl/>
        </w:rPr>
      </w:pPr>
      <w:r w:rsidRPr="00943F8C">
        <w:rPr>
          <w:rFonts w:hint="cs"/>
          <w:b w:val="0"/>
          <w:bCs w:val="0"/>
          <w:rtl/>
        </w:rPr>
        <w:t xml:space="preserve">לוח </w:t>
      </w:r>
      <w:r w:rsidR="00DA1994">
        <w:rPr>
          <w:rFonts w:hint="cs"/>
          <w:b w:val="0"/>
          <w:bCs w:val="0"/>
          <w:rtl/>
        </w:rPr>
        <w:t>1</w:t>
      </w:r>
      <w:r w:rsidRPr="00943F8C">
        <w:rPr>
          <w:rFonts w:hint="cs"/>
          <w:b w:val="0"/>
          <w:bCs w:val="0"/>
          <w:rtl/>
        </w:rPr>
        <w:t>:</w:t>
      </w:r>
      <w:r>
        <w:rPr>
          <w:rFonts w:hint="cs"/>
          <w:rtl/>
        </w:rPr>
        <w:t xml:space="preserve"> אירועי דליפה מקווי ההולכה בשמורת הטבע מדבר יהודה, אוקטובר 2020 - ינואר 2024</w:t>
      </w:r>
    </w:p>
    <w:tbl>
      <w:tblPr>
        <w:tblStyle w:val="TableGrid"/>
        <w:bidiVisual/>
        <w:tblW w:w="0" w:type="auto"/>
        <w:jc w:val="right"/>
        <w:tblBorders>
          <w:top w:val="none" w:sz="0" w:space="0" w:color="auto"/>
          <w:bottom w:val="none" w:sz="0" w:space="0" w:color="auto"/>
          <w:insideH w:val="none" w:sz="0" w:space="0" w:color="auto"/>
        </w:tblBorders>
        <w:shd w:val="clear" w:color="auto" w:fill="DFECEF"/>
        <w:tblLook w:val="04A0"/>
      </w:tblPr>
      <w:tblGrid>
        <w:gridCol w:w="426"/>
        <w:gridCol w:w="851"/>
        <w:gridCol w:w="1134"/>
        <w:gridCol w:w="992"/>
        <w:gridCol w:w="1134"/>
        <w:gridCol w:w="2398"/>
      </w:tblGrid>
      <w:tr w14:paraId="5E652929" w14:textId="77777777" w:rsidTr="00D816B7">
        <w:tblPrEx>
          <w:tblW w:w="0" w:type="auto"/>
          <w:jc w:val="right"/>
          <w:tblBorders>
            <w:top w:val="none" w:sz="0" w:space="0" w:color="auto"/>
            <w:bottom w:val="none" w:sz="0" w:space="0" w:color="auto"/>
            <w:insideH w:val="none" w:sz="0" w:space="0" w:color="auto"/>
          </w:tblBorders>
          <w:shd w:val="clear" w:color="auto" w:fill="DFECEF"/>
          <w:tblLook w:val="04A0"/>
        </w:tblPrEx>
        <w:trPr>
          <w:jc w:val="right"/>
        </w:trPr>
        <w:tc>
          <w:tcPr>
            <w:tcW w:w="426" w:type="dxa"/>
            <w:shd w:val="clear" w:color="auto" w:fill="C8DCE4"/>
            <w:vAlign w:val="bottom"/>
          </w:tcPr>
          <w:p w:rsidR="006734B0" w:rsidRPr="00943F8C" w:rsidP="00943F8C" w14:paraId="3F7B41D0" w14:textId="77777777">
            <w:pPr>
              <w:pStyle w:val="73R"/>
              <w:rPr>
                <w:b/>
                <w:bCs/>
                <w:rtl/>
              </w:rPr>
            </w:pPr>
          </w:p>
        </w:tc>
        <w:tc>
          <w:tcPr>
            <w:tcW w:w="851" w:type="dxa"/>
            <w:shd w:val="clear" w:color="auto" w:fill="C8DCE4"/>
            <w:vAlign w:val="bottom"/>
            <w:hideMark/>
          </w:tcPr>
          <w:p w:rsidR="006734B0" w:rsidRPr="00943F8C" w:rsidP="00943F8C" w14:paraId="76988C4B" w14:textId="77777777">
            <w:pPr>
              <w:pStyle w:val="73R"/>
              <w:rPr>
                <w:b/>
                <w:bCs/>
                <w:rtl/>
              </w:rPr>
            </w:pPr>
            <w:r w:rsidRPr="00943F8C">
              <w:rPr>
                <w:rFonts w:hint="cs"/>
                <w:b/>
                <w:bCs/>
                <w:rtl/>
              </w:rPr>
              <w:t>מועד הדליפה</w:t>
            </w:r>
          </w:p>
        </w:tc>
        <w:tc>
          <w:tcPr>
            <w:tcW w:w="1134" w:type="dxa"/>
            <w:shd w:val="clear" w:color="auto" w:fill="C8DCE4"/>
            <w:vAlign w:val="bottom"/>
            <w:hideMark/>
          </w:tcPr>
          <w:p w:rsidR="006734B0" w:rsidRPr="00943F8C" w:rsidP="00943F8C" w14:paraId="554B213D" w14:textId="77777777">
            <w:pPr>
              <w:pStyle w:val="73R"/>
              <w:rPr>
                <w:b/>
                <w:bCs/>
                <w:rtl/>
              </w:rPr>
            </w:pPr>
            <w:r w:rsidRPr="00943F8C">
              <w:rPr>
                <w:rFonts w:hint="cs"/>
                <w:b/>
                <w:bCs/>
                <w:rtl/>
              </w:rPr>
              <w:t>קו ההולכה</w:t>
            </w:r>
          </w:p>
        </w:tc>
        <w:tc>
          <w:tcPr>
            <w:tcW w:w="992" w:type="dxa"/>
            <w:shd w:val="clear" w:color="auto" w:fill="C8DCE4"/>
            <w:vAlign w:val="bottom"/>
            <w:hideMark/>
          </w:tcPr>
          <w:p w:rsidR="006734B0" w:rsidRPr="00943F8C" w:rsidP="00943F8C" w14:paraId="3E471513" w14:textId="77777777">
            <w:pPr>
              <w:pStyle w:val="73R"/>
              <w:rPr>
                <w:b/>
                <w:bCs/>
                <w:rtl/>
              </w:rPr>
            </w:pPr>
            <w:r w:rsidRPr="00943F8C">
              <w:rPr>
                <w:rFonts w:hint="cs"/>
                <w:b/>
                <w:bCs/>
                <w:rtl/>
              </w:rPr>
              <w:t>הבעלות על הקווים</w:t>
            </w:r>
          </w:p>
        </w:tc>
        <w:tc>
          <w:tcPr>
            <w:tcW w:w="1134" w:type="dxa"/>
            <w:shd w:val="clear" w:color="auto" w:fill="C8DCE4"/>
            <w:vAlign w:val="bottom"/>
            <w:hideMark/>
          </w:tcPr>
          <w:p w:rsidR="006734B0" w:rsidRPr="00943F8C" w:rsidP="00943F8C" w14:paraId="480053AB" w14:textId="77777777">
            <w:pPr>
              <w:pStyle w:val="73R"/>
              <w:rPr>
                <w:b/>
                <w:bCs/>
                <w:rtl/>
              </w:rPr>
            </w:pPr>
            <w:r w:rsidRPr="00943F8C">
              <w:rPr>
                <w:rFonts w:hint="cs"/>
                <w:b/>
                <w:bCs/>
                <w:rtl/>
              </w:rPr>
              <w:t>שנת ההקמה של הקו</w:t>
            </w:r>
          </w:p>
        </w:tc>
        <w:tc>
          <w:tcPr>
            <w:tcW w:w="2398" w:type="dxa"/>
            <w:shd w:val="clear" w:color="auto" w:fill="C8DCE4"/>
            <w:vAlign w:val="bottom"/>
            <w:hideMark/>
          </w:tcPr>
          <w:p w:rsidR="006734B0" w:rsidRPr="00943F8C" w:rsidP="00943F8C" w14:paraId="4F9691D3" w14:textId="77777777">
            <w:pPr>
              <w:pStyle w:val="73R"/>
              <w:rPr>
                <w:b/>
                <w:bCs/>
                <w:rtl/>
              </w:rPr>
            </w:pPr>
            <w:r w:rsidRPr="00943F8C">
              <w:rPr>
                <w:rFonts w:hint="cs"/>
                <w:b/>
                <w:bCs/>
                <w:rtl/>
              </w:rPr>
              <w:t>תיאור האירוע</w:t>
            </w:r>
          </w:p>
        </w:tc>
      </w:tr>
      <w:tr w14:paraId="19CE3BFA" w14:textId="77777777" w:rsidTr="00D816B7">
        <w:tblPrEx>
          <w:tblW w:w="0" w:type="auto"/>
          <w:jc w:val="right"/>
          <w:shd w:val="clear" w:color="auto" w:fill="DFECEF"/>
          <w:tblLook w:val="04A0"/>
        </w:tblPrEx>
        <w:trPr>
          <w:trHeight w:val="147"/>
          <w:jc w:val="right"/>
        </w:trPr>
        <w:tc>
          <w:tcPr>
            <w:tcW w:w="426" w:type="dxa"/>
            <w:shd w:val="clear" w:color="auto" w:fill="DFECEF"/>
            <w:hideMark/>
          </w:tcPr>
          <w:p w:rsidR="006734B0" w:rsidP="00943F8C" w14:paraId="69E8FE1B" w14:textId="77777777">
            <w:pPr>
              <w:pStyle w:val="73R"/>
              <w:rPr>
                <w:rtl/>
              </w:rPr>
            </w:pPr>
            <w:r>
              <w:rPr>
                <w:rFonts w:hint="cs"/>
                <w:rtl/>
              </w:rPr>
              <w:t>1</w:t>
            </w:r>
          </w:p>
        </w:tc>
        <w:tc>
          <w:tcPr>
            <w:tcW w:w="851" w:type="dxa"/>
            <w:shd w:val="clear" w:color="auto" w:fill="DFECEF"/>
            <w:hideMark/>
          </w:tcPr>
          <w:p w:rsidR="006734B0" w:rsidP="00943F8C" w14:paraId="2A694773" w14:textId="77777777">
            <w:pPr>
              <w:pStyle w:val="73R"/>
              <w:rPr>
                <w:rtl/>
              </w:rPr>
            </w:pPr>
            <w:r>
              <w:rPr>
                <w:rFonts w:hint="cs"/>
                <w:rtl/>
              </w:rPr>
              <w:t>19.10.20</w:t>
            </w:r>
          </w:p>
        </w:tc>
        <w:tc>
          <w:tcPr>
            <w:tcW w:w="1134" w:type="dxa"/>
            <w:vMerge w:val="restart"/>
            <w:shd w:val="clear" w:color="auto" w:fill="DFECEF"/>
            <w:hideMark/>
          </w:tcPr>
          <w:p w:rsidR="00D816B7" w:rsidP="00D816B7" w14:paraId="2F44763A" w14:textId="77777777">
            <w:pPr>
              <w:pStyle w:val="73R"/>
              <w:rPr>
                <w:rtl/>
              </w:rPr>
            </w:pPr>
          </w:p>
          <w:p w:rsidR="00D816B7" w:rsidP="00D816B7" w14:paraId="54553BB9" w14:textId="77777777">
            <w:pPr>
              <w:pStyle w:val="73R"/>
              <w:rPr>
                <w:rtl/>
              </w:rPr>
            </w:pPr>
          </w:p>
          <w:p w:rsidR="00D816B7" w:rsidP="00D816B7" w14:paraId="29967B53" w14:textId="77777777">
            <w:pPr>
              <w:pStyle w:val="73R"/>
              <w:rPr>
                <w:rtl/>
              </w:rPr>
            </w:pPr>
          </w:p>
          <w:p w:rsidR="00D816B7" w:rsidP="00D816B7" w14:paraId="2DD4B1DD" w14:textId="77777777">
            <w:pPr>
              <w:pStyle w:val="73R"/>
              <w:rPr>
                <w:rtl/>
              </w:rPr>
            </w:pPr>
          </w:p>
          <w:p w:rsidR="00D816B7" w:rsidP="00D816B7" w14:paraId="343D32DA" w14:textId="77777777">
            <w:pPr>
              <w:pStyle w:val="73R"/>
              <w:rPr>
                <w:rtl/>
              </w:rPr>
            </w:pPr>
          </w:p>
          <w:p w:rsidR="006734B0" w:rsidP="00D816B7" w14:paraId="23E6C100" w14:textId="0D05D807">
            <w:pPr>
              <w:pStyle w:val="73R"/>
              <w:rPr>
                <w:rtl/>
              </w:rPr>
            </w:pPr>
            <w:r>
              <w:rPr>
                <w:rFonts w:hint="cs"/>
                <w:rtl/>
              </w:rPr>
              <w:t xml:space="preserve">קו </w:t>
            </w:r>
            <w:r>
              <w:rPr>
                <w:rFonts w:hint="cs"/>
                <w:rtl/>
              </w:rPr>
              <w:t>התמלחת</w:t>
            </w:r>
          </w:p>
        </w:tc>
        <w:tc>
          <w:tcPr>
            <w:tcW w:w="992" w:type="dxa"/>
            <w:vMerge w:val="restart"/>
            <w:shd w:val="clear" w:color="auto" w:fill="DFECEF"/>
            <w:hideMark/>
          </w:tcPr>
          <w:p w:rsidR="00D816B7" w:rsidP="00D816B7" w14:paraId="3801AF58" w14:textId="77777777">
            <w:pPr>
              <w:pStyle w:val="73R"/>
              <w:rPr>
                <w:rtl/>
              </w:rPr>
            </w:pPr>
          </w:p>
          <w:p w:rsidR="00D816B7" w:rsidP="00D816B7" w14:paraId="199F0152" w14:textId="77777777">
            <w:pPr>
              <w:pStyle w:val="73R"/>
              <w:rPr>
                <w:rtl/>
              </w:rPr>
            </w:pPr>
          </w:p>
          <w:p w:rsidR="00D816B7" w:rsidP="00D816B7" w14:paraId="6D52C613" w14:textId="77777777">
            <w:pPr>
              <w:pStyle w:val="73R"/>
              <w:rPr>
                <w:rtl/>
              </w:rPr>
            </w:pPr>
          </w:p>
          <w:p w:rsidR="00D816B7" w:rsidP="00D816B7" w14:paraId="5EF031EB" w14:textId="77777777">
            <w:pPr>
              <w:pStyle w:val="73R"/>
              <w:rPr>
                <w:rtl/>
              </w:rPr>
            </w:pPr>
          </w:p>
          <w:p w:rsidR="00D816B7" w:rsidP="00D816B7" w14:paraId="73824797" w14:textId="77777777">
            <w:pPr>
              <w:pStyle w:val="73R"/>
              <w:rPr>
                <w:rtl/>
              </w:rPr>
            </w:pPr>
          </w:p>
          <w:p w:rsidR="006734B0" w:rsidP="00D816B7" w14:paraId="6686D5A5" w14:textId="1B85B520">
            <w:pPr>
              <w:pStyle w:val="73R"/>
              <w:rPr>
                <w:rtl/>
              </w:rPr>
            </w:pPr>
            <w:r>
              <w:rPr>
                <w:rFonts w:hint="cs"/>
                <w:rtl/>
              </w:rPr>
              <w:t>מפעל א'</w:t>
            </w:r>
          </w:p>
        </w:tc>
        <w:tc>
          <w:tcPr>
            <w:tcW w:w="1134" w:type="dxa"/>
            <w:vMerge w:val="restart"/>
            <w:shd w:val="clear" w:color="auto" w:fill="DFECEF"/>
            <w:hideMark/>
          </w:tcPr>
          <w:p w:rsidR="00D816B7" w:rsidP="00D816B7" w14:paraId="0971DDEC" w14:textId="77777777">
            <w:pPr>
              <w:pStyle w:val="73R"/>
              <w:rPr>
                <w:rtl/>
              </w:rPr>
            </w:pPr>
          </w:p>
          <w:p w:rsidR="00D816B7" w:rsidP="00D816B7" w14:paraId="7BEE37CB" w14:textId="77777777">
            <w:pPr>
              <w:pStyle w:val="73R"/>
              <w:rPr>
                <w:rtl/>
              </w:rPr>
            </w:pPr>
          </w:p>
          <w:p w:rsidR="00D816B7" w:rsidP="00D816B7" w14:paraId="0BCECF8D" w14:textId="77777777">
            <w:pPr>
              <w:pStyle w:val="73R"/>
              <w:rPr>
                <w:rtl/>
              </w:rPr>
            </w:pPr>
          </w:p>
          <w:p w:rsidR="00D816B7" w:rsidP="00D816B7" w14:paraId="22018414" w14:textId="77777777">
            <w:pPr>
              <w:pStyle w:val="73R"/>
              <w:rPr>
                <w:rtl/>
              </w:rPr>
            </w:pPr>
          </w:p>
          <w:p w:rsidR="00D816B7" w:rsidP="00D816B7" w14:paraId="1340C970" w14:textId="77777777">
            <w:pPr>
              <w:pStyle w:val="73R"/>
              <w:rPr>
                <w:rtl/>
              </w:rPr>
            </w:pPr>
          </w:p>
          <w:p w:rsidR="00D816B7" w:rsidP="00D816B7" w14:paraId="5DBF0111" w14:textId="377C8D27">
            <w:pPr>
              <w:pStyle w:val="73R"/>
              <w:rPr>
                <w:rtl/>
              </w:rPr>
            </w:pPr>
            <w:r>
              <w:rPr>
                <w:rFonts w:hint="cs"/>
                <w:rtl/>
              </w:rPr>
              <w:t>1965</w:t>
            </w:r>
          </w:p>
        </w:tc>
        <w:tc>
          <w:tcPr>
            <w:tcW w:w="2398" w:type="dxa"/>
            <w:shd w:val="clear" w:color="auto" w:fill="DFECEF"/>
            <w:hideMark/>
          </w:tcPr>
          <w:p w:rsidR="006734B0" w:rsidP="00943F8C" w14:paraId="0398D91F" w14:textId="77777777">
            <w:pPr>
              <w:pStyle w:val="73R"/>
              <w:rPr>
                <w:rtl/>
              </w:rPr>
            </w:pPr>
            <w:r>
              <w:rPr>
                <w:rFonts w:hint="cs"/>
                <w:rtl/>
              </w:rPr>
              <w:t>כ-1,000 קוב פרצו באזור תחנת השאיבה</w:t>
            </w:r>
          </w:p>
        </w:tc>
      </w:tr>
      <w:tr w14:paraId="65F8A2BE" w14:textId="77777777" w:rsidTr="00D816B7">
        <w:tblPrEx>
          <w:tblW w:w="0" w:type="auto"/>
          <w:jc w:val="right"/>
          <w:shd w:val="clear" w:color="auto" w:fill="DFECEF"/>
          <w:tblLook w:val="04A0"/>
        </w:tblPrEx>
        <w:trPr>
          <w:jc w:val="right"/>
        </w:trPr>
        <w:tc>
          <w:tcPr>
            <w:tcW w:w="426" w:type="dxa"/>
            <w:shd w:val="clear" w:color="auto" w:fill="F0F8F9"/>
            <w:hideMark/>
          </w:tcPr>
          <w:p w:rsidR="006734B0" w:rsidP="00943F8C" w14:paraId="17DFA4C3" w14:textId="77777777">
            <w:pPr>
              <w:pStyle w:val="73R"/>
              <w:rPr>
                <w:rtl/>
              </w:rPr>
            </w:pPr>
            <w:r>
              <w:rPr>
                <w:rFonts w:hint="cs"/>
                <w:rtl/>
              </w:rPr>
              <w:t>2</w:t>
            </w:r>
          </w:p>
        </w:tc>
        <w:tc>
          <w:tcPr>
            <w:tcW w:w="851" w:type="dxa"/>
            <w:shd w:val="clear" w:color="auto" w:fill="F0F8F9"/>
            <w:hideMark/>
          </w:tcPr>
          <w:p w:rsidR="006734B0" w:rsidP="00943F8C" w14:paraId="79C0967E" w14:textId="77777777">
            <w:pPr>
              <w:pStyle w:val="73R"/>
              <w:rPr>
                <w:rtl/>
              </w:rPr>
            </w:pPr>
            <w:r>
              <w:rPr>
                <w:rFonts w:hint="cs"/>
                <w:rtl/>
              </w:rPr>
              <w:t>9.6.21</w:t>
            </w:r>
          </w:p>
        </w:tc>
        <w:tc>
          <w:tcPr>
            <w:tcW w:w="1134" w:type="dxa"/>
            <w:vMerge/>
            <w:shd w:val="clear" w:color="auto" w:fill="F0F8F9"/>
            <w:hideMark/>
          </w:tcPr>
          <w:p w:rsidR="006734B0" w:rsidP="00943F8C" w14:paraId="6C5A4ED1" w14:textId="77777777">
            <w:pPr>
              <w:pStyle w:val="73R"/>
            </w:pPr>
          </w:p>
        </w:tc>
        <w:tc>
          <w:tcPr>
            <w:tcW w:w="992" w:type="dxa"/>
            <w:vMerge/>
            <w:shd w:val="clear" w:color="auto" w:fill="F0F8F9"/>
            <w:hideMark/>
          </w:tcPr>
          <w:p w:rsidR="006734B0" w:rsidP="00943F8C" w14:paraId="5F8E8942" w14:textId="77777777">
            <w:pPr>
              <w:pStyle w:val="73R"/>
            </w:pPr>
          </w:p>
        </w:tc>
        <w:tc>
          <w:tcPr>
            <w:tcW w:w="1134" w:type="dxa"/>
            <w:vMerge/>
            <w:shd w:val="clear" w:color="auto" w:fill="F0F8F9"/>
            <w:hideMark/>
          </w:tcPr>
          <w:p w:rsidR="006734B0" w:rsidP="00943F8C" w14:paraId="7A348104" w14:textId="77777777">
            <w:pPr>
              <w:pStyle w:val="73R"/>
            </w:pPr>
          </w:p>
        </w:tc>
        <w:tc>
          <w:tcPr>
            <w:tcW w:w="2398" w:type="dxa"/>
            <w:shd w:val="clear" w:color="auto" w:fill="F0F8F9"/>
            <w:hideMark/>
          </w:tcPr>
          <w:p w:rsidR="006734B0" w:rsidP="00943F8C" w14:paraId="4B4660B3" w14:textId="77777777">
            <w:pPr>
              <w:pStyle w:val="73R"/>
              <w:rPr>
                <w:rtl/>
              </w:rPr>
            </w:pPr>
            <w:r>
              <w:rPr>
                <w:rFonts w:hint="cs"/>
              </w:rPr>
              <w:t>1</w:t>
            </w:r>
            <w:r>
              <w:t>,</w:t>
            </w:r>
            <w:r>
              <w:rPr>
                <w:rFonts w:hint="cs"/>
              </w:rPr>
              <w:t>000</w:t>
            </w:r>
            <w:r>
              <w:t xml:space="preserve"> - 700</w:t>
            </w:r>
            <w:r>
              <w:rPr>
                <w:rFonts w:hint="cs"/>
                <w:rtl/>
              </w:rPr>
              <w:t xml:space="preserve"> קוב זרמו לנחל </w:t>
            </w:r>
            <w:r>
              <w:rPr>
                <w:rFonts w:hint="cs"/>
                <w:rtl/>
              </w:rPr>
              <w:t>עמיעז</w:t>
            </w:r>
            <w:r>
              <w:rPr>
                <w:rFonts w:hint="cs"/>
                <w:rtl/>
              </w:rPr>
              <w:t xml:space="preserve">; נצפו בנחל עשרות שלוליות של </w:t>
            </w:r>
            <w:r>
              <w:rPr>
                <w:rFonts w:hint="cs"/>
                <w:rtl/>
              </w:rPr>
              <w:t>תמלחת</w:t>
            </w:r>
            <w:r>
              <w:rPr>
                <w:rFonts w:hint="cs"/>
                <w:rtl/>
              </w:rPr>
              <w:t xml:space="preserve"> בעומקים שונים. כמו כן נצפתה שכבת מלח באזורי שיקוע ובצמידות לצמחייה </w:t>
            </w:r>
          </w:p>
        </w:tc>
      </w:tr>
      <w:tr w14:paraId="05AD7B3E" w14:textId="77777777" w:rsidTr="00D816B7">
        <w:tblPrEx>
          <w:tblW w:w="0" w:type="auto"/>
          <w:jc w:val="right"/>
          <w:shd w:val="clear" w:color="auto" w:fill="DFECEF"/>
          <w:tblLook w:val="04A0"/>
        </w:tblPrEx>
        <w:trPr>
          <w:jc w:val="right"/>
        </w:trPr>
        <w:tc>
          <w:tcPr>
            <w:tcW w:w="426" w:type="dxa"/>
            <w:shd w:val="clear" w:color="auto" w:fill="DFECEF"/>
            <w:hideMark/>
          </w:tcPr>
          <w:p w:rsidR="006734B0" w:rsidP="00943F8C" w14:paraId="0E884C8F" w14:textId="77777777">
            <w:pPr>
              <w:pStyle w:val="73R"/>
              <w:rPr>
                <w:rtl/>
              </w:rPr>
            </w:pPr>
            <w:r>
              <w:rPr>
                <w:rFonts w:hint="cs"/>
                <w:rtl/>
              </w:rPr>
              <w:t>3</w:t>
            </w:r>
          </w:p>
        </w:tc>
        <w:tc>
          <w:tcPr>
            <w:tcW w:w="851" w:type="dxa"/>
            <w:shd w:val="clear" w:color="auto" w:fill="DFECEF"/>
            <w:hideMark/>
          </w:tcPr>
          <w:p w:rsidR="006734B0" w:rsidP="00943F8C" w14:paraId="1DEDD541" w14:textId="77777777">
            <w:pPr>
              <w:pStyle w:val="73R"/>
              <w:rPr>
                <w:rtl/>
              </w:rPr>
            </w:pPr>
            <w:r>
              <w:rPr>
                <w:rFonts w:hint="cs"/>
                <w:rtl/>
              </w:rPr>
              <w:t>13.9.22</w:t>
            </w:r>
          </w:p>
        </w:tc>
        <w:tc>
          <w:tcPr>
            <w:tcW w:w="1134" w:type="dxa"/>
            <w:vMerge/>
            <w:shd w:val="clear" w:color="auto" w:fill="DFECEF"/>
            <w:hideMark/>
          </w:tcPr>
          <w:p w:rsidR="006734B0" w:rsidP="00943F8C" w14:paraId="481AE725" w14:textId="77777777">
            <w:pPr>
              <w:pStyle w:val="73R"/>
            </w:pPr>
          </w:p>
        </w:tc>
        <w:tc>
          <w:tcPr>
            <w:tcW w:w="992" w:type="dxa"/>
            <w:vMerge/>
            <w:shd w:val="clear" w:color="auto" w:fill="DFECEF"/>
            <w:hideMark/>
          </w:tcPr>
          <w:p w:rsidR="006734B0" w:rsidP="00943F8C" w14:paraId="4B2249B0" w14:textId="77777777">
            <w:pPr>
              <w:pStyle w:val="73R"/>
            </w:pPr>
          </w:p>
        </w:tc>
        <w:tc>
          <w:tcPr>
            <w:tcW w:w="1134" w:type="dxa"/>
            <w:vMerge/>
            <w:shd w:val="clear" w:color="auto" w:fill="DFECEF"/>
            <w:hideMark/>
          </w:tcPr>
          <w:p w:rsidR="006734B0" w:rsidP="00943F8C" w14:paraId="7D71B735" w14:textId="77777777">
            <w:pPr>
              <w:pStyle w:val="73R"/>
            </w:pPr>
          </w:p>
        </w:tc>
        <w:tc>
          <w:tcPr>
            <w:tcW w:w="2398" w:type="dxa"/>
            <w:shd w:val="clear" w:color="auto" w:fill="DFECEF"/>
            <w:hideMark/>
          </w:tcPr>
          <w:p w:rsidR="006734B0" w:rsidP="00943F8C" w14:paraId="0E8E5708" w14:textId="77777777">
            <w:pPr>
              <w:pStyle w:val="73R"/>
              <w:rPr>
                <w:rtl/>
              </w:rPr>
            </w:pPr>
            <w:r>
              <w:rPr>
                <w:rFonts w:hint="cs"/>
                <w:rtl/>
              </w:rPr>
              <w:t>נזילה מחור שנפער ליד תחנת השאיבה</w:t>
            </w:r>
          </w:p>
        </w:tc>
      </w:tr>
      <w:tr w14:paraId="7925788D" w14:textId="77777777" w:rsidTr="00D816B7">
        <w:tblPrEx>
          <w:tblW w:w="0" w:type="auto"/>
          <w:jc w:val="right"/>
          <w:shd w:val="clear" w:color="auto" w:fill="DFECEF"/>
          <w:tblLook w:val="04A0"/>
        </w:tblPrEx>
        <w:trPr>
          <w:jc w:val="right"/>
        </w:trPr>
        <w:tc>
          <w:tcPr>
            <w:tcW w:w="426" w:type="dxa"/>
            <w:shd w:val="clear" w:color="auto" w:fill="F0F8F9"/>
            <w:hideMark/>
          </w:tcPr>
          <w:p w:rsidR="006734B0" w:rsidP="00943F8C" w14:paraId="6B5DA8E0" w14:textId="77777777">
            <w:pPr>
              <w:pStyle w:val="73R"/>
              <w:rPr>
                <w:rtl/>
              </w:rPr>
            </w:pPr>
            <w:r>
              <w:rPr>
                <w:rFonts w:hint="cs"/>
                <w:rtl/>
              </w:rPr>
              <w:t>4</w:t>
            </w:r>
          </w:p>
        </w:tc>
        <w:tc>
          <w:tcPr>
            <w:tcW w:w="851" w:type="dxa"/>
            <w:shd w:val="clear" w:color="auto" w:fill="F0F8F9"/>
            <w:hideMark/>
          </w:tcPr>
          <w:p w:rsidR="006734B0" w:rsidP="00943F8C" w14:paraId="032491CA" w14:textId="77777777">
            <w:pPr>
              <w:pStyle w:val="73R"/>
              <w:rPr>
                <w:rtl/>
              </w:rPr>
            </w:pPr>
            <w:r>
              <w:rPr>
                <w:rFonts w:hint="cs"/>
                <w:rtl/>
              </w:rPr>
              <w:t>7.6.23</w:t>
            </w:r>
          </w:p>
        </w:tc>
        <w:tc>
          <w:tcPr>
            <w:tcW w:w="1134" w:type="dxa"/>
            <w:vMerge/>
            <w:shd w:val="clear" w:color="auto" w:fill="F0F8F9"/>
            <w:hideMark/>
          </w:tcPr>
          <w:p w:rsidR="006734B0" w:rsidP="00943F8C" w14:paraId="2CF9A1F7" w14:textId="77777777">
            <w:pPr>
              <w:pStyle w:val="73R"/>
            </w:pPr>
          </w:p>
        </w:tc>
        <w:tc>
          <w:tcPr>
            <w:tcW w:w="992" w:type="dxa"/>
            <w:vMerge/>
            <w:shd w:val="clear" w:color="auto" w:fill="F0F8F9"/>
            <w:hideMark/>
          </w:tcPr>
          <w:p w:rsidR="006734B0" w:rsidP="00943F8C" w14:paraId="7FC74151" w14:textId="77777777">
            <w:pPr>
              <w:pStyle w:val="73R"/>
            </w:pPr>
          </w:p>
        </w:tc>
        <w:tc>
          <w:tcPr>
            <w:tcW w:w="1134" w:type="dxa"/>
            <w:vMerge/>
            <w:shd w:val="clear" w:color="auto" w:fill="F0F8F9"/>
            <w:hideMark/>
          </w:tcPr>
          <w:p w:rsidR="006734B0" w:rsidP="00943F8C" w14:paraId="1A21C74D" w14:textId="77777777">
            <w:pPr>
              <w:pStyle w:val="73R"/>
            </w:pPr>
          </w:p>
        </w:tc>
        <w:tc>
          <w:tcPr>
            <w:tcW w:w="2398" w:type="dxa"/>
            <w:shd w:val="clear" w:color="auto" w:fill="F0F8F9"/>
            <w:hideMark/>
          </w:tcPr>
          <w:p w:rsidR="006734B0" w:rsidP="00943F8C" w14:paraId="1CE786A7" w14:textId="77777777">
            <w:pPr>
              <w:pStyle w:val="73R"/>
              <w:rPr>
                <w:rtl/>
              </w:rPr>
            </w:pPr>
            <w:r>
              <w:rPr>
                <w:rFonts w:hint="cs"/>
                <w:rtl/>
              </w:rPr>
              <w:t xml:space="preserve">נגרם שפך של כ-1 ק"מ לאורך נחל </w:t>
            </w:r>
            <w:r>
              <w:rPr>
                <w:rFonts w:hint="cs"/>
                <w:rtl/>
              </w:rPr>
              <w:t>עמיעז</w:t>
            </w:r>
          </w:p>
        </w:tc>
      </w:tr>
      <w:tr w14:paraId="53745482" w14:textId="77777777" w:rsidTr="00D816B7">
        <w:tblPrEx>
          <w:tblW w:w="0" w:type="auto"/>
          <w:jc w:val="right"/>
          <w:shd w:val="clear" w:color="auto" w:fill="DFECEF"/>
          <w:tblLook w:val="04A0"/>
        </w:tblPrEx>
        <w:trPr>
          <w:jc w:val="right"/>
        </w:trPr>
        <w:tc>
          <w:tcPr>
            <w:tcW w:w="426" w:type="dxa"/>
            <w:shd w:val="clear" w:color="auto" w:fill="DFECEF"/>
            <w:hideMark/>
          </w:tcPr>
          <w:p w:rsidR="006734B0" w:rsidP="00943F8C" w14:paraId="2D8EA8CB" w14:textId="77777777">
            <w:pPr>
              <w:pStyle w:val="73R"/>
              <w:rPr>
                <w:rtl/>
              </w:rPr>
            </w:pPr>
            <w:r>
              <w:rPr>
                <w:rFonts w:hint="cs"/>
                <w:rtl/>
              </w:rPr>
              <w:t>5</w:t>
            </w:r>
          </w:p>
        </w:tc>
        <w:tc>
          <w:tcPr>
            <w:tcW w:w="851" w:type="dxa"/>
            <w:shd w:val="clear" w:color="auto" w:fill="DFECEF"/>
            <w:hideMark/>
          </w:tcPr>
          <w:p w:rsidR="006734B0" w:rsidP="00943F8C" w14:paraId="54EE390E" w14:textId="77777777">
            <w:pPr>
              <w:pStyle w:val="73R"/>
              <w:rPr>
                <w:rtl/>
              </w:rPr>
            </w:pPr>
            <w:r>
              <w:rPr>
                <w:rFonts w:hint="cs"/>
                <w:rtl/>
              </w:rPr>
              <w:t>28.11.23</w:t>
            </w:r>
          </w:p>
        </w:tc>
        <w:tc>
          <w:tcPr>
            <w:tcW w:w="1134" w:type="dxa"/>
            <w:vMerge/>
            <w:shd w:val="clear" w:color="auto" w:fill="DFECEF"/>
            <w:hideMark/>
          </w:tcPr>
          <w:p w:rsidR="006734B0" w:rsidP="00943F8C" w14:paraId="520FA899" w14:textId="77777777">
            <w:pPr>
              <w:pStyle w:val="73R"/>
            </w:pPr>
          </w:p>
        </w:tc>
        <w:tc>
          <w:tcPr>
            <w:tcW w:w="992" w:type="dxa"/>
            <w:vMerge/>
            <w:shd w:val="clear" w:color="auto" w:fill="DFECEF"/>
            <w:hideMark/>
          </w:tcPr>
          <w:p w:rsidR="006734B0" w:rsidP="00943F8C" w14:paraId="3DC3DF9B" w14:textId="77777777">
            <w:pPr>
              <w:pStyle w:val="73R"/>
            </w:pPr>
          </w:p>
        </w:tc>
        <w:tc>
          <w:tcPr>
            <w:tcW w:w="1134" w:type="dxa"/>
            <w:vMerge/>
            <w:shd w:val="clear" w:color="auto" w:fill="DFECEF"/>
            <w:hideMark/>
          </w:tcPr>
          <w:p w:rsidR="006734B0" w:rsidP="00943F8C" w14:paraId="1E6617F9" w14:textId="77777777">
            <w:pPr>
              <w:pStyle w:val="73R"/>
            </w:pPr>
          </w:p>
        </w:tc>
        <w:tc>
          <w:tcPr>
            <w:tcW w:w="2398" w:type="dxa"/>
            <w:shd w:val="clear" w:color="auto" w:fill="DFECEF"/>
            <w:hideMark/>
          </w:tcPr>
          <w:p w:rsidR="006734B0" w:rsidP="00943F8C" w14:paraId="4DB27D0E" w14:textId="77777777">
            <w:pPr>
              <w:pStyle w:val="73R"/>
              <w:rPr>
                <w:rtl/>
              </w:rPr>
            </w:pPr>
            <w:r>
              <w:rPr>
                <w:rFonts w:hint="cs"/>
                <w:rtl/>
              </w:rPr>
              <w:t xml:space="preserve">נזילה מהקו </w:t>
            </w:r>
          </w:p>
        </w:tc>
      </w:tr>
      <w:tr w14:paraId="7F49FB75" w14:textId="77777777" w:rsidTr="00D816B7">
        <w:tblPrEx>
          <w:tblW w:w="0" w:type="auto"/>
          <w:jc w:val="right"/>
          <w:shd w:val="clear" w:color="auto" w:fill="DFECEF"/>
          <w:tblLook w:val="04A0"/>
        </w:tblPrEx>
        <w:trPr>
          <w:jc w:val="right"/>
        </w:trPr>
        <w:tc>
          <w:tcPr>
            <w:tcW w:w="426" w:type="dxa"/>
            <w:shd w:val="clear" w:color="auto" w:fill="F0F8F9"/>
            <w:hideMark/>
          </w:tcPr>
          <w:p w:rsidR="006734B0" w:rsidP="00943F8C" w14:paraId="30DAD193" w14:textId="77777777">
            <w:pPr>
              <w:pStyle w:val="73R"/>
              <w:rPr>
                <w:rtl/>
              </w:rPr>
            </w:pPr>
            <w:r>
              <w:rPr>
                <w:rFonts w:hint="cs"/>
                <w:rtl/>
              </w:rPr>
              <w:t>6</w:t>
            </w:r>
          </w:p>
        </w:tc>
        <w:tc>
          <w:tcPr>
            <w:tcW w:w="851" w:type="dxa"/>
            <w:shd w:val="clear" w:color="auto" w:fill="F0F8F9"/>
            <w:hideMark/>
          </w:tcPr>
          <w:p w:rsidR="006734B0" w:rsidP="00943F8C" w14:paraId="55A6BFC7" w14:textId="77777777">
            <w:pPr>
              <w:pStyle w:val="73R"/>
              <w:rPr>
                <w:rtl/>
              </w:rPr>
            </w:pPr>
            <w:r>
              <w:rPr>
                <w:rFonts w:hint="cs"/>
                <w:rtl/>
              </w:rPr>
              <w:t>12.23</w:t>
            </w:r>
          </w:p>
        </w:tc>
        <w:tc>
          <w:tcPr>
            <w:tcW w:w="1134" w:type="dxa"/>
            <w:shd w:val="clear" w:color="auto" w:fill="F0F8F9"/>
            <w:hideMark/>
          </w:tcPr>
          <w:p w:rsidR="006734B0" w:rsidP="00943F8C" w14:paraId="79182B27" w14:textId="77777777">
            <w:pPr>
              <w:pStyle w:val="73R"/>
              <w:rPr>
                <w:rtl/>
              </w:rPr>
            </w:pPr>
            <w:r>
              <w:rPr>
                <w:rFonts w:hint="cs"/>
                <w:rtl/>
              </w:rPr>
              <w:t>קו השפכים</w:t>
            </w:r>
          </w:p>
        </w:tc>
        <w:tc>
          <w:tcPr>
            <w:tcW w:w="992" w:type="dxa"/>
            <w:vMerge/>
            <w:shd w:val="clear" w:color="auto" w:fill="F0F8F9"/>
            <w:hideMark/>
          </w:tcPr>
          <w:p w:rsidR="006734B0" w:rsidP="00943F8C" w14:paraId="2F3C6CA8" w14:textId="77777777">
            <w:pPr>
              <w:pStyle w:val="73R"/>
            </w:pPr>
          </w:p>
        </w:tc>
        <w:tc>
          <w:tcPr>
            <w:tcW w:w="1134" w:type="dxa"/>
            <w:shd w:val="clear" w:color="auto" w:fill="F0F8F9"/>
            <w:hideMark/>
          </w:tcPr>
          <w:p w:rsidR="006734B0" w:rsidP="00943F8C" w14:paraId="3C213BAD" w14:textId="77777777">
            <w:pPr>
              <w:pStyle w:val="73R"/>
              <w:rPr>
                <w:rtl/>
              </w:rPr>
            </w:pPr>
            <w:r>
              <w:rPr>
                <w:rFonts w:hint="cs"/>
                <w:rtl/>
              </w:rPr>
              <w:t>1994</w:t>
            </w:r>
          </w:p>
        </w:tc>
        <w:tc>
          <w:tcPr>
            <w:tcW w:w="2398" w:type="dxa"/>
            <w:shd w:val="clear" w:color="auto" w:fill="F0F8F9"/>
            <w:hideMark/>
          </w:tcPr>
          <w:p w:rsidR="006734B0" w:rsidP="00943F8C" w14:paraId="61FB4319" w14:textId="77777777">
            <w:pPr>
              <w:pStyle w:val="73R"/>
              <w:rPr>
                <w:rtl/>
              </w:rPr>
            </w:pPr>
            <w:r>
              <w:rPr>
                <w:rFonts w:hint="cs"/>
                <w:rtl/>
              </w:rPr>
              <w:t>נזילה מהקו</w:t>
            </w:r>
          </w:p>
        </w:tc>
      </w:tr>
      <w:tr w14:paraId="0578B5ED" w14:textId="77777777" w:rsidTr="00D816B7">
        <w:tblPrEx>
          <w:tblW w:w="0" w:type="auto"/>
          <w:jc w:val="right"/>
          <w:shd w:val="clear" w:color="auto" w:fill="DFECEF"/>
          <w:tblLook w:val="04A0"/>
        </w:tblPrEx>
        <w:trPr>
          <w:jc w:val="right"/>
        </w:trPr>
        <w:tc>
          <w:tcPr>
            <w:tcW w:w="426" w:type="dxa"/>
            <w:shd w:val="clear" w:color="auto" w:fill="DFECEF"/>
            <w:hideMark/>
          </w:tcPr>
          <w:p w:rsidR="006734B0" w:rsidP="00943F8C" w14:paraId="5440AE7D" w14:textId="77777777">
            <w:pPr>
              <w:pStyle w:val="73R"/>
              <w:rPr>
                <w:rtl/>
              </w:rPr>
            </w:pPr>
            <w:r>
              <w:rPr>
                <w:rFonts w:hint="cs"/>
                <w:rtl/>
              </w:rPr>
              <w:t>7</w:t>
            </w:r>
          </w:p>
        </w:tc>
        <w:tc>
          <w:tcPr>
            <w:tcW w:w="851" w:type="dxa"/>
            <w:shd w:val="clear" w:color="auto" w:fill="DFECEF"/>
            <w:hideMark/>
          </w:tcPr>
          <w:p w:rsidR="006734B0" w:rsidP="00943F8C" w14:paraId="5072DC55" w14:textId="77777777">
            <w:pPr>
              <w:pStyle w:val="73R"/>
              <w:rPr>
                <w:rtl/>
              </w:rPr>
            </w:pPr>
            <w:r>
              <w:rPr>
                <w:rFonts w:hint="cs"/>
                <w:rtl/>
              </w:rPr>
              <w:t>21.12.23</w:t>
            </w:r>
          </w:p>
        </w:tc>
        <w:tc>
          <w:tcPr>
            <w:tcW w:w="1134" w:type="dxa"/>
            <w:shd w:val="clear" w:color="auto" w:fill="DFECEF"/>
            <w:hideMark/>
          </w:tcPr>
          <w:p w:rsidR="006734B0" w:rsidP="00943F8C" w14:paraId="617B8A6F" w14:textId="77777777">
            <w:pPr>
              <w:pStyle w:val="73R"/>
              <w:rPr>
                <w:rtl/>
              </w:rPr>
            </w:pPr>
            <w:r>
              <w:rPr>
                <w:rFonts w:hint="cs"/>
                <w:rtl/>
              </w:rPr>
              <w:t>קו אפעה</w:t>
            </w:r>
          </w:p>
        </w:tc>
        <w:tc>
          <w:tcPr>
            <w:tcW w:w="992" w:type="dxa"/>
            <w:shd w:val="clear" w:color="auto" w:fill="DFECEF"/>
            <w:hideMark/>
          </w:tcPr>
          <w:p w:rsidR="006734B0" w:rsidP="00943F8C" w14:paraId="5B7AB132" w14:textId="77777777">
            <w:pPr>
              <w:pStyle w:val="73R"/>
              <w:rPr>
                <w:rtl/>
              </w:rPr>
            </w:pPr>
            <w:r>
              <w:rPr>
                <w:rFonts w:hint="cs"/>
                <w:rtl/>
              </w:rPr>
              <w:t>מי"ה</w:t>
            </w:r>
          </w:p>
        </w:tc>
        <w:tc>
          <w:tcPr>
            <w:tcW w:w="1134" w:type="dxa"/>
            <w:shd w:val="clear" w:color="auto" w:fill="DFECEF"/>
            <w:hideMark/>
          </w:tcPr>
          <w:p w:rsidR="006734B0" w:rsidP="00943F8C" w14:paraId="0CECA216" w14:textId="77777777">
            <w:pPr>
              <w:pStyle w:val="73R"/>
              <w:rPr>
                <w:rtl/>
              </w:rPr>
            </w:pPr>
            <w:r>
              <w:rPr>
                <w:rFonts w:hint="cs"/>
                <w:rtl/>
              </w:rPr>
              <w:t>שנות השישים של המאה העשרים</w:t>
            </w:r>
          </w:p>
        </w:tc>
        <w:tc>
          <w:tcPr>
            <w:tcW w:w="2398" w:type="dxa"/>
            <w:shd w:val="clear" w:color="auto" w:fill="DFECEF"/>
            <w:hideMark/>
          </w:tcPr>
          <w:p w:rsidR="006734B0" w:rsidP="00943F8C" w14:paraId="6D12CE14" w14:textId="77777777">
            <w:pPr>
              <w:pStyle w:val="73R"/>
              <w:rPr>
                <w:rtl/>
              </w:rPr>
            </w:pPr>
            <w:r w:rsidRPr="00F93040">
              <w:rPr>
                <w:rFonts w:hint="cs"/>
                <w:rtl/>
              </w:rPr>
              <w:t>זרימת נוזל לנחל אשלים לאורך כ-1 ק"מ והצפת הגבים</w:t>
            </w:r>
            <w:r>
              <w:rPr>
                <w:rFonts w:hint="cs"/>
                <w:rtl/>
              </w:rPr>
              <w:t xml:space="preserve"> </w:t>
            </w:r>
          </w:p>
        </w:tc>
      </w:tr>
      <w:tr w14:paraId="04A011A6" w14:textId="77777777" w:rsidTr="00D816B7">
        <w:tblPrEx>
          <w:tblW w:w="0" w:type="auto"/>
          <w:jc w:val="right"/>
          <w:shd w:val="clear" w:color="auto" w:fill="DFECEF"/>
          <w:tblLook w:val="04A0"/>
        </w:tblPrEx>
        <w:trPr>
          <w:jc w:val="right"/>
        </w:trPr>
        <w:tc>
          <w:tcPr>
            <w:tcW w:w="426" w:type="dxa"/>
            <w:shd w:val="clear" w:color="auto" w:fill="F0F8F9"/>
            <w:hideMark/>
          </w:tcPr>
          <w:p w:rsidR="006734B0" w:rsidP="00943F8C" w14:paraId="02E804DE" w14:textId="77777777">
            <w:pPr>
              <w:pStyle w:val="73R"/>
              <w:rPr>
                <w:rtl/>
              </w:rPr>
            </w:pPr>
            <w:r>
              <w:rPr>
                <w:rFonts w:hint="cs"/>
                <w:rtl/>
              </w:rPr>
              <w:t>8</w:t>
            </w:r>
          </w:p>
        </w:tc>
        <w:tc>
          <w:tcPr>
            <w:tcW w:w="851" w:type="dxa"/>
            <w:shd w:val="clear" w:color="auto" w:fill="F0F8F9"/>
            <w:hideMark/>
          </w:tcPr>
          <w:p w:rsidR="006734B0" w:rsidP="00943F8C" w14:paraId="1A0F5BDE" w14:textId="77777777">
            <w:pPr>
              <w:pStyle w:val="73R"/>
            </w:pPr>
            <w:r>
              <w:rPr>
                <w:rFonts w:hint="cs"/>
              </w:rPr>
              <w:t>16.01.24</w:t>
            </w:r>
          </w:p>
        </w:tc>
        <w:tc>
          <w:tcPr>
            <w:tcW w:w="1134" w:type="dxa"/>
            <w:shd w:val="clear" w:color="auto" w:fill="F0F8F9"/>
            <w:hideMark/>
          </w:tcPr>
          <w:p w:rsidR="006734B0" w:rsidP="00943F8C" w14:paraId="5A44155D" w14:textId="77777777">
            <w:pPr>
              <w:pStyle w:val="73R"/>
              <w:rPr>
                <w:rtl/>
              </w:rPr>
            </w:pPr>
            <w:r>
              <w:rPr>
                <w:rFonts w:hint="cs"/>
                <w:rtl/>
              </w:rPr>
              <w:t>קו השפכים</w:t>
            </w:r>
          </w:p>
        </w:tc>
        <w:tc>
          <w:tcPr>
            <w:tcW w:w="992" w:type="dxa"/>
            <w:shd w:val="clear" w:color="auto" w:fill="F0F8F9"/>
            <w:hideMark/>
          </w:tcPr>
          <w:p w:rsidR="006734B0" w:rsidP="00943F8C" w14:paraId="00F466BB" w14:textId="77777777">
            <w:pPr>
              <w:pStyle w:val="73R"/>
              <w:rPr>
                <w:rtl/>
              </w:rPr>
            </w:pPr>
            <w:r>
              <w:rPr>
                <w:rFonts w:hint="cs"/>
                <w:rtl/>
              </w:rPr>
              <w:t>מפעל א'</w:t>
            </w:r>
          </w:p>
        </w:tc>
        <w:tc>
          <w:tcPr>
            <w:tcW w:w="1134" w:type="dxa"/>
            <w:shd w:val="clear" w:color="auto" w:fill="F0F8F9"/>
            <w:hideMark/>
          </w:tcPr>
          <w:p w:rsidR="006734B0" w:rsidP="00943F8C" w14:paraId="3B15D486" w14:textId="77777777">
            <w:pPr>
              <w:pStyle w:val="73R"/>
              <w:rPr>
                <w:rtl/>
              </w:rPr>
            </w:pPr>
            <w:r>
              <w:rPr>
                <w:rFonts w:hint="cs"/>
                <w:rtl/>
              </w:rPr>
              <w:t>1994</w:t>
            </w:r>
          </w:p>
        </w:tc>
        <w:tc>
          <w:tcPr>
            <w:tcW w:w="2398" w:type="dxa"/>
            <w:shd w:val="clear" w:color="auto" w:fill="F0F8F9"/>
            <w:hideMark/>
          </w:tcPr>
          <w:p w:rsidR="006734B0" w:rsidP="00943F8C" w14:paraId="4F86E22F" w14:textId="77777777">
            <w:pPr>
              <w:pStyle w:val="73R"/>
              <w:rPr>
                <w:rtl/>
              </w:rPr>
            </w:pPr>
            <w:r>
              <w:rPr>
                <w:rFonts w:hint="cs"/>
                <w:rtl/>
              </w:rPr>
              <w:t>נזילה מהקו הנצפית כקצף</w:t>
            </w:r>
          </w:p>
        </w:tc>
      </w:tr>
    </w:tbl>
    <w:p w:rsidR="006734B0" w:rsidP="00D816B7" w14:paraId="0BD1C85A" w14:textId="77777777">
      <w:pPr>
        <w:pStyle w:val="738"/>
        <w:ind w:left="397"/>
        <w:rPr>
          <w:rtl/>
        </w:rPr>
      </w:pPr>
      <w:r>
        <w:rPr>
          <w:rFonts w:hint="cs"/>
          <w:rtl/>
        </w:rPr>
        <w:t xml:space="preserve">המקור: </w:t>
      </w:r>
      <w:r>
        <w:rPr>
          <w:rFonts w:hint="cs"/>
          <w:rtl/>
        </w:rPr>
        <w:t>יח"ס</w:t>
      </w:r>
      <w:r>
        <w:rPr>
          <w:rFonts w:hint="cs"/>
          <w:rtl/>
        </w:rPr>
        <w:t xml:space="preserve"> נגב מזרחי.</w:t>
      </w:r>
    </w:p>
    <w:p w:rsidR="006734B0" w:rsidRPr="00D816B7" w:rsidP="00D816B7" w14:paraId="09FFDD45" w14:textId="6E165A1A">
      <w:pPr>
        <w:pStyle w:val="7310"/>
        <w:rPr>
          <w:rtl/>
        </w:rPr>
      </w:pPr>
      <w:r w:rsidRPr="00D816B7">
        <w:rPr>
          <w:rFonts w:hint="eastAsia"/>
          <w:rtl/>
        </w:rPr>
        <w:t>כפי</w:t>
      </w:r>
      <w:r w:rsidRPr="00D816B7">
        <w:rPr>
          <w:rtl/>
        </w:rPr>
        <w:t xml:space="preserve"> שעולה מהלוח, </w:t>
      </w:r>
      <w:r w:rsidRPr="00D816B7">
        <w:rPr>
          <w:rFonts w:hint="cs"/>
          <w:rtl/>
        </w:rPr>
        <w:t xml:space="preserve">כמו גם מנתוני </w:t>
      </w:r>
      <w:r w:rsidRPr="00D816B7">
        <w:rPr>
          <w:rFonts w:hint="cs"/>
          <w:rtl/>
        </w:rPr>
        <w:t>רט"ג</w:t>
      </w:r>
      <w:r w:rsidRPr="00D816B7">
        <w:rPr>
          <w:rFonts w:hint="cs"/>
          <w:rtl/>
        </w:rPr>
        <w:t xml:space="preserve">, אירועי </w:t>
      </w:r>
      <w:r w:rsidRPr="0046653C" w:rsidR="0046653C">
        <w:rPr>
          <w:rtl/>
        </w:rPr>
        <w:t>דליפה של חומרים מזהמים מקווי</w:t>
      </w:r>
      <w:r w:rsidRPr="00D816B7">
        <w:rPr>
          <w:rFonts w:hint="cs"/>
          <w:rtl/>
        </w:rPr>
        <w:t xml:space="preserve"> ההולכה בשמורת הטבע מדבר </w:t>
      </w:r>
      <w:r w:rsidRPr="0046653C" w:rsidR="0046653C">
        <w:rPr>
          <w:rtl/>
        </w:rPr>
        <w:t>יהודה, שאירעו באוקטובר</w:t>
      </w:r>
      <w:r w:rsidRPr="00D816B7">
        <w:rPr>
          <w:rFonts w:hint="cs"/>
          <w:rtl/>
        </w:rPr>
        <w:t xml:space="preserve"> 2020 - ינואר 2024 גרמו לנזק של ממש לסביבה. כך לדוגמה, לפי </w:t>
      </w:r>
      <w:r w:rsidRPr="00D816B7">
        <w:rPr>
          <w:rFonts w:hint="cs"/>
          <w:rtl/>
        </w:rPr>
        <w:t>רט"ג</w:t>
      </w:r>
      <w:r w:rsidRPr="00D816B7">
        <w:rPr>
          <w:rFonts w:hint="cs"/>
          <w:rtl/>
        </w:rPr>
        <w:t xml:space="preserve">, הדליפה שאירעה ביוני 2021 בקו </w:t>
      </w:r>
      <w:r w:rsidRPr="00D816B7">
        <w:rPr>
          <w:rFonts w:hint="cs"/>
          <w:rtl/>
        </w:rPr>
        <w:t>התמלחת</w:t>
      </w:r>
      <w:r w:rsidRPr="00D816B7">
        <w:rPr>
          <w:rFonts w:hint="cs"/>
          <w:rtl/>
        </w:rPr>
        <w:t xml:space="preserve"> גרמה להיווצרות משטחי מלח על הקרקע ולהיקוות גבי </w:t>
      </w:r>
      <w:r w:rsidRPr="00D816B7">
        <w:rPr>
          <w:rFonts w:hint="cs"/>
          <w:rtl/>
        </w:rPr>
        <w:t>תמלחת</w:t>
      </w:r>
      <w:r w:rsidRPr="00D816B7">
        <w:rPr>
          <w:rFonts w:hint="cs"/>
          <w:rtl/>
        </w:rPr>
        <w:t xml:space="preserve"> לאורך תוואי הזרימה; והזרם שדלף פגע במטיילים.</w:t>
      </w:r>
    </w:p>
    <w:p w:rsidR="006734B0" w:rsidRPr="00D816B7" w:rsidP="00D816B7" w14:paraId="37D858DD" w14:textId="68692F38">
      <w:pPr>
        <w:pStyle w:val="734"/>
        <w:ind w:left="397"/>
        <w:rPr>
          <w:rtl/>
        </w:rPr>
      </w:pPr>
      <w:r w:rsidRPr="00D816B7">
        <w:rPr>
          <w:rFonts w:hint="cs"/>
          <w:b w:val="0"/>
          <w:bCs w:val="0"/>
          <w:rtl/>
        </w:rPr>
        <w:t xml:space="preserve">תמונה </w:t>
      </w:r>
      <w:r w:rsidR="00D0542F">
        <w:rPr>
          <w:rFonts w:hint="cs"/>
          <w:b w:val="0"/>
          <w:bCs w:val="0"/>
          <w:rtl/>
        </w:rPr>
        <w:t>6</w:t>
      </w:r>
      <w:r w:rsidRPr="00D816B7">
        <w:rPr>
          <w:rFonts w:hint="cs"/>
          <w:b w:val="0"/>
          <w:bCs w:val="0"/>
          <w:rtl/>
        </w:rPr>
        <w:t>:</w:t>
      </w:r>
      <w:r w:rsidRPr="00D816B7">
        <w:rPr>
          <w:rFonts w:hint="cs"/>
          <w:rtl/>
        </w:rPr>
        <w:t xml:space="preserve"> ספיגת </w:t>
      </w:r>
      <w:r w:rsidRPr="00D816B7">
        <w:rPr>
          <w:rFonts w:hint="cs"/>
          <w:rtl/>
        </w:rPr>
        <w:t>התמלחת</w:t>
      </w:r>
      <w:r w:rsidRPr="00D816B7">
        <w:rPr>
          <w:rFonts w:hint="cs"/>
          <w:rtl/>
        </w:rPr>
        <w:t xml:space="preserve"> שדלפה בנחל </w:t>
      </w:r>
      <w:r w:rsidRPr="00D816B7">
        <w:rPr>
          <w:rFonts w:hint="cs"/>
          <w:rtl/>
        </w:rPr>
        <w:t>עמיעז</w:t>
      </w:r>
      <w:r w:rsidRPr="00D816B7">
        <w:rPr>
          <w:rFonts w:hint="cs"/>
          <w:rtl/>
        </w:rPr>
        <w:t>, יוני 2021</w:t>
      </w:r>
    </w:p>
    <w:p w:rsidR="006734B0" w:rsidP="00D816B7" w14:paraId="01D5E3FD" w14:textId="77777777">
      <w:pPr>
        <w:spacing w:line="360" w:lineRule="auto"/>
        <w:ind w:left="397"/>
        <w:rPr>
          <w:rtl/>
        </w:rPr>
      </w:pPr>
      <w:r>
        <w:rPr>
          <w:noProof/>
        </w:rPr>
        <w:drawing>
          <wp:inline distT="0" distB="0" distL="0" distR="0">
            <wp:extent cx="4474322" cy="2939336"/>
            <wp:effectExtent l="0" t="0" r="0" b="0"/>
            <wp:docPr id="285880568" name="תמונה 285880568" descr="תמונה שמכילה בחוץ, שמיים, גלגל, רכב יבשה&#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880568" name="תמונה 285880568" descr="תמונה שמכילה בחוץ, שמיים, גלגל, רכב יבשה&#10;&#10;תוכן שנוצר על-ידי בינה מלאכותית עשוי להיות שגוי."/>
                    <pic:cNvPicPr>
                      <a:picLocks noChangeAspect="1" noChangeArrowheads="1"/>
                    </pic:cNvPicPr>
                  </pic:nvPicPr>
                  <pic:blipFill>
                    <a:blip xmlns:r="http://schemas.openxmlformats.org/officeDocument/2006/relationships" r:embed="rId4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510042" cy="2962801"/>
                    </a:xfrm>
                    <a:prstGeom prst="rect">
                      <a:avLst/>
                    </a:prstGeom>
                    <a:noFill/>
                    <a:ln>
                      <a:noFill/>
                    </a:ln>
                  </pic:spPr>
                </pic:pic>
              </a:graphicData>
            </a:graphic>
          </wp:inline>
        </w:drawing>
      </w:r>
    </w:p>
    <w:p w:rsidR="006734B0" w:rsidRPr="00D816B7" w:rsidP="005F2F70" w14:paraId="05982240" w14:textId="77777777">
      <w:pPr>
        <w:pStyle w:val="738"/>
        <w:spacing w:before="60"/>
        <w:ind w:left="397"/>
        <w:rPr>
          <w:rtl/>
        </w:rPr>
      </w:pPr>
      <w:r w:rsidRPr="00D816B7">
        <w:rPr>
          <w:rFonts w:hint="cs"/>
          <w:rtl/>
        </w:rPr>
        <w:t xml:space="preserve">המקור: </w:t>
      </w:r>
      <w:r w:rsidRPr="00D816B7">
        <w:rPr>
          <w:rFonts w:hint="cs"/>
          <w:rtl/>
        </w:rPr>
        <w:t>רט"ג</w:t>
      </w:r>
      <w:r w:rsidRPr="00D816B7">
        <w:rPr>
          <w:rFonts w:hint="cs"/>
          <w:rtl/>
        </w:rPr>
        <w:t xml:space="preserve">. </w:t>
      </w:r>
    </w:p>
    <w:p w:rsidR="006734B0" w:rsidRPr="00D816B7" w:rsidP="00D816B7" w14:paraId="3866B3B7" w14:textId="69087C00">
      <w:pPr>
        <w:pStyle w:val="7310"/>
        <w:rPr>
          <w:rtl/>
        </w:rPr>
      </w:pPr>
      <w:r w:rsidRPr="00D816B7">
        <w:rPr>
          <w:rFonts w:hint="cs"/>
          <w:rtl/>
        </w:rPr>
        <w:t xml:space="preserve">עוד לפי נתוני </w:t>
      </w:r>
      <w:r w:rsidRPr="00D816B7">
        <w:rPr>
          <w:rFonts w:hint="cs"/>
          <w:rtl/>
        </w:rPr>
        <w:t>רט"ג</w:t>
      </w:r>
      <w:r w:rsidRPr="00D816B7">
        <w:rPr>
          <w:rFonts w:hint="cs"/>
          <w:rtl/>
        </w:rPr>
        <w:t xml:space="preserve">, בדליפה שאירעה בקו אפעה בדצמבר 2023 נצפו גבים מלאים בנוזל בצבע משתנה (ירוק, צהוב </w:t>
      </w:r>
      <w:r w:rsidR="005F2F70">
        <w:rPr>
          <w:rFonts w:hint="cs"/>
          <w:rtl/>
        </w:rPr>
        <w:t>ו</w:t>
      </w:r>
      <w:r w:rsidRPr="00D816B7">
        <w:rPr>
          <w:rFonts w:hint="cs"/>
          <w:rtl/>
        </w:rPr>
        <w:t xml:space="preserve">אדום) שדלף לתוך שטח שמורת הטבע מדבר יהודה באזור נחל אשלים. לפי </w:t>
      </w:r>
      <w:r w:rsidRPr="00D816B7">
        <w:rPr>
          <w:rFonts w:hint="cs"/>
          <w:rtl/>
        </w:rPr>
        <w:t>רט"ג</w:t>
      </w:r>
      <w:r w:rsidRPr="00D816B7">
        <w:rPr>
          <w:rFonts w:hint="cs"/>
          <w:rtl/>
        </w:rPr>
        <w:t xml:space="preserve">, מדובר באזור בעל רגישות סביבתית, וניתן היה לראות באופן ברור את ההשפעה של דליפת הנוזל על הסביבה ואת הנזק האקולוגי שנגרם לבעלי החיים ולצמחייה. </w:t>
      </w:r>
    </w:p>
    <w:p w:rsidR="006734B0" w:rsidRPr="00D816B7" w:rsidP="00D816B7" w14:paraId="5709425F" w14:textId="44AF26B1">
      <w:pPr>
        <w:pStyle w:val="734"/>
        <w:ind w:left="397"/>
        <w:rPr>
          <w:rtl/>
        </w:rPr>
      </w:pPr>
      <w:r w:rsidRPr="00D816B7">
        <w:rPr>
          <w:rFonts w:hint="cs"/>
          <w:b w:val="0"/>
          <w:bCs w:val="0"/>
          <w:rtl/>
        </w:rPr>
        <w:t>תמונה</w:t>
      </w:r>
      <w:r w:rsidR="00DC70B8">
        <w:rPr>
          <w:rFonts w:hint="cs"/>
          <w:b w:val="0"/>
          <w:bCs w:val="0"/>
          <w:rtl/>
        </w:rPr>
        <w:t xml:space="preserve"> 7:</w:t>
      </w:r>
      <w:r w:rsidRPr="00D816B7">
        <w:rPr>
          <w:rFonts w:hint="cs"/>
          <w:rtl/>
        </w:rPr>
        <w:t xml:space="preserve"> הדליפה מקו אפעה לנחל אשלים, דצמבר 2023</w:t>
      </w:r>
    </w:p>
    <w:p w:rsidR="006734B0" w:rsidP="00D816B7" w14:paraId="19440B55" w14:textId="77777777">
      <w:pPr>
        <w:spacing w:line="360" w:lineRule="auto"/>
        <w:ind w:left="397"/>
        <w:jc w:val="center"/>
        <w:rPr>
          <w:rtl/>
        </w:rPr>
      </w:pPr>
      <w:r>
        <w:rPr>
          <w:noProof/>
        </w:rPr>
        <w:drawing>
          <wp:inline distT="0" distB="0" distL="0" distR="0">
            <wp:extent cx="2905125" cy="4191000"/>
            <wp:effectExtent l="0" t="0" r="9525" b="0"/>
            <wp:docPr id="811527921" name="תמונה 811527921" descr="תמונה שמכילה בחוץ, שמיים, הליכה, גאולוגיה&#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527921" name="תמונה 811527921" descr="תמונה שמכילה בחוץ, שמיים, הליכה, גאולוגיה&#10;&#10;תוכן שנוצר על-ידי בינה מלאכותית עשוי להיות שגוי."/>
                    <pic:cNvPicPr>
                      <a:picLocks noChangeAspect="1" noChangeArrowheads="1"/>
                    </pic:cNvPicPr>
                  </pic:nvPicPr>
                  <pic:blipFill>
                    <a:blip xmlns:r="http://schemas.openxmlformats.org/officeDocument/2006/relationships" r:embed="rId43" cstate="print">
                      <a:extLst>
                        <a:ext xmlns:a="http://schemas.openxmlformats.org/drawingml/2006/main" uri="{28A0092B-C50C-407E-A947-70E740481C1C}">
                          <a14:useLocalDpi xmlns:a14="http://schemas.microsoft.com/office/drawing/2010/main" val="0"/>
                        </a:ext>
                      </a:extLst>
                    </a:blip>
                    <a:srcRect l="7520"/>
                    <a:stretch>
                      <a:fillRect/>
                    </a:stretch>
                  </pic:blipFill>
                  <pic:spPr bwMode="auto">
                    <a:xfrm>
                      <a:off x="0" y="0"/>
                      <a:ext cx="2905125" cy="4191000"/>
                    </a:xfrm>
                    <a:prstGeom prst="rect">
                      <a:avLst/>
                    </a:prstGeom>
                    <a:noFill/>
                    <a:ln>
                      <a:noFill/>
                    </a:ln>
                  </pic:spPr>
                </pic:pic>
              </a:graphicData>
            </a:graphic>
          </wp:inline>
        </w:drawing>
      </w:r>
    </w:p>
    <w:p w:rsidR="006734B0" w:rsidRPr="00D816B7" w:rsidP="005F2F70" w14:paraId="62738708" w14:textId="0589F98D">
      <w:pPr>
        <w:pStyle w:val="738"/>
        <w:spacing w:before="60"/>
        <w:ind w:left="397"/>
        <w:rPr>
          <w:rtl/>
        </w:rPr>
      </w:pPr>
      <w:r w:rsidRPr="00D816B7">
        <w:rPr>
          <w:rFonts w:hint="cs"/>
          <w:rtl/>
        </w:rPr>
        <w:t xml:space="preserve">המקור: </w:t>
      </w:r>
      <w:r w:rsidRPr="00D816B7">
        <w:rPr>
          <w:rFonts w:hint="cs"/>
          <w:rtl/>
        </w:rPr>
        <w:t>יח"ס</w:t>
      </w:r>
      <w:r w:rsidRPr="00D816B7">
        <w:rPr>
          <w:rFonts w:hint="cs"/>
          <w:rtl/>
        </w:rPr>
        <w:t xml:space="preserve"> נגב מזרחי.</w:t>
      </w:r>
    </w:p>
    <w:p w:rsidR="006734B0" w:rsidRPr="00D816B7" w:rsidP="00D816B7" w14:paraId="05101EDE" w14:textId="77777777">
      <w:pPr>
        <w:pStyle w:val="7317"/>
        <w:rPr>
          <w:rtl/>
        </w:rPr>
      </w:pPr>
      <w:r w:rsidRPr="00D816B7">
        <w:rPr>
          <w:rFonts w:hint="cs"/>
          <w:rtl/>
        </w:rPr>
        <w:t xml:space="preserve">ממסמכי </w:t>
      </w:r>
      <w:r w:rsidRPr="00D816B7">
        <w:rPr>
          <w:rFonts w:hint="cs"/>
          <w:rtl/>
        </w:rPr>
        <w:t>רט"ג</w:t>
      </w:r>
      <w:r w:rsidRPr="00D816B7">
        <w:rPr>
          <w:rFonts w:hint="cs"/>
          <w:rtl/>
        </w:rPr>
        <w:t xml:space="preserve"> </w:t>
      </w:r>
      <w:r w:rsidRPr="00D816B7">
        <w:rPr>
          <w:rFonts w:hint="cs"/>
          <w:rtl/>
        </w:rPr>
        <w:t>ויח"ס</w:t>
      </w:r>
      <w:r w:rsidRPr="00D816B7">
        <w:rPr>
          <w:rFonts w:hint="cs"/>
          <w:rtl/>
        </w:rPr>
        <w:t xml:space="preserve"> נגב מזרחי עולה כי הטיפול בחלק מהדליפות ופעולות המניעה שלהן כללו פעולות שראוי היה להסדיר במסגרת התנאים שנכללים ברישיון העסק, לדוגמה, התקנת פתחי תחזוקה בקו, מערכות הגנה נגד לחץ, חובות תחזוקה ועוד. </w:t>
      </w:r>
    </w:p>
    <w:p w:rsidR="006734B0" w:rsidRPr="003302F0" w:rsidP="00D816B7" w14:paraId="567CDFC6" w14:textId="77777777">
      <w:pPr>
        <w:pStyle w:val="7310"/>
        <w:rPr>
          <w:rtl/>
        </w:rPr>
      </w:pPr>
      <w:bookmarkStart w:id="29" w:name="_Hlk187824317"/>
      <w:r w:rsidRPr="00732B7E">
        <w:rPr>
          <w:rFonts w:hint="cs"/>
          <w:rtl/>
        </w:rPr>
        <w:t xml:space="preserve">פעילות אתר הסניקה וקווי ההולכה שמצויים בשטח הזיכיון ופועלים זה שנים רבות בתוך שמורת הטבע מדבר יהודה, הם חלק מהפעילות התעשייתית שמבצעים </w:t>
      </w:r>
      <w:r w:rsidRPr="00732B7E">
        <w:rPr>
          <w:rFonts w:hint="cs"/>
          <w:rtl/>
        </w:rPr>
        <w:t>מי"ה</w:t>
      </w:r>
      <w:r w:rsidRPr="00732B7E">
        <w:rPr>
          <w:rFonts w:hint="cs"/>
          <w:rtl/>
        </w:rPr>
        <w:t xml:space="preserve"> ומפעל א'</w:t>
      </w:r>
      <w:r w:rsidRPr="00DE093F">
        <w:rPr>
          <w:rFonts w:hint="cs"/>
          <w:rtl/>
        </w:rPr>
        <w:t xml:space="preserve">. בביקורת נמצא כי עד למועד סיום הביקורת (יוני 2024) המשרד </w:t>
      </w:r>
      <w:r w:rsidRPr="00DE093F">
        <w:rPr>
          <w:rFonts w:hint="cs"/>
          <w:rtl/>
        </w:rPr>
        <w:t>להג"ס</w:t>
      </w:r>
      <w:r w:rsidRPr="00DE093F">
        <w:rPr>
          <w:rFonts w:hint="cs"/>
          <w:rtl/>
        </w:rPr>
        <w:t xml:space="preserve"> לא הפעיל את סמכותו לקביעת תנאים סביבתיים ייעודיים </w:t>
      </w:r>
      <w:r w:rsidRPr="003302F0">
        <w:rPr>
          <w:rFonts w:hint="cs"/>
          <w:rtl/>
        </w:rPr>
        <w:t xml:space="preserve">ברישיון העסק לגבי קווי ההולכה ואתר הסניקה. </w:t>
      </w:r>
      <w:hyperlink r:id="rId44" w:history="1"/>
      <w:r w:rsidRPr="00732B7E">
        <w:rPr>
          <w:rFonts w:hint="cs"/>
          <w:rtl/>
        </w:rPr>
        <w:t xml:space="preserve">לפיכך לא נקבעו דרישות סביבתיות מחייבות ובכללן חובות </w:t>
      </w:r>
      <w:r w:rsidRPr="00DE093F">
        <w:rPr>
          <w:rFonts w:hint="cs"/>
          <w:rtl/>
        </w:rPr>
        <w:t xml:space="preserve">ניטור, </w:t>
      </w:r>
      <w:r w:rsidRPr="003302F0">
        <w:rPr>
          <w:rFonts w:hint="cs"/>
          <w:rtl/>
        </w:rPr>
        <w:t xml:space="preserve">דיווח על תקלות ודליפות וטיפול בהן. בביקורת נמצא כי בשלוש וחצי השנים </w:t>
      </w:r>
      <w:r w:rsidRPr="009041FF">
        <w:rPr>
          <w:rFonts w:hint="cs"/>
          <w:rtl/>
        </w:rPr>
        <w:t>שקדמו לביקורת</w:t>
      </w:r>
      <w:r w:rsidRPr="000C71A5">
        <w:rPr>
          <w:rFonts w:hint="cs"/>
          <w:rtl/>
        </w:rPr>
        <w:t xml:space="preserve"> דלפו שמונה פעמים חומרים מזהמים מקווי ההולכה לתוך שמורת הטבע, שגרמו לנזק אקולוגי לבעלי החיים ולצמחייה.</w:t>
      </w:r>
      <w:bookmarkEnd w:id="29"/>
    </w:p>
    <w:p w:rsidR="006734B0" w:rsidRPr="00D816B7" w:rsidP="00D816B7" w14:paraId="0FA18074" w14:textId="6F66C41D">
      <w:pPr>
        <w:pStyle w:val="7317"/>
        <w:rPr>
          <w:rtl/>
        </w:rPr>
      </w:pPr>
      <w:r w:rsidRPr="00D816B7">
        <w:rPr>
          <w:rFonts w:hint="cs"/>
          <w:rtl/>
        </w:rPr>
        <w:t>מי"ה</w:t>
      </w:r>
      <w:r w:rsidRPr="00D816B7">
        <w:rPr>
          <w:rFonts w:hint="cs"/>
          <w:rtl/>
        </w:rPr>
        <w:t xml:space="preserve"> </w:t>
      </w:r>
      <w:r w:rsidRPr="00B92DE5" w:rsidR="00B92DE5">
        <w:rPr>
          <w:rtl/>
        </w:rPr>
        <w:t xml:space="preserve">מסרה בתשובתה למשרד מבקר המדינה כי </w:t>
      </w:r>
      <w:r w:rsidRPr="00784B1E" w:rsidR="00784B1E">
        <w:rPr>
          <w:rtl/>
        </w:rPr>
        <w:t xml:space="preserve">אירוע הדליפה זוהה תוך זמן קצר על ידי </w:t>
      </w:r>
      <w:r w:rsidRPr="00784B1E" w:rsidR="00784B1E">
        <w:rPr>
          <w:rtl/>
        </w:rPr>
        <w:t>מי"ה</w:t>
      </w:r>
      <w:r w:rsidRPr="00784B1E" w:rsidR="00784B1E">
        <w:rPr>
          <w:rtl/>
        </w:rPr>
        <w:t xml:space="preserve">, ומספר גבים שהתמלאו במים נשאבו ידנית כבר </w:t>
      </w:r>
      <w:r w:rsidRPr="00B92DE5" w:rsidR="00B92DE5">
        <w:rPr>
          <w:rtl/>
        </w:rPr>
        <w:t xml:space="preserve">למחרת גילוי הדליפה. עוד מסרה </w:t>
      </w:r>
      <w:r w:rsidRPr="00B92DE5" w:rsidR="00B92DE5">
        <w:rPr>
          <w:rtl/>
        </w:rPr>
        <w:t>מי"ה</w:t>
      </w:r>
      <w:r w:rsidRPr="00B92DE5" w:rsidR="00B92DE5">
        <w:rPr>
          <w:rtl/>
        </w:rPr>
        <w:t xml:space="preserve"> כי לא ידוע לה על כל נזק אקולוגי שאירע בגין הדליפה, והתיקון המהיר שלה מעיד דווקא על פיקוח ואכיפה ולא על היעדרם, וכי קיימת תוכנית עבודה לשיפור אמינות קווי</w:t>
      </w:r>
      <w:r w:rsidR="00B92DE5">
        <w:rPr>
          <w:rFonts w:hint="cs"/>
          <w:rtl/>
        </w:rPr>
        <w:t xml:space="preserve"> </w:t>
      </w:r>
      <w:r w:rsidRPr="00D816B7">
        <w:rPr>
          <w:rFonts w:hint="cs"/>
          <w:rtl/>
        </w:rPr>
        <w:t>ההולכה.</w:t>
      </w:r>
    </w:p>
    <w:p w:rsidR="006734B0" w:rsidRPr="00D816B7" w:rsidP="00D816B7" w14:paraId="41C9AD98" w14:textId="77777777">
      <w:pPr>
        <w:pStyle w:val="7317"/>
        <w:rPr>
          <w:rtl/>
        </w:rPr>
      </w:pPr>
      <w:r w:rsidRPr="00D816B7">
        <w:rPr>
          <w:rFonts w:hint="cs"/>
          <w:rtl/>
        </w:rPr>
        <w:t xml:space="preserve">המשרד </w:t>
      </w:r>
      <w:r w:rsidRPr="00D816B7">
        <w:rPr>
          <w:rFonts w:hint="cs"/>
          <w:rtl/>
        </w:rPr>
        <w:t>להג"ס</w:t>
      </w:r>
      <w:r w:rsidRPr="00D816B7">
        <w:rPr>
          <w:rFonts w:hint="cs"/>
          <w:rtl/>
        </w:rPr>
        <w:t xml:space="preserve"> מסר בתשובתו למשרד מבקר המדינה כי כאשר יש דליפה מקווי ההולכה למשרד יש סמכויות אכיפה (כגון אלה המוקנות לו מכוח חוק שמירת הניקיון), ואם ההפרה בשמורת טבע אז גם </w:t>
      </w:r>
      <w:r w:rsidRPr="00D816B7">
        <w:rPr>
          <w:rFonts w:hint="cs"/>
          <w:rtl/>
        </w:rPr>
        <w:t>לרט"ג</w:t>
      </w:r>
      <w:r w:rsidRPr="00D816B7">
        <w:rPr>
          <w:rFonts w:hint="cs"/>
          <w:rtl/>
        </w:rPr>
        <w:t xml:space="preserve"> סמכויות לפעול בנושא. </w:t>
      </w:r>
    </w:p>
    <w:p w:rsidR="006734B0" w:rsidRPr="00D816B7" w:rsidP="00D816B7" w14:paraId="711576AF" w14:textId="77777777">
      <w:pPr>
        <w:pStyle w:val="7317"/>
        <w:rPr>
          <w:rtl/>
        </w:rPr>
      </w:pPr>
      <w:r w:rsidRPr="00D816B7">
        <w:rPr>
          <w:rFonts w:hint="cs"/>
          <w:rtl/>
        </w:rPr>
        <w:t xml:space="preserve">משרד מבקר המדינה מציין כי </w:t>
      </w:r>
      <w:r w:rsidRPr="00D816B7">
        <w:rPr>
          <w:rFonts w:hint="eastAsia"/>
          <w:rtl/>
        </w:rPr>
        <w:t>עיון</w:t>
      </w:r>
      <w:r w:rsidRPr="00D816B7">
        <w:rPr>
          <w:rtl/>
        </w:rPr>
        <w:t xml:space="preserve"> בטיוטת תנאי רישיון העסק </w:t>
      </w:r>
      <w:r w:rsidRPr="00D816B7">
        <w:rPr>
          <w:rFonts w:hint="eastAsia"/>
          <w:rtl/>
        </w:rPr>
        <w:t>שגיבש</w:t>
      </w:r>
      <w:r w:rsidRPr="00D816B7">
        <w:rPr>
          <w:rtl/>
        </w:rPr>
        <w:t xml:space="preserve"> </w:t>
      </w:r>
      <w:r w:rsidRPr="00D816B7">
        <w:rPr>
          <w:rFonts w:hint="eastAsia"/>
          <w:rtl/>
        </w:rPr>
        <w:t>המשרד</w:t>
      </w:r>
      <w:r w:rsidRPr="00D816B7">
        <w:rPr>
          <w:rtl/>
        </w:rPr>
        <w:t xml:space="preserve"> </w:t>
      </w:r>
      <w:r w:rsidRPr="00D816B7">
        <w:rPr>
          <w:rFonts w:hint="eastAsia"/>
          <w:rtl/>
        </w:rPr>
        <w:t>להג</w:t>
      </w:r>
      <w:r w:rsidRPr="00D816B7">
        <w:rPr>
          <w:rtl/>
        </w:rPr>
        <w:t>"ס</w:t>
      </w:r>
      <w:r w:rsidRPr="00D816B7">
        <w:rPr>
          <w:rtl/>
        </w:rPr>
        <w:t xml:space="preserve"> </w:t>
      </w:r>
      <w:r w:rsidRPr="00D816B7">
        <w:rPr>
          <w:rFonts w:hint="eastAsia"/>
          <w:rtl/>
        </w:rPr>
        <w:t>לאחר</w:t>
      </w:r>
      <w:r w:rsidRPr="00D816B7">
        <w:rPr>
          <w:rtl/>
        </w:rPr>
        <w:t xml:space="preserve"> </w:t>
      </w:r>
      <w:r w:rsidRPr="00D816B7">
        <w:rPr>
          <w:rFonts w:hint="eastAsia"/>
          <w:rtl/>
        </w:rPr>
        <w:t>סיום</w:t>
      </w:r>
      <w:r w:rsidRPr="00D816B7">
        <w:rPr>
          <w:rtl/>
        </w:rPr>
        <w:t xml:space="preserve"> </w:t>
      </w:r>
      <w:r w:rsidRPr="00D816B7">
        <w:rPr>
          <w:rFonts w:hint="eastAsia"/>
          <w:rtl/>
        </w:rPr>
        <w:t>הביקורת</w:t>
      </w:r>
      <w:r w:rsidRPr="00D816B7">
        <w:rPr>
          <w:rFonts w:hint="cs"/>
          <w:rtl/>
        </w:rPr>
        <w:t xml:space="preserve"> מלמד כי המשרד </w:t>
      </w:r>
      <w:r w:rsidRPr="00D816B7">
        <w:rPr>
          <w:rFonts w:hint="cs"/>
          <w:rtl/>
        </w:rPr>
        <w:t>להג"ס</w:t>
      </w:r>
      <w:r w:rsidRPr="00D816B7">
        <w:rPr>
          <w:rFonts w:hint="cs"/>
          <w:rtl/>
        </w:rPr>
        <w:t xml:space="preserve"> דווקא מצא לנכון לקבוע תנאים סביבתיים נרחבים לקווי ההולכה, ובכללם דרישות להתקנת מערכת מניעת ובקרת דליפות, להגשת דוח פערים, להתקנת מערכת הגנה </w:t>
      </w:r>
      <w:r w:rsidRPr="00D816B7">
        <w:rPr>
          <w:rFonts w:hint="cs"/>
          <w:rtl/>
        </w:rPr>
        <w:t>קטודית</w:t>
      </w:r>
      <w:r>
        <w:rPr>
          <w:rStyle w:val="FootnoteReference1"/>
          <w:rtl/>
        </w:rPr>
        <w:footnoteReference w:id="28"/>
      </w:r>
      <w:r w:rsidRPr="00D816B7">
        <w:rPr>
          <w:rFonts w:hint="cs"/>
          <w:rtl/>
        </w:rPr>
        <w:t xml:space="preserve"> לרכיבי ציוד, ולהכנת נוהל טיפול באירוע דליפות. מכאן </w:t>
      </w:r>
      <w:r w:rsidRPr="00D816B7">
        <w:rPr>
          <w:rFonts w:hint="eastAsia"/>
          <w:rtl/>
        </w:rPr>
        <w:t>שהמשרד</w:t>
      </w:r>
      <w:r w:rsidRPr="00D816B7">
        <w:rPr>
          <w:rtl/>
        </w:rPr>
        <w:t xml:space="preserve"> </w:t>
      </w:r>
      <w:r w:rsidRPr="00D816B7">
        <w:rPr>
          <w:rtl/>
        </w:rPr>
        <w:t>להג"ס</w:t>
      </w:r>
      <w:r w:rsidRPr="00D816B7">
        <w:rPr>
          <w:rtl/>
        </w:rPr>
        <w:t xml:space="preserve"> בעצמו ער לפערי האסדרה הקיימים ופועל לתקנם. </w:t>
      </w:r>
    </w:p>
    <w:p w:rsidR="006734B0" w:rsidRPr="00D816B7" w:rsidP="00D816B7" w14:paraId="5F7708F0" w14:textId="77777777">
      <w:pPr>
        <w:pStyle w:val="7310"/>
        <w:rPr>
          <w:rtl/>
        </w:rPr>
      </w:pPr>
      <w:r w:rsidRPr="00D816B7">
        <w:rPr>
          <w:rFonts w:hint="cs"/>
          <w:rtl/>
        </w:rPr>
        <w:t xml:space="preserve">על המשרד </w:t>
      </w:r>
      <w:r w:rsidRPr="00D816B7">
        <w:rPr>
          <w:rFonts w:hint="cs"/>
          <w:rtl/>
        </w:rPr>
        <w:t>להג"ס</w:t>
      </w:r>
      <w:r w:rsidRPr="00D816B7">
        <w:rPr>
          <w:rFonts w:hint="cs"/>
          <w:rtl/>
        </w:rPr>
        <w:t xml:space="preserve"> לפעול בהקדם לקביעת תנאים ברישיון העסק של מפעל א' בנוגע לאתר הסניקה ולקווי ההולכה הסמוכים ולהשלמת טיוטת התנאים שגיבש ברישיון העסק של </w:t>
      </w:r>
      <w:r w:rsidRPr="00D816B7">
        <w:rPr>
          <w:rFonts w:hint="cs"/>
          <w:rtl/>
        </w:rPr>
        <w:t>מי"ה</w:t>
      </w:r>
      <w:r w:rsidRPr="00D816B7">
        <w:rPr>
          <w:rFonts w:hint="cs"/>
          <w:rtl/>
        </w:rPr>
        <w:t xml:space="preserve">, זאת כדי להבטיח שיינקטו פעולות למניעת פגיעות חוזרות ונשנות בסביבה, כפי שאירעו בשנים האחרונות. </w:t>
      </w:r>
    </w:p>
    <w:p w:rsidR="006734B0" w:rsidRPr="00D816B7" w:rsidP="00D816B7" w14:paraId="749ED8A5" w14:textId="77777777">
      <w:pPr>
        <w:pStyle w:val="710"/>
        <w:numPr>
          <w:ilvl w:val="0"/>
          <w:numId w:val="23"/>
        </w:numPr>
        <w:ind w:left="624" w:hanging="397"/>
        <w:rPr>
          <w:rtl/>
        </w:rPr>
      </w:pPr>
      <w:r w:rsidRPr="00D816B7">
        <w:rPr>
          <w:rFonts w:hint="cs"/>
          <w:rtl/>
        </w:rPr>
        <w:t xml:space="preserve">עוד נמצא בביקורת כי לתחנת הסניקה אין תוכנית סטטוטורית תקפה והיתר בנייה, ונכון למועד סיום הביקורת (יוני 2024) הוועדה המקומית תמר לא השלימה את ההסדרה התכנונית שבה החלה. </w:t>
      </w:r>
    </w:p>
    <w:p w:rsidR="006734B0" w:rsidRPr="003302F0" w:rsidP="00D816B7" w14:paraId="0CEA1CA5" w14:textId="77777777">
      <w:pPr>
        <w:pStyle w:val="7310"/>
        <w:rPr>
          <w:rtl/>
        </w:rPr>
      </w:pPr>
      <w:r w:rsidRPr="003302F0">
        <w:rPr>
          <w:rFonts w:hint="cs"/>
          <w:rtl/>
        </w:rPr>
        <w:t xml:space="preserve">בביקורת עלה כי ההסדרה התכנונית מתעכבת, בין השאר בשל דרישת </w:t>
      </w:r>
      <w:r w:rsidRPr="003302F0">
        <w:rPr>
          <w:rFonts w:hint="cs"/>
          <w:rtl/>
        </w:rPr>
        <w:t>רט"ג</w:t>
      </w:r>
      <w:r w:rsidRPr="003302F0">
        <w:rPr>
          <w:rFonts w:hint="cs"/>
          <w:rtl/>
        </w:rPr>
        <w:t xml:space="preserve"> להוציא את קווי ההולכה אל מחוץ לשמורת הטבע ולייצר מסדרון תשתיות חלופי שבו יועברו קווי ההולכה. </w:t>
      </w:r>
    </w:p>
    <w:p w:rsidR="006734B0" w:rsidP="00D816B7" w14:paraId="0C598C3C" w14:textId="77777777">
      <w:pPr>
        <w:pStyle w:val="7310"/>
        <w:rPr>
          <w:rtl/>
        </w:rPr>
      </w:pPr>
      <w:r w:rsidRPr="003302F0">
        <w:rPr>
          <w:rFonts w:hint="cs"/>
          <w:rtl/>
        </w:rPr>
        <w:t xml:space="preserve">על הוועדה המקומית תמר להשלים את ההסדרה התכנונית של תחנת הסניקה </w:t>
      </w:r>
      <w:r w:rsidRPr="009041FF">
        <w:rPr>
          <w:rFonts w:hint="cs"/>
          <w:rtl/>
        </w:rPr>
        <w:t xml:space="preserve">ולפעול בשיתוף </w:t>
      </w:r>
      <w:r w:rsidRPr="009041FF">
        <w:rPr>
          <w:rFonts w:hint="cs"/>
          <w:rtl/>
        </w:rPr>
        <w:t>רט"ג</w:t>
      </w:r>
      <w:r w:rsidRPr="009041FF">
        <w:rPr>
          <w:rFonts w:hint="cs"/>
          <w:rtl/>
        </w:rPr>
        <w:t xml:space="preserve"> כדי למצוא פתרון ל</w:t>
      </w:r>
      <w:r>
        <w:rPr>
          <w:rFonts w:hint="cs"/>
          <w:rtl/>
        </w:rPr>
        <w:t>חששות</w:t>
      </w:r>
      <w:r w:rsidRPr="009041FF">
        <w:rPr>
          <w:rFonts w:hint="cs"/>
          <w:rtl/>
        </w:rPr>
        <w:t xml:space="preserve"> שהעל</w:t>
      </w:r>
      <w:r w:rsidRPr="00A46A5C">
        <w:rPr>
          <w:rFonts w:hint="cs"/>
          <w:rtl/>
        </w:rPr>
        <w:t>ו.</w:t>
      </w:r>
      <w:r>
        <w:rPr>
          <w:rFonts w:hint="cs"/>
          <w:rtl/>
        </w:rPr>
        <w:t xml:space="preserve"> </w:t>
      </w:r>
    </w:p>
    <w:p w:rsidR="006734B0" w:rsidP="00D816B7" w14:paraId="6BDE3420" w14:textId="77777777">
      <w:pPr>
        <w:pStyle w:val="73512"/>
        <w:rPr>
          <w:rtl/>
        </w:rPr>
      </w:pPr>
      <w:r>
        <w:rPr>
          <w:rFonts w:hint="cs"/>
          <w:rtl/>
        </w:rPr>
        <w:t>דוגמה ג': תעלת ההזנה</w:t>
      </w:r>
    </w:p>
    <w:p w:rsidR="006734B0" w:rsidRPr="00D816B7" w:rsidP="00D816B7" w14:paraId="4682AF01" w14:textId="77777777">
      <w:pPr>
        <w:pStyle w:val="7392"/>
        <w:rPr>
          <w:rtl/>
        </w:rPr>
      </w:pPr>
      <w:r w:rsidRPr="00D816B7">
        <w:rPr>
          <w:rFonts w:hint="cs"/>
          <w:rtl/>
        </w:rPr>
        <w:t xml:space="preserve">לצורכי פעילות </w:t>
      </w:r>
      <w:r w:rsidRPr="00D816B7">
        <w:rPr>
          <w:rFonts w:hint="cs"/>
          <w:rtl/>
        </w:rPr>
        <w:t>מי"ה</w:t>
      </w:r>
      <w:r w:rsidRPr="00D816B7">
        <w:rPr>
          <w:rFonts w:hint="cs"/>
          <w:rtl/>
        </w:rPr>
        <w:t xml:space="preserve"> שואבת החברה תמיסות ים טריות מהאגן הצפוני של ים המלח דרומה, לעבר בריכה 5, באמצעות תעלת הזנה. את התעלה המקורית באורך 12 ק"מ הקימה </w:t>
      </w:r>
      <w:r w:rsidRPr="00D816B7">
        <w:rPr>
          <w:rFonts w:hint="cs"/>
          <w:rtl/>
        </w:rPr>
        <w:t>מי"ה</w:t>
      </w:r>
      <w:r w:rsidRPr="00D816B7">
        <w:rPr>
          <w:rFonts w:hint="cs"/>
          <w:rtl/>
        </w:rPr>
        <w:t xml:space="preserve"> עם ייבוש החלק הדרומי של אגם ים המלח, לפני עשרות שנים, ובשל ירידת המפלס והצורך בהארכת התעלה המקורית עד לחיבורה לתחנת השאיבה החדשה </w:t>
      </w:r>
      <w:r w:rsidRPr="00D816B7">
        <w:t>P9</w:t>
      </w:r>
      <w:r w:rsidRPr="00D816B7">
        <w:rPr>
          <w:rFonts w:hint="cs"/>
          <w:rtl/>
        </w:rPr>
        <w:t xml:space="preserve">, השלימה החברה בשנת </w:t>
      </w:r>
      <w:r w:rsidRPr="00D816B7">
        <w:rPr>
          <w:rFonts w:hint="cs"/>
          <w:rtl/>
        </w:rPr>
        <w:t>2022 הוספת מקטע של 3 ק"מ לתעלת ההזנה, החוצה את מניפת הסחף</w:t>
      </w:r>
      <w:r>
        <w:rPr>
          <w:rStyle w:val="FootnoteReference1"/>
          <w:rtl/>
        </w:rPr>
        <w:footnoteReference w:id="29"/>
      </w:r>
      <w:r w:rsidRPr="00D816B7">
        <w:rPr>
          <w:rFonts w:hint="cs"/>
          <w:rtl/>
        </w:rPr>
        <w:t xml:space="preserve"> של נחל צאלים. מדובר באזור חשוב ועשיר בצומח ובבעלי חיים, לרבות עדר צבאים שחי בו, בעל חשיבות וערכיות אקולוגיות בהיותו בית גידול ייחודי. </w:t>
      </w:r>
    </w:p>
    <w:p w:rsidR="006734B0" w:rsidRPr="00D816B7" w:rsidP="00D816B7" w14:paraId="1E808B1D" w14:textId="0FA9016E">
      <w:pPr>
        <w:pStyle w:val="734"/>
        <w:rPr>
          <w:rtl/>
        </w:rPr>
      </w:pPr>
      <w:r w:rsidRPr="00D816B7">
        <w:rPr>
          <w:rFonts w:hint="cs"/>
          <w:b w:val="0"/>
          <w:bCs w:val="0"/>
          <w:rtl/>
        </w:rPr>
        <w:t>תמונה</w:t>
      </w:r>
      <w:r w:rsidR="00D0542F">
        <w:rPr>
          <w:rFonts w:hint="cs"/>
          <w:b w:val="0"/>
          <w:bCs w:val="0"/>
          <w:rtl/>
        </w:rPr>
        <w:t xml:space="preserve"> </w:t>
      </w:r>
      <w:r w:rsidRPr="005F2F70" w:rsidR="00D0542F">
        <w:rPr>
          <w:rFonts w:hint="cs"/>
          <w:b w:val="0"/>
          <w:bCs w:val="0"/>
          <w:rtl/>
        </w:rPr>
        <w:t>8</w:t>
      </w:r>
      <w:r w:rsidRPr="005F2F70" w:rsidR="005F2F70">
        <w:rPr>
          <w:rFonts w:hint="cs"/>
          <w:b w:val="0"/>
          <w:bCs w:val="0"/>
          <w:rtl/>
        </w:rPr>
        <w:t>:</w:t>
      </w:r>
      <w:r w:rsidR="005F2F70">
        <w:rPr>
          <w:rFonts w:hint="cs"/>
          <w:rtl/>
        </w:rPr>
        <w:t xml:space="preserve"> </w:t>
      </w:r>
      <w:r w:rsidRPr="00D816B7">
        <w:rPr>
          <w:rFonts w:hint="cs"/>
          <w:rtl/>
        </w:rPr>
        <w:t>תעלת ההזנה במניפת הסחף של נחל צאלים</w:t>
      </w:r>
      <w:r w:rsidR="005F2F70">
        <w:rPr>
          <w:rFonts w:hint="cs"/>
          <w:rtl/>
        </w:rPr>
        <w:t>, מרץ 2024</w:t>
      </w:r>
    </w:p>
    <w:p w:rsidR="006734B0" w:rsidP="006734B0" w14:paraId="44659188" w14:textId="77777777">
      <w:pPr>
        <w:spacing w:line="360" w:lineRule="auto"/>
        <w:ind w:left="283"/>
        <w:jc w:val="center"/>
        <w:rPr>
          <w:rtl/>
        </w:rPr>
      </w:pPr>
      <w:r>
        <w:rPr>
          <w:noProof/>
        </w:rPr>
        <w:drawing>
          <wp:inline distT="0" distB="0" distL="0" distR="0">
            <wp:extent cx="4476750" cy="2524125"/>
            <wp:effectExtent l="0" t="0" r="0" b="9525"/>
            <wp:docPr id="30" name="תמונה 30" descr="תמונה שמכילה בחוץ, ענן, שמיים, מים&#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תמונה 30" descr="תמונה שמכילה בחוץ, ענן, שמיים, מים&#10;&#10;תוכן שנוצר על-ידי בינה מלאכותית עשוי להיות שגוי."/>
                    <pic:cNvPicPr>
                      <a:picLocks noChangeAspect="1" noChangeArrowheads="1"/>
                    </pic:cNvPicPr>
                  </pic:nvPicPr>
                  <pic:blipFill>
                    <a:blip xmlns:r="http://schemas.openxmlformats.org/officeDocument/2006/relationships" r:embed="rId4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476750" cy="2524125"/>
                    </a:xfrm>
                    <a:prstGeom prst="rect">
                      <a:avLst/>
                    </a:prstGeom>
                    <a:noFill/>
                    <a:ln>
                      <a:noFill/>
                    </a:ln>
                  </pic:spPr>
                </pic:pic>
              </a:graphicData>
            </a:graphic>
          </wp:inline>
        </w:drawing>
      </w:r>
    </w:p>
    <w:p w:rsidR="006734B0" w:rsidRPr="00D816B7" w:rsidP="00D816B7" w14:paraId="078CD884" w14:textId="06B6C2C0">
      <w:pPr>
        <w:pStyle w:val="738"/>
        <w:rPr>
          <w:rtl/>
        </w:rPr>
      </w:pPr>
      <w:r w:rsidRPr="005F2F70">
        <w:rPr>
          <w:rtl/>
        </w:rPr>
        <w:t>המקור: משרד מבקר המדינה</w:t>
      </w:r>
      <w:r w:rsidRPr="00D816B7">
        <w:rPr>
          <w:rFonts w:hint="cs"/>
          <w:rtl/>
        </w:rPr>
        <w:t xml:space="preserve">. </w:t>
      </w:r>
    </w:p>
    <w:p w:rsidR="006734B0" w:rsidRPr="00D816B7" w:rsidP="00D816B7" w14:paraId="415AE5B8" w14:textId="77777777">
      <w:pPr>
        <w:pStyle w:val="7318"/>
        <w:rPr>
          <w:rtl/>
        </w:rPr>
      </w:pPr>
      <w:r w:rsidRPr="00D816B7">
        <w:rPr>
          <w:rFonts w:hint="cs"/>
          <w:rtl/>
        </w:rPr>
        <w:t xml:space="preserve">נמצא כי המשרד </w:t>
      </w:r>
      <w:r w:rsidRPr="00D816B7">
        <w:rPr>
          <w:rFonts w:hint="cs"/>
          <w:rtl/>
        </w:rPr>
        <w:t>להג"ס</w:t>
      </w:r>
      <w:r w:rsidRPr="00D816B7">
        <w:rPr>
          <w:rFonts w:hint="cs"/>
          <w:rtl/>
        </w:rPr>
        <w:t xml:space="preserve"> לא קבע תנאים ברישיון העסק של </w:t>
      </w:r>
      <w:r w:rsidRPr="00D816B7">
        <w:rPr>
          <w:rFonts w:hint="cs"/>
          <w:rtl/>
        </w:rPr>
        <w:t>מי"ה</w:t>
      </w:r>
      <w:r w:rsidRPr="00D816B7">
        <w:rPr>
          <w:rFonts w:hint="cs"/>
          <w:rtl/>
        </w:rPr>
        <w:t xml:space="preserve"> בנוגע לתעלת ההזנה הישנה שלה יש רישיון עסק סטטוטורי לפי ההסדר משנת 1995, ולתעלת ההזנה החדשה באורך 3 ק"מ שבנייתה הושלמה בשנת 2022, זאת אף שמדובר בפעילות הטעונה אסדרה שקשורה במישרין לפעילות התעשייתית של </w:t>
      </w:r>
      <w:r w:rsidRPr="00D816B7">
        <w:rPr>
          <w:rFonts w:hint="cs"/>
          <w:rtl/>
        </w:rPr>
        <w:t>מי"ה</w:t>
      </w:r>
      <w:r w:rsidRPr="00D816B7">
        <w:rPr>
          <w:rFonts w:hint="cs"/>
          <w:rtl/>
        </w:rPr>
        <w:t xml:space="preserve"> ושעלולה לפגוע בסביבה</w:t>
      </w:r>
      <w:r w:rsidRPr="00D816B7">
        <w:rPr>
          <w:rtl/>
        </w:rPr>
        <w:t xml:space="preserve">. </w:t>
      </w:r>
    </w:p>
    <w:p w:rsidR="006734B0" w:rsidRPr="00D816B7" w:rsidP="00D816B7" w14:paraId="572B8C4C" w14:textId="6D87E9FF">
      <w:pPr>
        <w:pStyle w:val="7392"/>
        <w:rPr>
          <w:rtl/>
        </w:rPr>
      </w:pPr>
      <w:r w:rsidRPr="00D816B7">
        <w:rPr>
          <w:rFonts w:hint="cs"/>
          <w:rtl/>
        </w:rPr>
        <w:t xml:space="preserve">ביוני 2022 התגלתה זרימה של תמיסת מי ים המלח במניפת הסחף של נחל צאלים בעקבות דליפה מתעלת ההזנה. במסגרת הליכי אכיפה שביצע מחוז דרום במשרד </w:t>
      </w:r>
      <w:r w:rsidRPr="00D816B7">
        <w:rPr>
          <w:rFonts w:hint="cs"/>
          <w:rtl/>
        </w:rPr>
        <w:t>להג"ס</w:t>
      </w:r>
      <w:r w:rsidRPr="00D816B7">
        <w:rPr>
          <w:rFonts w:hint="cs"/>
          <w:rtl/>
        </w:rPr>
        <w:t xml:space="preserve">, הוא שלח </w:t>
      </w:r>
      <w:r w:rsidRPr="00D816B7">
        <w:rPr>
          <w:rFonts w:hint="cs"/>
          <w:rtl/>
        </w:rPr>
        <w:t>למי"ה</w:t>
      </w:r>
      <w:r w:rsidRPr="00D816B7">
        <w:rPr>
          <w:rFonts w:hint="cs"/>
          <w:rtl/>
        </w:rPr>
        <w:t xml:space="preserve"> בסמוך לאירוע הדליפה התראה לפי חוק המים, התשי"ט-1959 (להלן - חוק המים), ולפי חוק שמירת הניקיון, ובה צוינו הדברים האלה: "תמיסת מי ים המלח גרמה להמלחה של הקרקע בסביבה וכתוצאה מכך לפגיעה, לכאורה, בערכי טבע, לרבות בצמחיה מקומית ובבעלי החיים". בהמשך לכך, ערך המשרד </w:t>
      </w:r>
      <w:r w:rsidRPr="00D816B7">
        <w:rPr>
          <w:rFonts w:hint="cs"/>
          <w:rtl/>
        </w:rPr>
        <w:t>להג"ס</w:t>
      </w:r>
      <w:r w:rsidRPr="00D816B7">
        <w:rPr>
          <w:rFonts w:hint="cs"/>
          <w:rtl/>
        </w:rPr>
        <w:t xml:space="preserve"> ביוני 2022 שימוע </w:t>
      </w:r>
      <w:r w:rsidRPr="00D816B7">
        <w:rPr>
          <w:rFonts w:hint="cs"/>
          <w:rtl/>
        </w:rPr>
        <w:t>למי"ה</w:t>
      </w:r>
      <w:r w:rsidRPr="00D816B7">
        <w:rPr>
          <w:rFonts w:hint="cs"/>
          <w:rtl/>
        </w:rPr>
        <w:t xml:space="preserve">, ובעקבותיו נפתחה חקירה פלילית בנושא. </w:t>
      </w:r>
      <w:r w:rsidRPr="00D816B7">
        <w:rPr>
          <w:rFonts w:hint="cs"/>
          <w:rtl/>
        </w:rPr>
        <w:t>רט"ג</w:t>
      </w:r>
      <w:r w:rsidRPr="00D816B7">
        <w:rPr>
          <w:rFonts w:hint="cs"/>
          <w:rtl/>
        </w:rPr>
        <w:t xml:space="preserve"> מסרה לצוות הביקורת כי סקרי קרקע וצומח שבוצעו לאחר הדליפה הציגו פגיעה ניכרת ותמותה נרחבת של מגוון מיני צומח, חלקם ערכי טבע מוגנים על פי חוק, בשל ההמלחה הגבוהה שנגרמה לקרקע ולמי התהום. עוד ציינה </w:t>
      </w:r>
      <w:r w:rsidRPr="00D816B7">
        <w:rPr>
          <w:rFonts w:hint="cs"/>
          <w:rtl/>
        </w:rPr>
        <w:t>רט"ג</w:t>
      </w:r>
      <w:r w:rsidRPr="00D816B7">
        <w:rPr>
          <w:rFonts w:hint="cs"/>
          <w:rtl/>
        </w:rPr>
        <w:t xml:space="preserve"> כי פגיעה נוספת נגרמה מביצוע הפעולות </w:t>
      </w:r>
      <w:r w:rsidRPr="00D816B7">
        <w:rPr>
          <w:rFonts w:hint="cs"/>
          <w:rtl/>
        </w:rPr>
        <w:t xml:space="preserve">שנדרש היה לבצע כדי למנוע התרחבות של הפגיעה. להלן בתמונה </w:t>
      </w:r>
      <w:r w:rsidR="005F2F70">
        <w:rPr>
          <w:rFonts w:hint="cs"/>
          <w:rtl/>
        </w:rPr>
        <w:t>9</w:t>
      </w:r>
      <w:r w:rsidRPr="00D816B7">
        <w:rPr>
          <w:rFonts w:hint="cs"/>
          <w:rtl/>
        </w:rPr>
        <w:t xml:space="preserve"> דליפת תמיסת מי ים למניפת נחל צאלים: </w:t>
      </w:r>
    </w:p>
    <w:p w:rsidR="006734B0" w:rsidRPr="00D816B7" w:rsidP="00D816B7" w14:paraId="3CB23240" w14:textId="125EC38A">
      <w:pPr>
        <w:pStyle w:val="734"/>
        <w:rPr>
          <w:rtl/>
        </w:rPr>
      </w:pPr>
      <w:r w:rsidRPr="00D816B7">
        <w:rPr>
          <w:rFonts w:hint="cs"/>
          <w:b w:val="0"/>
          <w:bCs w:val="0"/>
          <w:rtl/>
        </w:rPr>
        <w:t xml:space="preserve">תמונה </w:t>
      </w:r>
      <w:r w:rsidR="00D0542F">
        <w:rPr>
          <w:rFonts w:hint="cs"/>
          <w:b w:val="0"/>
          <w:bCs w:val="0"/>
          <w:rtl/>
        </w:rPr>
        <w:t>9</w:t>
      </w:r>
      <w:r w:rsidRPr="005F2F70" w:rsidR="005F2F70">
        <w:rPr>
          <w:rFonts w:hint="cs"/>
          <w:b w:val="0"/>
          <w:bCs w:val="0"/>
          <w:rtl/>
        </w:rPr>
        <w:t>:</w:t>
      </w:r>
      <w:r w:rsidRPr="00D816B7">
        <w:rPr>
          <w:rFonts w:hint="cs"/>
          <w:rtl/>
        </w:rPr>
        <w:t xml:space="preserve"> דליפת תמיסת מי ים המלח מתעלת ההזנה, 2022 </w:t>
      </w:r>
    </w:p>
    <w:p w:rsidR="006734B0" w:rsidP="00D816B7" w14:paraId="1B3E97A5" w14:textId="77777777">
      <w:pPr>
        <w:spacing w:line="360" w:lineRule="auto"/>
        <w:jc w:val="center"/>
        <w:rPr>
          <w:szCs w:val="20"/>
          <w:rtl/>
        </w:rPr>
      </w:pPr>
      <w:r>
        <w:rPr>
          <w:noProof/>
        </w:rPr>
        <w:drawing>
          <wp:inline distT="0" distB="0" distL="0" distR="0">
            <wp:extent cx="4539969" cy="2559946"/>
            <wp:effectExtent l="0" t="0" r="0" b="5715"/>
            <wp:docPr id="206174728" name="תמונה 206174728" descr="תמונה שמכילה מים, בחוץ, גאולוגיה, טבע&#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74728" name="תמונה 206174728" descr="תמונה שמכילה מים, בחוץ, גאולוגיה, טבע&#10;&#10;תוכן שנוצר על-ידי בינה מלאכותית עשוי להיות שגוי."/>
                    <pic:cNvPicPr>
                      <a:picLocks noChangeAspect="1" noChangeArrowheads="1"/>
                    </pic:cNvPicPr>
                  </pic:nvPicPr>
                  <pic:blipFill>
                    <a:blip xmlns:r="http://schemas.openxmlformats.org/officeDocument/2006/relationships" r:embed="rId46">
                      <a:extLst>
                        <a:ext xmlns:a="http://schemas.openxmlformats.org/drawingml/2006/main" uri="{28A0092B-C50C-407E-A947-70E740481C1C}">
                          <a14:useLocalDpi xmlns:a14="http://schemas.microsoft.com/office/drawing/2010/main" val="0"/>
                        </a:ext>
                      </a:extLst>
                    </a:blip>
                    <a:stretch>
                      <a:fillRect/>
                    </a:stretch>
                  </pic:blipFill>
                  <pic:spPr bwMode="auto">
                    <a:xfrm>
                      <a:off x="0" y="0"/>
                      <a:ext cx="4560992" cy="2571800"/>
                    </a:xfrm>
                    <a:prstGeom prst="rect">
                      <a:avLst/>
                    </a:prstGeom>
                    <a:noFill/>
                    <a:ln>
                      <a:noFill/>
                    </a:ln>
                  </pic:spPr>
                </pic:pic>
              </a:graphicData>
            </a:graphic>
          </wp:inline>
        </w:drawing>
      </w:r>
    </w:p>
    <w:p w:rsidR="006734B0" w:rsidRPr="00D816B7" w:rsidP="00D816B7" w14:paraId="4B4C58FA" w14:textId="1A33E7F7">
      <w:pPr>
        <w:pStyle w:val="738"/>
        <w:rPr>
          <w:rtl/>
        </w:rPr>
      </w:pPr>
      <w:r>
        <w:rPr>
          <w:rFonts w:hint="cs"/>
          <w:rtl/>
        </w:rPr>
        <w:t>המקור:</w:t>
      </w:r>
      <w:r w:rsidRPr="00D816B7">
        <w:rPr>
          <w:rFonts w:hint="cs"/>
          <w:rtl/>
        </w:rPr>
        <w:t xml:space="preserve"> </w:t>
      </w:r>
      <w:r w:rsidRPr="00D816B7">
        <w:rPr>
          <w:rFonts w:hint="cs"/>
          <w:rtl/>
        </w:rPr>
        <w:t>רט"ג</w:t>
      </w:r>
      <w:r w:rsidRPr="00D816B7">
        <w:rPr>
          <w:rFonts w:hint="cs"/>
          <w:rtl/>
        </w:rPr>
        <w:t xml:space="preserve">. </w:t>
      </w:r>
    </w:p>
    <w:p w:rsidR="006734B0" w:rsidRPr="00D816B7" w:rsidP="00D816B7" w14:paraId="4AFE45F6" w14:textId="77777777">
      <w:pPr>
        <w:pStyle w:val="7392"/>
        <w:rPr>
          <w:rtl/>
        </w:rPr>
      </w:pPr>
      <w:r w:rsidRPr="00D816B7">
        <w:rPr>
          <w:rFonts w:hint="cs"/>
          <w:rtl/>
        </w:rPr>
        <w:t xml:space="preserve">במרץ 2024, לאחר הדליפה האמורה, שלח המשרד </w:t>
      </w:r>
      <w:r w:rsidRPr="00D816B7">
        <w:rPr>
          <w:rFonts w:hint="cs"/>
          <w:rtl/>
        </w:rPr>
        <w:t>להג"ס</w:t>
      </w:r>
      <w:r w:rsidRPr="00D816B7">
        <w:rPr>
          <w:rFonts w:hint="cs"/>
          <w:rtl/>
        </w:rPr>
        <w:t xml:space="preserve"> לעיון </w:t>
      </w:r>
      <w:r w:rsidRPr="00D816B7">
        <w:rPr>
          <w:rFonts w:hint="cs"/>
          <w:rtl/>
        </w:rPr>
        <w:t>מי"ה</w:t>
      </w:r>
      <w:r w:rsidRPr="00D816B7">
        <w:rPr>
          <w:rFonts w:hint="cs"/>
          <w:rtl/>
        </w:rPr>
        <w:t xml:space="preserve"> טיוטה של רישיון העסק ובה תנאים בנוגע לתעלת ההזנה, ובהם בין היתר: חובת ניהול יומן אירועים סביבתי שבו יירשמו תקלות באמצעים למניעת מפגעים, הוראות לגבי בדיקת האיטום בתעלה ותחזוקה שוטפת שלו, ניטור רציף של מפלס מי התהום בקרבת התעלה, ביצוע סקר צומח בסביבות התעלה, הכנת נוהל לטיפול בפליטת חומר מזהם לקרקע ועוד. </w:t>
      </w:r>
    </w:p>
    <w:p w:rsidR="006734B0" w:rsidRPr="00D816B7" w:rsidP="00D816B7" w14:paraId="17CED1BA" w14:textId="77777777">
      <w:pPr>
        <w:pStyle w:val="7392"/>
        <w:rPr>
          <w:rtl/>
        </w:rPr>
      </w:pPr>
      <w:r w:rsidRPr="00D816B7">
        <w:rPr>
          <w:rFonts w:hint="cs"/>
          <w:rtl/>
        </w:rPr>
        <w:t xml:space="preserve">נכון למועד סיום הביקורת (יוני 2024), העבודה על טיוטת התנאים לא הושלמה, והיא עדיין בגדר טיוטה. כמו כן, המשרד </w:t>
      </w:r>
      <w:r w:rsidRPr="00D816B7">
        <w:rPr>
          <w:rFonts w:hint="cs"/>
          <w:rtl/>
        </w:rPr>
        <w:t>להג"ס</w:t>
      </w:r>
      <w:r w:rsidRPr="00D816B7">
        <w:rPr>
          <w:rFonts w:hint="cs"/>
          <w:rtl/>
        </w:rPr>
        <w:t xml:space="preserve"> טרם החליט האם להגיש כתב אישום כלפי </w:t>
      </w:r>
      <w:r w:rsidRPr="00D816B7">
        <w:rPr>
          <w:rFonts w:hint="cs"/>
          <w:rtl/>
        </w:rPr>
        <w:t>מי"ה</w:t>
      </w:r>
      <w:r w:rsidRPr="00D816B7">
        <w:rPr>
          <w:rFonts w:hint="cs"/>
          <w:rtl/>
        </w:rPr>
        <w:t xml:space="preserve"> בעקבות הדליפה. </w:t>
      </w:r>
    </w:p>
    <w:p w:rsidR="006734B0" w:rsidRPr="00D816B7" w:rsidP="00D816B7" w14:paraId="74507A80" w14:textId="3D0C9898">
      <w:pPr>
        <w:pStyle w:val="7318"/>
        <w:rPr>
          <w:rtl/>
        </w:rPr>
      </w:pPr>
      <w:r w:rsidRPr="00D816B7">
        <w:rPr>
          <w:rFonts w:hint="cs"/>
          <w:rtl/>
        </w:rPr>
        <w:t xml:space="preserve">נמצא כי המשרד </w:t>
      </w:r>
      <w:r w:rsidRPr="00D816B7">
        <w:rPr>
          <w:rFonts w:hint="cs"/>
          <w:rtl/>
        </w:rPr>
        <w:t>להג"ס</w:t>
      </w:r>
      <w:r w:rsidRPr="00D816B7">
        <w:rPr>
          <w:rFonts w:hint="cs"/>
          <w:rtl/>
        </w:rPr>
        <w:t xml:space="preserve"> החל לפעול להכללת תנאים ברישיון העסק של </w:t>
      </w:r>
      <w:r w:rsidRPr="00D816B7">
        <w:rPr>
          <w:rFonts w:hint="cs"/>
          <w:rtl/>
        </w:rPr>
        <w:t>מי"ה</w:t>
      </w:r>
      <w:r w:rsidRPr="00D816B7">
        <w:rPr>
          <w:rFonts w:hint="cs"/>
          <w:rtl/>
        </w:rPr>
        <w:t xml:space="preserve"> בנוגע לתעלת ההזנה רק לאחר אירוע הדליפה שאירע בשנת 2022 ואשר גרם לנזק אקולוגי חמור למניפת נחל צאלים, לרבות פגיעה ניכרת ותמותה נרחבת של מגוון מיני צומח, חלקם ערכי טבע מוגנים</w:t>
      </w:r>
      <w:r w:rsidR="005A02A7">
        <w:rPr>
          <w:rFonts w:hint="cs"/>
          <w:rtl/>
        </w:rPr>
        <w:t>.</w:t>
      </w:r>
      <w:r w:rsidRPr="00D816B7">
        <w:rPr>
          <w:rFonts w:hint="cs"/>
          <w:rtl/>
        </w:rPr>
        <w:t xml:space="preserve"> </w:t>
      </w:r>
      <w:r w:rsidRPr="008F1AF7" w:rsidR="008F1AF7">
        <w:rPr>
          <w:rtl/>
        </w:rPr>
        <w:t xml:space="preserve">נמצא כי רק לאחר אירוע הדליפה, המשרד </w:t>
      </w:r>
      <w:r w:rsidRPr="008F1AF7" w:rsidR="008F1AF7">
        <w:rPr>
          <w:rtl/>
        </w:rPr>
        <w:t>להג"ס</w:t>
      </w:r>
      <w:r w:rsidRPr="008F1AF7" w:rsidR="008F1AF7">
        <w:rPr>
          <w:rtl/>
        </w:rPr>
        <w:t xml:space="preserve"> החל לפעול להכללת תנאים סביבתיים </w:t>
      </w:r>
      <w:r w:rsidRPr="005A02A7" w:rsidR="005A02A7">
        <w:rPr>
          <w:rtl/>
        </w:rPr>
        <w:t>ברישיון</w:t>
      </w:r>
      <w:r w:rsidRPr="008F1AF7" w:rsidR="008F1AF7">
        <w:rPr>
          <w:rtl/>
        </w:rPr>
        <w:t xml:space="preserve"> העסק של </w:t>
      </w:r>
      <w:r w:rsidRPr="008F1AF7" w:rsidR="008F1AF7">
        <w:rPr>
          <w:rtl/>
        </w:rPr>
        <w:t>מי"ה</w:t>
      </w:r>
      <w:r w:rsidRPr="008F1AF7" w:rsidR="008F1AF7">
        <w:rPr>
          <w:rtl/>
        </w:rPr>
        <w:t xml:space="preserve"> בנוגע לתעלת ההזנה, אשר נמסרו </w:t>
      </w:r>
      <w:r w:rsidRPr="008F1AF7" w:rsidR="008F1AF7">
        <w:rPr>
          <w:rtl/>
        </w:rPr>
        <w:t>למי"ה</w:t>
      </w:r>
      <w:r w:rsidRPr="008F1AF7" w:rsidR="008F1AF7">
        <w:rPr>
          <w:rtl/>
        </w:rPr>
        <w:t xml:space="preserve"> לאחר סיום הביקורת.</w:t>
      </w:r>
      <w:r w:rsidRPr="00D816B7">
        <w:rPr>
          <w:rFonts w:hint="cs"/>
          <w:rtl/>
        </w:rPr>
        <w:t xml:space="preserve"> </w:t>
      </w:r>
      <w:r w:rsidRPr="005A02A7" w:rsidR="005A02A7">
        <w:rPr>
          <w:rtl/>
        </w:rPr>
        <w:t>יוער כי</w:t>
      </w:r>
      <w:r w:rsidRPr="00D816B7">
        <w:rPr>
          <w:rFonts w:hint="cs"/>
          <w:rtl/>
        </w:rPr>
        <w:t xml:space="preserve"> אילו היו נכללים תנאים ברישוי העסק בנוגע לתעלת ההזנה, והיה עולה כי הופרו, היה מתאפשר למשרד </w:t>
      </w:r>
      <w:r w:rsidRPr="00D816B7">
        <w:rPr>
          <w:rFonts w:hint="cs"/>
          <w:rtl/>
        </w:rPr>
        <w:t>להג"ס</w:t>
      </w:r>
      <w:r w:rsidRPr="00D816B7">
        <w:rPr>
          <w:rFonts w:hint="cs"/>
          <w:rtl/>
        </w:rPr>
        <w:t xml:space="preserve"> לבצע אכיפה גם בהתאם לחוק רישוי עסקים. </w:t>
      </w:r>
    </w:p>
    <w:p w:rsidR="006734B0" w:rsidRPr="00D816B7" w:rsidP="00D816B7" w14:paraId="4E78679A" w14:textId="77777777">
      <w:pPr>
        <w:pStyle w:val="7392"/>
        <w:rPr>
          <w:highlight w:val="green"/>
          <w:rtl/>
        </w:rPr>
      </w:pPr>
      <w:r w:rsidRPr="00D816B7">
        <w:rPr>
          <w:rFonts w:hint="cs"/>
          <w:rtl/>
        </w:rPr>
        <w:t xml:space="preserve">המשרד </w:t>
      </w:r>
      <w:r w:rsidRPr="00D816B7">
        <w:rPr>
          <w:rFonts w:hint="cs"/>
          <w:rtl/>
        </w:rPr>
        <w:t>להג"ס</w:t>
      </w:r>
      <w:r w:rsidRPr="00D816B7">
        <w:rPr>
          <w:rFonts w:hint="cs"/>
          <w:rtl/>
        </w:rPr>
        <w:t xml:space="preserve"> מסר בתשובתו כי תנאים ברישיון העסק בעניין תעלת ההזנה נמסרו </w:t>
      </w:r>
      <w:r w:rsidRPr="00D816B7">
        <w:rPr>
          <w:rFonts w:hint="cs"/>
          <w:rtl/>
        </w:rPr>
        <w:t>למי"ה</w:t>
      </w:r>
      <w:r w:rsidRPr="00D816B7">
        <w:rPr>
          <w:rFonts w:hint="cs"/>
          <w:rtl/>
        </w:rPr>
        <w:t xml:space="preserve"> ביולי 2024 (לאחר סיום הביקורת) וכפי שצוין בדוח המשרד ערך שימוע </w:t>
      </w:r>
      <w:r w:rsidRPr="00D816B7">
        <w:rPr>
          <w:rFonts w:hint="cs"/>
          <w:rtl/>
        </w:rPr>
        <w:t>למי"ה</w:t>
      </w:r>
      <w:r w:rsidRPr="00D816B7">
        <w:rPr>
          <w:rFonts w:hint="cs"/>
          <w:rtl/>
        </w:rPr>
        <w:t xml:space="preserve"> ופתח בחקירה פלילית בגין הדליפה במניפת נחל צאלים. עוד ציין המשרד </w:t>
      </w:r>
      <w:r w:rsidRPr="00D816B7">
        <w:rPr>
          <w:rFonts w:hint="cs"/>
          <w:rtl/>
        </w:rPr>
        <w:t>להג"ס</w:t>
      </w:r>
      <w:r w:rsidRPr="00D816B7">
        <w:rPr>
          <w:rFonts w:hint="cs"/>
          <w:rtl/>
        </w:rPr>
        <w:t xml:space="preserve"> כי לדעתו תהליך זה דווקא משמש דוגמה לכך שגם אם פעילות מסוימת אינה מוסדרת בתנאי רישיון עסק, עדיין קיימת חקיקה האוסרת על זיהום ואף קיימות סמכויות אכיפה אם אכן נגרם זיהום. </w:t>
      </w:r>
    </w:p>
    <w:p w:rsidR="006734B0" w:rsidRPr="003E6C4F" w:rsidP="00D816B7" w14:paraId="7C2B5662" w14:textId="77777777">
      <w:pPr>
        <w:pStyle w:val="7392"/>
        <w:rPr>
          <w:rtl/>
        </w:rPr>
      </w:pPr>
      <w:r>
        <w:rPr>
          <w:rFonts w:hint="cs"/>
          <w:rtl/>
        </w:rPr>
        <w:t>מי"ה</w:t>
      </w:r>
      <w:r>
        <w:rPr>
          <w:rFonts w:hint="cs"/>
          <w:rtl/>
        </w:rPr>
        <w:t xml:space="preserve"> מסרה בתשובתה למשרד מבקר המדינה כי </w:t>
      </w:r>
      <w:r w:rsidRPr="003E6C4F">
        <w:rPr>
          <w:rFonts w:hint="cs"/>
          <w:rtl/>
        </w:rPr>
        <w:t>הת</w:t>
      </w:r>
      <w:r>
        <w:rPr>
          <w:rFonts w:hint="cs"/>
          <w:rtl/>
        </w:rPr>
        <w:t>ו</w:t>
      </w:r>
      <w:r w:rsidRPr="003E6C4F">
        <w:rPr>
          <w:rFonts w:hint="cs"/>
          <w:rtl/>
        </w:rPr>
        <w:t xml:space="preserve">כנית שהסדירה את הקמת תעלת ההזנה החדשה אושרה על ידי </w:t>
      </w:r>
      <w:r w:rsidRPr="003E6C4F">
        <w:rPr>
          <w:rFonts w:hint="cs"/>
          <w:rtl/>
        </w:rPr>
        <w:t>ה</w:t>
      </w:r>
      <w:r>
        <w:rPr>
          <w:rFonts w:hint="cs"/>
          <w:rtl/>
        </w:rPr>
        <w:t>ו</w:t>
      </w:r>
      <w:r w:rsidRPr="003E6C4F">
        <w:rPr>
          <w:rFonts w:hint="cs"/>
          <w:rtl/>
        </w:rPr>
        <w:t>ות"ל</w:t>
      </w:r>
      <w:r>
        <w:rPr>
          <w:rFonts w:hint="cs"/>
          <w:rtl/>
        </w:rPr>
        <w:t xml:space="preserve">, לאחר שהוגש לגביה </w:t>
      </w:r>
      <w:r w:rsidRPr="003E6C4F">
        <w:rPr>
          <w:rFonts w:hint="eastAsia"/>
          <w:rtl/>
        </w:rPr>
        <w:t>תסקיר</w:t>
      </w:r>
      <w:r w:rsidRPr="003E6C4F">
        <w:rPr>
          <w:rtl/>
        </w:rPr>
        <w:t xml:space="preserve"> </w:t>
      </w:r>
      <w:r w:rsidRPr="003E6C4F">
        <w:rPr>
          <w:rFonts w:hint="eastAsia"/>
          <w:rtl/>
        </w:rPr>
        <w:t>השפעה</w:t>
      </w:r>
      <w:r w:rsidRPr="003E6C4F">
        <w:rPr>
          <w:rtl/>
        </w:rPr>
        <w:t xml:space="preserve"> </w:t>
      </w:r>
      <w:r w:rsidRPr="003E6C4F">
        <w:rPr>
          <w:rFonts w:hint="eastAsia"/>
          <w:rtl/>
        </w:rPr>
        <w:t>על</w:t>
      </w:r>
      <w:r w:rsidRPr="003E6C4F">
        <w:rPr>
          <w:rtl/>
        </w:rPr>
        <w:t xml:space="preserve"> </w:t>
      </w:r>
      <w:r w:rsidRPr="003E6C4F">
        <w:rPr>
          <w:rFonts w:hint="eastAsia"/>
          <w:rtl/>
        </w:rPr>
        <w:t>הסביבה</w:t>
      </w:r>
      <w:r>
        <w:rPr>
          <w:rFonts w:hint="cs"/>
          <w:rtl/>
        </w:rPr>
        <w:t xml:space="preserve">, וכי </w:t>
      </w:r>
      <w:r w:rsidRPr="003E6C4F">
        <w:rPr>
          <w:rFonts w:hint="cs"/>
          <w:rtl/>
        </w:rPr>
        <w:t>לא תמיד תנאים תפעוליים סביבתיים יכולים להיקבע מראש, משום שפעמים רבות מדובר רק ב"חכמה שלאחר מעשה"</w:t>
      </w:r>
      <w:r>
        <w:rPr>
          <w:rFonts w:hint="cs"/>
          <w:rtl/>
        </w:rPr>
        <w:t xml:space="preserve">. עוד ציינה </w:t>
      </w:r>
      <w:r>
        <w:rPr>
          <w:rFonts w:hint="cs"/>
          <w:rtl/>
        </w:rPr>
        <w:t>מי"ה</w:t>
      </w:r>
      <w:r>
        <w:rPr>
          <w:rFonts w:hint="cs"/>
          <w:rtl/>
        </w:rPr>
        <w:t xml:space="preserve"> בתשובתה כי</w:t>
      </w:r>
      <w:r w:rsidRPr="003E6C4F">
        <w:rPr>
          <w:rFonts w:hint="cs"/>
          <w:rtl/>
        </w:rPr>
        <w:t xml:space="preserve"> </w:t>
      </w:r>
      <w:r w:rsidRPr="003E6C4F">
        <w:rPr>
          <w:rFonts w:hint="eastAsia"/>
          <w:rtl/>
        </w:rPr>
        <w:t>את</w:t>
      </w:r>
      <w:r w:rsidRPr="003E6C4F">
        <w:rPr>
          <w:rtl/>
        </w:rPr>
        <w:t xml:space="preserve"> </w:t>
      </w:r>
      <w:r w:rsidRPr="003E6C4F">
        <w:rPr>
          <w:rFonts w:hint="eastAsia"/>
          <w:rtl/>
        </w:rPr>
        <w:t>הדליפה</w:t>
      </w:r>
      <w:r w:rsidRPr="003E6C4F">
        <w:rPr>
          <w:rtl/>
        </w:rPr>
        <w:t xml:space="preserve"> </w:t>
      </w:r>
      <w:r w:rsidRPr="003E6C4F">
        <w:rPr>
          <w:rFonts w:hint="eastAsia"/>
          <w:rtl/>
        </w:rPr>
        <w:t>עצמה</w:t>
      </w:r>
      <w:r w:rsidRPr="003E6C4F">
        <w:rPr>
          <w:rtl/>
        </w:rPr>
        <w:t xml:space="preserve"> </w:t>
      </w:r>
      <w:r w:rsidRPr="003E6C4F">
        <w:rPr>
          <w:rFonts w:hint="eastAsia"/>
          <w:rtl/>
        </w:rPr>
        <w:t>לא</w:t>
      </w:r>
      <w:r w:rsidRPr="003E6C4F">
        <w:rPr>
          <w:rtl/>
        </w:rPr>
        <w:t xml:space="preserve"> </w:t>
      </w:r>
      <w:r w:rsidRPr="003E6C4F">
        <w:rPr>
          <w:rFonts w:hint="eastAsia"/>
          <w:rtl/>
        </w:rPr>
        <w:t>ניתן</w:t>
      </w:r>
      <w:r w:rsidRPr="003E6C4F">
        <w:rPr>
          <w:rtl/>
        </w:rPr>
        <w:t xml:space="preserve"> </w:t>
      </w:r>
      <w:r w:rsidRPr="003E6C4F">
        <w:rPr>
          <w:rFonts w:hint="eastAsia"/>
          <w:rtl/>
        </w:rPr>
        <w:t>היה</w:t>
      </w:r>
      <w:r w:rsidRPr="003E6C4F">
        <w:rPr>
          <w:rtl/>
        </w:rPr>
        <w:t xml:space="preserve"> </w:t>
      </w:r>
      <w:r w:rsidRPr="003E6C4F">
        <w:rPr>
          <w:rFonts w:hint="eastAsia"/>
          <w:rtl/>
        </w:rPr>
        <w:t>למנוע</w:t>
      </w:r>
      <w:r w:rsidRPr="003E6C4F">
        <w:rPr>
          <w:rtl/>
        </w:rPr>
        <w:t xml:space="preserve"> </w:t>
      </w:r>
      <w:r w:rsidRPr="003E6C4F">
        <w:rPr>
          <w:rFonts w:hint="eastAsia"/>
          <w:rtl/>
        </w:rPr>
        <w:t>משום</w:t>
      </w:r>
      <w:r w:rsidRPr="003E6C4F">
        <w:rPr>
          <w:rtl/>
        </w:rPr>
        <w:t xml:space="preserve"> </w:t>
      </w:r>
      <w:r w:rsidRPr="003E6C4F">
        <w:rPr>
          <w:rFonts w:hint="eastAsia"/>
          <w:rtl/>
        </w:rPr>
        <w:t>שלא</w:t>
      </w:r>
      <w:r w:rsidRPr="003E6C4F">
        <w:rPr>
          <w:rtl/>
        </w:rPr>
        <w:t xml:space="preserve"> </w:t>
      </w:r>
      <w:r w:rsidRPr="003E6C4F">
        <w:rPr>
          <w:rFonts w:hint="eastAsia"/>
          <w:rtl/>
        </w:rPr>
        <w:t>הייתה</w:t>
      </w:r>
      <w:r w:rsidRPr="003E6C4F">
        <w:rPr>
          <w:rtl/>
        </w:rPr>
        <w:t xml:space="preserve"> </w:t>
      </w:r>
      <w:r w:rsidRPr="003E6C4F">
        <w:rPr>
          <w:rFonts w:hint="eastAsia"/>
          <w:rtl/>
        </w:rPr>
        <w:t>צפויה</w:t>
      </w:r>
      <w:r w:rsidRPr="003E6C4F">
        <w:rPr>
          <w:rtl/>
        </w:rPr>
        <w:t xml:space="preserve">, </w:t>
      </w:r>
      <w:r w:rsidRPr="003E6C4F">
        <w:rPr>
          <w:rFonts w:hint="eastAsia"/>
          <w:rtl/>
        </w:rPr>
        <w:t>ולא</w:t>
      </w:r>
      <w:r w:rsidRPr="003E6C4F">
        <w:rPr>
          <w:rtl/>
        </w:rPr>
        <w:t xml:space="preserve"> נצפתה גם על</w:t>
      </w:r>
      <w:r>
        <w:rPr>
          <w:rFonts w:hint="cs"/>
          <w:rtl/>
        </w:rPr>
        <w:t xml:space="preserve"> </w:t>
      </w:r>
      <w:r w:rsidRPr="003E6C4F">
        <w:rPr>
          <w:rtl/>
        </w:rPr>
        <w:t xml:space="preserve">ידי </w:t>
      </w:r>
      <w:r w:rsidRPr="003E6C4F">
        <w:rPr>
          <w:rFonts w:hint="eastAsia"/>
          <w:rtl/>
        </w:rPr>
        <w:t>חברת</w:t>
      </w:r>
      <w:r w:rsidRPr="003E6C4F">
        <w:rPr>
          <w:rtl/>
        </w:rPr>
        <w:t xml:space="preserve"> </w:t>
      </w:r>
      <w:r w:rsidRPr="003E6C4F">
        <w:rPr>
          <w:rFonts w:hint="eastAsia"/>
          <w:rtl/>
        </w:rPr>
        <w:t>התכנון</w:t>
      </w:r>
      <w:r w:rsidRPr="003E6C4F">
        <w:rPr>
          <w:rtl/>
        </w:rPr>
        <w:t xml:space="preserve"> </w:t>
      </w:r>
      <w:r>
        <w:rPr>
          <w:rFonts w:hint="cs"/>
          <w:rtl/>
        </w:rPr>
        <w:t xml:space="preserve">של </w:t>
      </w:r>
      <w:r>
        <w:rPr>
          <w:rFonts w:hint="cs"/>
          <w:rtl/>
        </w:rPr>
        <w:t>מי"ה</w:t>
      </w:r>
      <w:r>
        <w:rPr>
          <w:rFonts w:hint="cs"/>
          <w:rtl/>
        </w:rPr>
        <w:t xml:space="preserve">, וכי </w:t>
      </w:r>
      <w:r w:rsidRPr="003E6C4F">
        <w:rPr>
          <w:rtl/>
        </w:rPr>
        <w:t>פעולות האכיפה שננקטו ב</w:t>
      </w:r>
      <w:r>
        <w:rPr>
          <w:rFonts w:hint="cs"/>
          <w:rtl/>
        </w:rPr>
        <w:t>עקבות אירוע הדליפה</w:t>
      </w:r>
      <w:r w:rsidRPr="003E6C4F">
        <w:rPr>
          <w:rFonts w:hint="cs"/>
          <w:rtl/>
        </w:rPr>
        <w:t xml:space="preserve">, </w:t>
      </w:r>
      <w:r w:rsidRPr="003E6C4F">
        <w:rPr>
          <w:rFonts w:hint="eastAsia"/>
          <w:rtl/>
        </w:rPr>
        <w:t>לרבות</w:t>
      </w:r>
      <w:r w:rsidRPr="003E6C4F">
        <w:rPr>
          <w:rtl/>
        </w:rPr>
        <w:t xml:space="preserve"> </w:t>
      </w:r>
      <w:r w:rsidRPr="003E6C4F">
        <w:rPr>
          <w:rFonts w:hint="eastAsia"/>
          <w:rtl/>
        </w:rPr>
        <w:t>חקירה</w:t>
      </w:r>
      <w:r w:rsidRPr="003E6C4F">
        <w:rPr>
          <w:rtl/>
        </w:rPr>
        <w:t xml:space="preserve"> </w:t>
      </w:r>
      <w:r w:rsidRPr="003E6C4F">
        <w:rPr>
          <w:rFonts w:hint="eastAsia"/>
          <w:rtl/>
        </w:rPr>
        <w:t>שעודנה</w:t>
      </w:r>
      <w:r w:rsidRPr="003E6C4F">
        <w:rPr>
          <w:rtl/>
        </w:rPr>
        <w:t xml:space="preserve"> </w:t>
      </w:r>
      <w:r w:rsidRPr="003E6C4F">
        <w:rPr>
          <w:rFonts w:hint="eastAsia"/>
          <w:rtl/>
        </w:rPr>
        <w:t>מתנהלת</w:t>
      </w:r>
      <w:r w:rsidRPr="003E6C4F">
        <w:rPr>
          <w:rtl/>
        </w:rPr>
        <w:t xml:space="preserve">, מדגימים </w:t>
      </w:r>
      <w:r w:rsidRPr="003E6C4F">
        <w:rPr>
          <w:rFonts w:hint="eastAsia"/>
          <w:rtl/>
        </w:rPr>
        <w:t>כי</w:t>
      </w:r>
      <w:r w:rsidRPr="003E6C4F">
        <w:rPr>
          <w:rtl/>
        </w:rPr>
        <w:t xml:space="preserve"> </w:t>
      </w:r>
      <w:r w:rsidRPr="003E6C4F">
        <w:rPr>
          <w:rFonts w:hint="eastAsia"/>
          <w:rtl/>
        </w:rPr>
        <w:t>יכולת</w:t>
      </w:r>
      <w:r w:rsidRPr="003E6C4F">
        <w:rPr>
          <w:rtl/>
        </w:rPr>
        <w:t xml:space="preserve"> </w:t>
      </w:r>
      <w:r w:rsidRPr="003E6C4F">
        <w:rPr>
          <w:rFonts w:hint="eastAsia"/>
          <w:rtl/>
        </w:rPr>
        <w:t>האכיפה</w:t>
      </w:r>
      <w:r w:rsidRPr="003E6C4F">
        <w:rPr>
          <w:rtl/>
        </w:rPr>
        <w:t xml:space="preserve"> </w:t>
      </w:r>
      <w:r w:rsidRPr="003E6C4F">
        <w:rPr>
          <w:rFonts w:hint="eastAsia"/>
          <w:rtl/>
        </w:rPr>
        <w:t>קיימת</w:t>
      </w:r>
      <w:r w:rsidRPr="003E6C4F">
        <w:rPr>
          <w:rtl/>
        </w:rPr>
        <w:t xml:space="preserve"> </w:t>
      </w:r>
      <w:r w:rsidRPr="003E6C4F">
        <w:rPr>
          <w:rFonts w:hint="eastAsia"/>
          <w:rtl/>
        </w:rPr>
        <w:t>ואף</w:t>
      </w:r>
      <w:r w:rsidRPr="003E6C4F">
        <w:rPr>
          <w:rtl/>
        </w:rPr>
        <w:t xml:space="preserve"> </w:t>
      </w:r>
      <w:r w:rsidRPr="003E6C4F">
        <w:rPr>
          <w:rFonts w:hint="eastAsia"/>
          <w:rtl/>
        </w:rPr>
        <w:t>מיושמת</w:t>
      </w:r>
      <w:r w:rsidRPr="003E6C4F">
        <w:rPr>
          <w:rtl/>
        </w:rPr>
        <w:t xml:space="preserve"> </w:t>
      </w:r>
      <w:r w:rsidRPr="003E6C4F">
        <w:rPr>
          <w:rFonts w:hint="eastAsia"/>
          <w:rtl/>
        </w:rPr>
        <w:t>בפועל</w:t>
      </w:r>
      <w:r w:rsidRPr="003E6C4F">
        <w:rPr>
          <w:rtl/>
        </w:rPr>
        <w:t xml:space="preserve">, </w:t>
      </w:r>
      <w:r w:rsidRPr="003E6C4F">
        <w:rPr>
          <w:rFonts w:hint="eastAsia"/>
          <w:rtl/>
        </w:rPr>
        <w:t>וזאת</w:t>
      </w:r>
      <w:r w:rsidRPr="003E6C4F">
        <w:rPr>
          <w:rtl/>
        </w:rPr>
        <w:t xml:space="preserve"> </w:t>
      </w:r>
      <w:r w:rsidRPr="003E6C4F">
        <w:rPr>
          <w:rFonts w:hint="eastAsia"/>
          <w:rtl/>
        </w:rPr>
        <w:t>גם</w:t>
      </w:r>
      <w:r w:rsidRPr="003E6C4F">
        <w:rPr>
          <w:rtl/>
        </w:rPr>
        <w:t xml:space="preserve"> </w:t>
      </w:r>
      <w:r w:rsidRPr="003E6C4F">
        <w:rPr>
          <w:rFonts w:hint="eastAsia"/>
          <w:rtl/>
        </w:rPr>
        <w:t>מחוץ</w:t>
      </w:r>
      <w:r w:rsidRPr="003E6C4F">
        <w:rPr>
          <w:rtl/>
        </w:rPr>
        <w:t xml:space="preserve"> </w:t>
      </w:r>
      <w:r w:rsidRPr="003E6C4F">
        <w:rPr>
          <w:rFonts w:hint="eastAsia"/>
          <w:rtl/>
        </w:rPr>
        <w:t>ל</w:t>
      </w:r>
      <w:r w:rsidRPr="003E6C4F">
        <w:rPr>
          <w:rtl/>
        </w:rPr>
        <w:t xml:space="preserve">"שטח </w:t>
      </w:r>
      <w:r w:rsidRPr="003E6C4F">
        <w:rPr>
          <w:rFonts w:hint="eastAsia"/>
          <w:rtl/>
        </w:rPr>
        <w:t>המפעלים</w:t>
      </w:r>
      <w:r w:rsidRPr="003E6C4F">
        <w:rPr>
          <w:rtl/>
        </w:rPr>
        <w:t xml:space="preserve">" </w:t>
      </w:r>
      <w:r w:rsidRPr="003E6C4F">
        <w:rPr>
          <w:rFonts w:hint="cs"/>
          <w:rtl/>
        </w:rPr>
        <w:t xml:space="preserve">וגם ללא תנאים ייעודיים לנושא זה בתנאי רישיון העסק, וכי </w:t>
      </w:r>
      <w:r w:rsidRPr="003E6C4F">
        <w:rPr>
          <w:rFonts w:hint="cs"/>
          <w:rtl/>
        </w:rPr>
        <w:t>מי"ה</w:t>
      </w:r>
      <w:r w:rsidRPr="003E6C4F">
        <w:rPr>
          <w:rFonts w:hint="cs"/>
          <w:rtl/>
        </w:rPr>
        <w:t xml:space="preserve"> פועלת באופן שוטף לתיקון כל תקלה הנובעת מפעילותה בשטח הזיכיון</w:t>
      </w:r>
      <w:r w:rsidRPr="003E6C4F">
        <w:rPr>
          <w:rtl/>
        </w:rPr>
        <w:t>.</w:t>
      </w:r>
      <w:r>
        <w:rPr>
          <w:rFonts w:cs="David" w:hint="cs"/>
          <w:rtl/>
        </w:rPr>
        <w:t xml:space="preserve"> </w:t>
      </w:r>
    </w:p>
    <w:p w:rsidR="006734B0" w:rsidRPr="00D816B7" w:rsidP="00D816B7" w14:paraId="259DECD5" w14:textId="77777777">
      <w:pPr>
        <w:pStyle w:val="7318"/>
        <w:rPr>
          <w:rtl/>
        </w:rPr>
      </w:pPr>
      <w:r w:rsidRPr="00D816B7">
        <w:rPr>
          <w:rFonts w:hint="eastAsia"/>
          <w:rtl/>
        </w:rPr>
        <w:t>משרד</w:t>
      </w:r>
      <w:r w:rsidRPr="00D816B7">
        <w:rPr>
          <w:rtl/>
        </w:rPr>
        <w:t xml:space="preserve"> מבקר המדינה מציין כי עצם העובדה שהמשרד </w:t>
      </w:r>
      <w:r w:rsidRPr="00D816B7">
        <w:rPr>
          <w:rFonts w:hint="eastAsia"/>
          <w:rtl/>
        </w:rPr>
        <w:t>להג</w:t>
      </w:r>
      <w:r w:rsidRPr="00D816B7">
        <w:rPr>
          <w:rtl/>
        </w:rPr>
        <w:t>"ס</w:t>
      </w:r>
      <w:r w:rsidRPr="00D816B7">
        <w:rPr>
          <w:rtl/>
        </w:rPr>
        <w:t xml:space="preserve"> </w:t>
      </w:r>
      <w:r w:rsidRPr="00D816B7">
        <w:rPr>
          <w:rFonts w:hint="eastAsia"/>
          <w:rtl/>
        </w:rPr>
        <w:t>מצא</w:t>
      </w:r>
      <w:r w:rsidRPr="00D816B7">
        <w:rPr>
          <w:rtl/>
        </w:rPr>
        <w:t xml:space="preserve"> </w:t>
      </w:r>
      <w:r w:rsidRPr="00D816B7">
        <w:rPr>
          <w:rFonts w:hint="eastAsia"/>
          <w:rtl/>
        </w:rPr>
        <w:t>לנכון</w:t>
      </w:r>
      <w:r w:rsidRPr="00D816B7">
        <w:rPr>
          <w:rtl/>
        </w:rPr>
        <w:t xml:space="preserve"> </w:t>
      </w:r>
      <w:r w:rsidRPr="00D816B7">
        <w:rPr>
          <w:rFonts w:hint="eastAsia"/>
          <w:rtl/>
        </w:rPr>
        <w:t>להוסיף</w:t>
      </w:r>
      <w:r w:rsidRPr="00D816B7">
        <w:rPr>
          <w:rtl/>
        </w:rPr>
        <w:t xml:space="preserve"> תנאים סביבתיים ברישיון העסק </w:t>
      </w:r>
      <w:r w:rsidRPr="00D816B7">
        <w:rPr>
          <w:rFonts w:hint="eastAsia"/>
          <w:rtl/>
        </w:rPr>
        <w:t>המתייחסים</w:t>
      </w:r>
      <w:r w:rsidRPr="00D816B7">
        <w:rPr>
          <w:rtl/>
        </w:rPr>
        <w:t xml:space="preserve"> </w:t>
      </w:r>
      <w:r w:rsidRPr="00D816B7">
        <w:rPr>
          <w:rFonts w:hint="eastAsia"/>
          <w:rtl/>
        </w:rPr>
        <w:t>לתעלת</w:t>
      </w:r>
      <w:r w:rsidRPr="00D816B7">
        <w:rPr>
          <w:rtl/>
        </w:rPr>
        <w:t xml:space="preserve"> </w:t>
      </w:r>
      <w:r w:rsidRPr="00D816B7">
        <w:rPr>
          <w:rFonts w:hint="eastAsia"/>
          <w:rtl/>
        </w:rPr>
        <w:t>ההזנה</w:t>
      </w:r>
      <w:r w:rsidRPr="00D816B7">
        <w:rPr>
          <w:rtl/>
        </w:rPr>
        <w:t xml:space="preserve"> </w:t>
      </w:r>
      <w:r w:rsidRPr="00D816B7">
        <w:rPr>
          <w:rFonts w:hint="eastAsia"/>
          <w:rtl/>
        </w:rPr>
        <w:t>מלמדת</w:t>
      </w:r>
      <w:r w:rsidRPr="00D816B7">
        <w:rPr>
          <w:rtl/>
        </w:rPr>
        <w:t xml:space="preserve"> על כך ש</w:t>
      </w:r>
      <w:r w:rsidRPr="00D816B7">
        <w:rPr>
          <w:rFonts w:hint="eastAsia"/>
          <w:rtl/>
        </w:rPr>
        <w:t>המשרד</w:t>
      </w:r>
      <w:r w:rsidRPr="00D816B7">
        <w:rPr>
          <w:rtl/>
        </w:rPr>
        <w:t xml:space="preserve"> </w:t>
      </w:r>
      <w:r w:rsidRPr="00D816B7">
        <w:rPr>
          <w:rFonts w:hint="eastAsia"/>
          <w:rtl/>
        </w:rPr>
        <w:t>זיהה</w:t>
      </w:r>
      <w:r w:rsidRPr="00D816B7">
        <w:rPr>
          <w:rtl/>
        </w:rPr>
        <w:t xml:space="preserve"> </w:t>
      </w:r>
      <w:r w:rsidRPr="00D816B7">
        <w:rPr>
          <w:rFonts w:hint="eastAsia"/>
          <w:rtl/>
        </w:rPr>
        <w:t>כי</w:t>
      </w:r>
      <w:r w:rsidRPr="00D816B7">
        <w:rPr>
          <w:rtl/>
        </w:rPr>
        <w:t xml:space="preserve"> </w:t>
      </w:r>
      <w:r w:rsidRPr="00D816B7">
        <w:rPr>
          <w:rFonts w:hint="eastAsia"/>
          <w:rtl/>
        </w:rPr>
        <w:t>קיים</w:t>
      </w:r>
      <w:r w:rsidRPr="00D816B7">
        <w:rPr>
          <w:rtl/>
        </w:rPr>
        <w:t xml:space="preserve"> </w:t>
      </w:r>
      <w:r w:rsidRPr="00D816B7">
        <w:rPr>
          <w:rFonts w:hint="eastAsia"/>
          <w:rtl/>
        </w:rPr>
        <w:t>פער</w:t>
      </w:r>
      <w:r w:rsidRPr="00D816B7">
        <w:rPr>
          <w:rtl/>
        </w:rPr>
        <w:t xml:space="preserve"> </w:t>
      </w:r>
      <w:r w:rsidRPr="00D816B7">
        <w:rPr>
          <w:rFonts w:hint="eastAsia"/>
          <w:rtl/>
        </w:rPr>
        <w:t>באסדרה</w:t>
      </w:r>
      <w:r w:rsidRPr="00D816B7">
        <w:rPr>
          <w:rtl/>
        </w:rPr>
        <w:t xml:space="preserve"> </w:t>
      </w:r>
      <w:r w:rsidRPr="00D816B7">
        <w:rPr>
          <w:rFonts w:hint="eastAsia"/>
          <w:rtl/>
        </w:rPr>
        <w:t>הסביבתית</w:t>
      </w:r>
      <w:r w:rsidRPr="00D816B7">
        <w:rPr>
          <w:rtl/>
        </w:rPr>
        <w:t xml:space="preserve"> </w:t>
      </w:r>
      <w:r w:rsidRPr="00D816B7">
        <w:rPr>
          <w:rFonts w:hint="eastAsia"/>
          <w:rtl/>
        </w:rPr>
        <w:t>לגביה</w:t>
      </w:r>
      <w:r w:rsidRPr="00D816B7">
        <w:rPr>
          <w:rtl/>
        </w:rPr>
        <w:t xml:space="preserve">. </w:t>
      </w:r>
      <w:r w:rsidRPr="00D816B7">
        <w:rPr>
          <w:rFonts w:hint="eastAsia"/>
          <w:rtl/>
        </w:rPr>
        <w:t>מעיון</w:t>
      </w:r>
      <w:r w:rsidRPr="00D816B7">
        <w:rPr>
          <w:rtl/>
        </w:rPr>
        <w:t xml:space="preserve"> </w:t>
      </w:r>
      <w:r w:rsidRPr="00D816B7">
        <w:rPr>
          <w:rFonts w:hint="eastAsia"/>
          <w:rtl/>
        </w:rPr>
        <w:t>בתנאים</w:t>
      </w:r>
      <w:r w:rsidRPr="00D816B7">
        <w:rPr>
          <w:rtl/>
        </w:rPr>
        <w:t xml:space="preserve"> </w:t>
      </w:r>
      <w:r w:rsidRPr="00D816B7">
        <w:rPr>
          <w:rFonts w:hint="eastAsia"/>
          <w:rtl/>
        </w:rPr>
        <w:t>שקבע</w:t>
      </w:r>
      <w:r w:rsidRPr="00D816B7">
        <w:rPr>
          <w:rtl/>
        </w:rPr>
        <w:t xml:space="preserve"> המשרד </w:t>
      </w:r>
      <w:r w:rsidRPr="00D816B7">
        <w:rPr>
          <w:rFonts w:hint="eastAsia"/>
          <w:rtl/>
        </w:rPr>
        <w:t>להג</w:t>
      </w:r>
      <w:r w:rsidRPr="00D816B7">
        <w:rPr>
          <w:rtl/>
        </w:rPr>
        <w:t>"ס</w:t>
      </w:r>
      <w:r w:rsidRPr="00D816B7">
        <w:rPr>
          <w:rtl/>
        </w:rPr>
        <w:t xml:space="preserve"> </w:t>
      </w:r>
      <w:r w:rsidRPr="00D816B7">
        <w:rPr>
          <w:rFonts w:hint="eastAsia"/>
          <w:rtl/>
        </w:rPr>
        <w:t>עולה</w:t>
      </w:r>
      <w:r w:rsidRPr="00D816B7">
        <w:rPr>
          <w:rtl/>
        </w:rPr>
        <w:t xml:space="preserve"> </w:t>
      </w:r>
      <w:r w:rsidRPr="00D816B7">
        <w:rPr>
          <w:rFonts w:hint="eastAsia"/>
          <w:rtl/>
        </w:rPr>
        <w:t>כי</w:t>
      </w:r>
      <w:r w:rsidRPr="00D816B7">
        <w:rPr>
          <w:rtl/>
        </w:rPr>
        <w:t xml:space="preserve"> </w:t>
      </w:r>
      <w:r w:rsidRPr="00D816B7">
        <w:rPr>
          <w:rFonts w:hint="eastAsia"/>
          <w:rtl/>
        </w:rPr>
        <w:t>מדובר</w:t>
      </w:r>
      <w:r w:rsidRPr="00D816B7">
        <w:rPr>
          <w:rtl/>
        </w:rPr>
        <w:t xml:space="preserve"> </w:t>
      </w:r>
      <w:r w:rsidRPr="00D816B7">
        <w:rPr>
          <w:rFonts w:hint="eastAsia"/>
          <w:rtl/>
        </w:rPr>
        <w:t>בתנאים</w:t>
      </w:r>
      <w:r w:rsidRPr="00D816B7">
        <w:rPr>
          <w:rtl/>
        </w:rPr>
        <w:t xml:space="preserve"> </w:t>
      </w:r>
      <w:r w:rsidRPr="00D816B7">
        <w:rPr>
          <w:rFonts w:hint="eastAsia"/>
          <w:rtl/>
        </w:rPr>
        <w:t>תפעוליים</w:t>
      </w:r>
      <w:r w:rsidRPr="00D816B7">
        <w:rPr>
          <w:rtl/>
        </w:rPr>
        <w:t xml:space="preserve"> </w:t>
      </w:r>
      <w:r w:rsidRPr="00D816B7">
        <w:rPr>
          <w:rFonts w:hint="eastAsia"/>
          <w:rtl/>
        </w:rPr>
        <w:t>חשובים</w:t>
      </w:r>
      <w:r w:rsidRPr="00D816B7">
        <w:rPr>
          <w:rtl/>
        </w:rPr>
        <w:t xml:space="preserve"> </w:t>
      </w:r>
      <w:r w:rsidRPr="00D816B7">
        <w:rPr>
          <w:rFonts w:hint="eastAsia"/>
          <w:rtl/>
        </w:rPr>
        <w:t>שאפשר</w:t>
      </w:r>
      <w:r w:rsidRPr="00D816B7">
        <w:rPr>
          <w:rtl/>
        </w:rPr>
        <w:t xml:space="preserve"> </w:t>
      </w:r>
      <w:r w:rsidRPr="00D816B7">
        <w:rPr>
          <w:rFonts w:hint="eastAsia"/>
          <w:rtl/>
        </w:rPr>
        <w:t>שהיו</w:t>
      </w:r>
      <w:r w:rsidRPr="00D816B7">
        <w:rPr>
          <w:rtl/>
        </w:rPr>
        <w:t xml:space="preserve"> </w:t>
      </w:r>
      <w:r w:rsidRPr="00D816B7">
        <w:rPr>
          <w:rFonts w:hint="eastAsia"/>
          <w:rtl/>
        </w:rPr>
        <w:t>יכולים</w:t>
      </w:r>
      <w:r w:rsidRPr="00D816B7">
        <w:rPr>
          <w:rtl/>
        </w:rPr>
        <w:t xml:space="preserve"> </w:t>
      </w:r>
      <w:r w:rsidRPr="00D816B7">
        <w:rPr>
          <w:rFonts w:hint="eastAsia"/>
          <w:rtl/>
        </w:rPr>
        <w:t>לכל</w:t>
      </w:r>
      <w:r w:rsidRPr="00D816B7">
        <w:rPr>
          <w:rtl/>
        </w:rPr>
        <w:t xml:space="preserve"> </w:t>
      </w:r>
      <w:r w:rsidRPr="00D816B7">
        <w:rPr>
          <w:rFonts w:hint="eastAsia"/>
          <w:rtl/>
        </w:rPr>
        <w:t>הפחות</w:t>
      </w:r>
      <w:r w:rsidRPr="00D816B7">
        <w:rPr>
          <w:rtl/>
        </w:rPr>
        <w:t xml:space="preserve"> </w:t>
      </w:r>
      <w:r w:rsidRPr="00D816B7">
        <w:rPr>
          <w:rFonts w:hint="eastAsia"/>
          <w:rtl/>
        </w:rPr>
        <w:t>לצמצם</w:t>
      </w:r>
      <w:r w:rsidRPr="00D816B7">
        <w:rPr>
          <w:rtl/>
        </w:rPr>
        <w:t xml:space="preserve"> </w:t>
      </w:r>
      <w:r w:rsidRPr="00D816B7">
        <w:rPr>
          <w:rFonts w:hint="eastAsia"/>
          <w:rtl/>
        </w:rPr>
        <w:t>את</w:t>
      </w:r>
      <w:r w:rsidRPr="00D816B7">
        <w:rPr>
          <w:rtl/>
        </w:rPr>
        <w:t xml:space="preserve"> </w:t>
      </w:r>
      <w:r w:rsidRPr="00D816B7">
        <w:rPr>
          <w:rFonts w:hint="eastAsia"/>
          <w:rtl/>
        </w:rPr>
        <w:t>נזקי</w:t>
      </w:r>
      <w:r w:rsidRPr="00D816B7">
        <w:rPr>
          <w:rtl/>
        </w:rPr>
        <w:t xml:space="preserve"> הדליפה.</w:t>
      </w:r>
      <w:r w:rsidRPr="00D816B7">
        <w:rPr>
          <w:rFonts w:hint="cs"/>
          <w:rtl/>
        </w:rPr>
        <w:t xml:space="preserve"> </w:t>
      </w:r>
      <w:r w:rsidRPr="00D816B7">
        <w:rPr>
          <w:rFonts w:hint="eastAsia"/>
          <w:rtl/>
        </w:rPr>
        <w:t>כמו</w:t>
      </w:r>
      <w:r w:rsidRPr="00D816B7">
        <w:rPr>
          <w:rtl/>
        </w:rPr>
        <w:t xml:space="preserve"> כן, </w:t>
      </w:r>
      <w:r w:rsidRPr="00D816B7">
        <w:rPr>
          <w:rFonts w:hint="eastAsia"/>
          <w:rtl/>
        </w:rPr>
        <w:t>משרד</w:t>
      </w:r>
      <w:r w:rsidRPr="00D816B7">
        <w:rPr>
          <w:rtl/>
        </w:rPr>
        <w:t xml:space="preserve"> מבקר המדינה חוזר ומציין </w:t>
      </w:r>
      <w:r w:rsidRPr="00D816B7">
        <w:rPr>
          <w:rFonts w:hint="eastAsia"/>
          <w:rtl/>
        </w:rPr>
        <w:t>כי</w:t>
      </w:r>
      <w:r w:rsidRPr="00D816B7">
        <w:rPr>
          <w:rtl/>
        </w:rPr>
        <w:t xml:space="preserve"> </w:t>
      </w:r>
      <w:r w:rsidRPr="00D816B7">
        <w:rPr>
          <w:rFonts w:hint="eastAsia"/>
          <w:rtl/>
        </w:rPr>
        <w:t>אפשר</w:t>
      </w:r>
      <w:r w:rsidRPr="00D816B7">
        <w:rPr>
          <w:rtl/>
        </w:rPr>
        <w:t xml:space="preserve"> שאילו המשרד </w:t>
      </w:r>
      <w:r w:rsidRPr="00D816B7">
        <w:rPr>
          <w:rFonts w:hint="eastAsia"/>
          <w:rtl/>
        </w:rPr>
        <w:t>להג</w:t>
      </w:r>
      <w:r w:rsidRPr="00D816B7">
        <w:rPr>
          <w:rtl/>
        </w:rPr>
        <w:t>"ס</w:t>
      </w:r>
      <w:r w:rsidRPr="00D816B7">
        <w:rPr>
          <w:rtl/>
        </w:rPr>
        <w:t xml:space="preserve"> </w:t>
      </w:r>
      <w:r w:rsidRPr="00D816B7">
        <w:rPr>
          <w:rFonts w:hint="eastAsia"/>
          <w:rtl/>
        </w:rPr>
        <w:t>היה</w:t>
      </w:r>
      <w:r w:rsidRPr="00D816B7">
        <w:rPr>
          <w:rtl/>
        </w:rPr>
        <w:t xml:space="preserve"> </w:t>
      </w:r>
      <w:r w:rsidRPr="00D816B7">
        <w:rPr>
          <w:rFonts w:hint="eastAsia"/>
          <w:rtl/>
        </w:rPr>
        <w:t>קובע</w:t>
      </w:r>
      <w:r w:rsidRPr="00D816B7">
        <w:rPr>
          <w:rtl/>
        </w:rPr>
        <w:t xml:space="preserve"> תנאים סביבתיים </w:t>
      </w:r>
      <w:r w:rsidRPr="00D816B7">
        <w:rPr>
          <w:rFonts w:hint="eastAsia"/>
          <w:rtl/>
        </w:rPr>
        <w:t>בעניינה</w:t>
      </w:r>
      <w:r w:rsidRPr="00D816B7">
        <w:rPr>
          <w:rtl/>
        </w:rPr>
        <w:t xml:space="preserve"> של </w:t>
      </w:r>
      <w:r w:rsidRPr="00D816B7">
        <w:rPr>
          <w:rFonts w:hint="eastAsia"/>
          <w:rtl/>
        </w:rPr>
        <w:t>תעלת</w:t>
      </w:r>
      <w:r w:rsidRPr="00D816B7">
        <w:rPr>
          <w:rtl/>
        </w:rPr>
        <w:t xml:space="preserve"> ההזנה </w:t>
      </w:r>
      <w:r w:rsidRPr="00D816B7">
        <w:rPr>
          <w:rFonts w:hint="eastAsia"/>
          <w:rtl/>
        </w:rPr>
        <w:t>קודם</w:t>
      </w:r>
      <w:r w:rsidRPr="00D816B7">
        <w:rPr>
          <w:rtl/>
        </w:rPr>
        <w:t xml:space="preserve"> </w:t>
      </w:r>
      <w:r w:rsidRPr="00D816B7">
        <w:rPr>
          <w:rFonts w:hint="eastAsia"/>
          <w:rtl/>
        </w:rPr>
        <w:t>לאירוע</w:t>
      </w:r>
      <w:r w:rsidRPr="00D816B7">
        <w:rPr>
          <w:rtl/>
        </w:rPr>
        <w:t xml:space="preserve"> הדליפה, </w:t>
      </w:r>
      <w:r w:rsidRPr="00D816B7">
        <w:rPr>
          <w:rFonts w:hint="eastAsia"/>
          <w:rtl/>
        </w:rPr>
        <w:t>הרי</w:t>
      </w:r>
      <w:r w:rsidRPr="00D816B7">
        <w:rPr>
          <w:rtl/>
        </w:rPr>
        <w:t xml:space="preserve"> שאילו </w:t>
      </w:r>
      <w:r w:rsidRPr="00D816B7">
        <w:rPr>
          <w:rFonts w:hint="eastAsia"/>
          <w:rtl/>
        </w:rPr>
        <w:t>היה</w:t>
      </w:r>
      <w:r w:rsidRPr="00D816B7">
        <w:rPr>
          <w:rtl/>
        </w:rPr>
        <w:t xml:space="preserve"> עולה כי אלו הופרו, </w:t>
      </w:r>
      <w:r w:rsidRPr="00D816B7">
        <w:rPr>
          <w:rFonts w:hint="eastAsia"/>
          <w:rtl/>
        </w:rPr>
        <w:t>היה</w:t>
      </w:r>
      <w:r w:rsidRPr="00D816B7">
        <w:rPr>
          <w:rtl/>
        </w:rPr>
        <w:t xml:space="preserve"> </w:t>
      </w:r>
      <w:r w:rsidRPr="00D816B7">
        <w:rPr>
          <w:rFonts w:hint="eastAsia"/>
          <w:rtl/>
        </w:rPr>
        <w:t>המשרד</w:t>
      </w:r>
      <w:r w:rsidRPr="00D816B7">
        <w:rPr>
          <w:rtl/>
        </w:rPr>
        <w:t xml:space="preserve"> </w:t>
      </w:r>
      <w:r w:rsidRPr="00D816B7">
        <w:rPr>
          <w:rFonts w:hint="eastAsia"/>
          <w:rtl/>
        </w:rPr>
        <w:t>להג</w:t>
      </w:r>
      <w:r w:rsidRPr="00D816B7">
        <w:rPr>
          <w:rtl/>
        </w:rPr>
        <w:t>"ס</w:t>
      </w:r>
      <w:r w:rsidRPr="00D816B7">
        <w:rPr>
          <w:rtl/>
        </w:rPr>
        <w:t xml:space="preserve"> </w:t>
      </w:r>
      <w:r w:rsidRPr="00D816B7">
        <w:rPr>
          <w:rFonts w:hint="eastAsia"/>
          <w:rtl/>
        </w:rPr>
        <w:t>יכול</w:t>
      </w:r>
      <w:r w:rsidRPr="00D816B7">
        <w:rPr>
          <w:rtl/>
        </w:rPr>
        <w:t xml:space="preserve"> לבצע אכיפה </w:t>
      </w:r>
      <w:r w:rsidRPr="00D816B7">
        <w:rPr>
          <w:rFonts w:hint="eastAsia"/>
          <w:rtl/>
        </w:rPr>
        <w:t>ביחס</w:t>
      </w:r>
      <w:r w:rsidRPr="00D816B7">
        <w:rPr>
          <w:rtl/>
        </w:rPr>
        <w:t xml:space="preserve"> לדליפה </w:t>
      </w:r>
      <w:r w:rsidRPr="00D816B7">
        <w:rPr>
          <w:rFonts w:hint="eastAsia"/>
          <w:rtl/>
        </w:rPr>
        <w:t>גם</w:t>
      </w:r>
      <w:r w:rsidRPr="00D816B7">
        <w:rPr>
          <w:rtl/>
        </w:rPr>
        <w:t xml:space="preserve"> </w:t>
      </w:r>
      <w:r w:rsidRPr="00D816B7">
        <w:rPr>
          <w:rFonts w:hint="eastAsia"/>
          <w:rtl/>
        </w:rPr>
        <w:t>בהתאם</w:t>
      </w:r>
      <w:r w:rsidRPr="00D816B7">
        <w:rPr>
          <w:rtl/>
        </w:rPr>
        <w:t xml:space="preserve"> </w:t>
      </w:r>
      <w:r w:rsidRPr="00D816B7">
        <w:rPr>
          <w:rFonts w:hint="eastAsia"/>
          <w:rtl/>
        </w:rPr>
        <w:t>לחוק</w:t>
      </w:r>
      <w:r w:rsidRPr="00D816B7">
        <w:rPr>
          <w:rtl/>
        </w:rPr>
        <w:t xml:space="preserve"> </w:t>
      </w:r>
      <w:r w:rsidRPr="00D816B7">
        <w:rPr>
          <w:rFonts w:hint="eastAsia"/>
          <w:rtl/>
        </w:rPr>
        <w:t>רישוי</w:t>
      </w:r>
      <w:r w:rsidRPr="00D816B7">
        <w:rPr>
          <w:rtl/>
        </w:rPr>
        <w:t xml:space="preserve"> </w:t>
      </w:r>
      <w:r w:rsidRPr="00D816B7">
        <w:rPr>
          <w:rFonts w:hint="eastAsia"/>
          <w:rtl/>
        </w:rPr>
        <w:t>עסקים</w:t>
      </w:r>
      <w:r w:rsidRPr="00D816B7">
        <w:rPr>
          <w:rtl/>
        </w:rPr>
        <w:t xml:space="preserve">. </w:t>
      </w:r>
      <w:r w:rsidRPr="00D816B7">
        <w:rPr>
          <w:rFonts w:hint="eastAsia"/>
          <w:rtl/>
        </w:rPr>
        <w:t>שימוש</w:t>
      </w:r>
      <w:r w:rsidRPr="00D816B7">
        <w:rPr>
          <w:rtl/>
        </w:rPr>
        <w:t xml:space="preserve"> </w:t>
      </w:r>
      <w:r w:rsidRPr="00D816B7">
        <w:rPr>
          <w:rFonts w:hint="eastAsia"/>
          <w:rtl/>
        </w:rPr>
        <w:t>המשרד</w:t>
      </w:r>
      <w:r w:rsidRPr="00D816B7">
        <w:rPr>
          <w:rtl/>
        </w:rPr>
        <w:t xml:space="preserve"> </w:t>
      </w:r>
      <w:r w:rsidRPr="00D816B7">
        <w:rPr>
          <w:rtl/>
        </w:rPr>
        <w:t>להג"ס</w:t>
      </w:r>
      <w:r w:rsidRPr="00D816B7">
        <w:rPr>
          <w:rtl/>
        </w:rPr>
        <w:t xml:space="preserve"> בדוגמה זו, </w:t>
      </w:r>
      <w:r w:rsidRPr="00D816B7">
        <w:rPr>
          <w:rFonts w:hint="eastAsia"/>
          <w:rtl/>
        </w:rPr>
        <w:t>כדי</w:t>
      </w:r>
      <w:r w:rsidRPr="00D816B7">
        <w:rPr>
          <w:rtl/>
        </w:rPr>
        <w:t xml:space="preserve"> להבהיר שיש בידיו סמכויות אכיפה מספקות, </w:t>
      </w:r>
      <w:r w:rsidRPr="00D816B7">
        <w:rPr>
          <w:rFonts w:hint="eastAsia"/>
          <w:rtl/>
        </w:rPr>
        <w:t>היא</w:t>
      </w:r>
      <w:r w:rsidRPr="00D816B7">
        <w:rPr>
          <w:rtl/>
        </w:rPr>
        <w:t xml:space="preserve"> בעייתית, שכן גם </w:t>
      </w:r>
      <w:r w:rsidRPr="00D816B7">
        <w:rPr>
          <w:rFonts w:hint="eastAsia"/>
          <w:rtl/>
        </w:rPr>
        <w:t>יותר</w:t>
      </w:r>
      <w:r w:rsidRPr="00D816B7">
        <w:rPr>
          <w:rtl/>
        </w:rPr>
        <w:t xml:space="preserve"> </w:t>
      </w:r>
      <w:r w:rsidRPr="00D816B7">
        <w:rPr>
          <w:rFonts w:hint="eastAsia"/>
          <w:rtl/>
        </w:rPr>
        <w:t>מ</w:t>
      </w:r>
      <w:r w:rsidRPr="00D816B7">
        <w:rPr>
          <w:rtl/>
        </w:rPr>
        <w:t xml:space="preserve">שנתיים </w:t>
      </w:r>
      <w:r w:rsidRPr="00D816B7">
        <w:rPr>
          <w:rFonts w:hint="eastAsia"/>
          <w:rtl/>
        </w:rPr>
        <w:t>וחצי</w:t>
      </w:r>
      <w:r w:rsidRPr="00D816B7">
        <w:rPr>
          <w:rtl/>
        </w:rPr>
        <w:t xml:space="preserve"> </w:t>
      </w:r>
      <w:r w:rsidRPr="00D816B7">
        <w:rPr>
          <w:rFonts w:hint="eastAsia"/>
          <w:rtl/>
        </w:rPr>
        <w:t>לאחר</w:t>
      </w:r>
      <w:r w:rsidRPr="00D816B7">
        <w:rPr>
          <w:rtl/>
        </w:rPr>
        <w:t xml:space="preserve"> </w:t>
      </w:r>
      <w:r w:rsidRPr="00D816B7">
        <w:rPr>
          <w:rFonts w:hint="eastAsia"/>
          <w:rtl/>
        </w:rPr>
        <w:t>אירוע</w:t>
      </w:r>
      <w:r w:rsidRPr="00D816B7">
        <w:rPr>
          <w:rtl/>
        </w:rPr>
        <w:t xml:space="preserve"> הדליפה </w:t>
      </w:r>
      <w:r w:rsidRPr="00D816B7">
        <w:rPr>
          <w:rFonts w:hint="eastAsia"/>
          <w:rtl/>
        </w:rPr>
        <w:t>המשרד</w:t>
      </w:r>
      <w:r w:rsidRPr="00D816B7">
        <w:rPr>
          <w:rtl/>
        </w:rPr>
        <w:t xml:space="preserve"> </w:t>
      </w:r>
      <w:r w:rsidRPr="00D816B7">
        <w:rPr>
          <w:rFonts w:hint="eastAsia"/>
          <w:rtl/>
        </w:rPr>
        <w:t>להג</w:t>
      </w:r>
      <w:r w:rsidRPr="00D816B7">
        <w:rPr>
          <w:rtl/>
        </w:rPr>
        <w:t>"ס</w:t>
      </w:r>
      <w:r w:rsidRPr="00D816B7">
        <w:rPr>
          <w:rtl/>
        </w:rPr>
        <w:t xml:space="preserve"> טרם החליט </w:t>
      </w:r>
      <w:r w:rsidRPr="00D816B7">
        <w:rPr>
          <w:rFonts w:hint="eastAsia"/>
          <w:rtl/>
        </w:rPr>
        <w:t>אם</w:t>
      </w:r>
      <w:r w:rsidRPr="00D816B7">
        <w:rPr>
          <w:rtl/>
        </w:rPr>
        <w:t xml:space="preserve"> להגיש כתב אישום או לא. </w:t>
      </w:r>
    </w:p>
    <w:p w:rsidR="006734B0" w:rsidRPr="00BA3A6F" w:rsidP="00D816B7" w14:paraId="36936B57" w14:textId="77777777">
      <w:pPr>
        <w:pStyle w:val="7392"/>
        <w:rPr>
          <w:rFonts w:asciiTheme="minorBidi" w:hAnsiTheme="minorBidi"/>
          <w:rtl/>
        </w:rPr>
      </w:pPr>
      <w:r w:rsidRPr="00134E29">
        <w:rPr>
          <w:rFonts w:hint="eastAsia"/>
          <w:rtl/>
        </w:rPr>
        <w:t>ב</w:t>
      </w:r>
      <w:r>
        <w:rPr>
          <w:rFonts w:hint="cs"/>
          <w:rtl/>
        </w:rPr>
        <w:t xml:space="preserve">כל הנוגע לתשובת </w:t>
      </w:r>
      <w:r>
        <w:rPr>
          <w:rFonts w:hint="cs"/>
          <w:rtl/>
        </w:rPr>
        <w:t>מי"ה</w:t>
      </w:r>
      <w:r>
        <w:rPr>
          <w:rFonts w:hint="cs"/>
          <w:rtl/>
        </w:rPr>
        <w:t xml:space="preserve">, מציין משרד מבקר המדינה כי לגבי פרויקטים רבים נדרש להגיש תסקיר השפעה על הסביבה </w:t>
      </w:r>
      <w:r w:rsidRPr="006F6C95">
        <w:rPr>
          <w:rFonts w:hint="cs"/>
          <w:rtl/>
        </w:rPr>
        <w:t>במסגרת ההליך התכנוני, ואולם הגשת התסקיר אינו חלופה ל</w:t>
      </w:r>
      <w:r>
        <w:rPr>
          <w:rFonts w:hint="cs"/>
          <w:rtl/>
        </w:rPr>
        <w:t xml:space="preserve">קביעת </w:t>
      </w:r>
      <w:r w:rsidRPr="006F6C95">
        <w:rPr>
          <w:rFonts w:hint="cs"/>
          <w:rtl/>
        </w:rPr>
        <w:t xml:space="preserve">תנאים ברישיון עסק לתפעול הפרויקט. זאת ועוד, </w:t>
      </w:r>
      <w:r w:rsidRPr="005526D6">
        <w:rPr>
          <w:rFonts w:hint="cs"/>
          <w:rtl/>
        </w:rPr>
        <w:t xml:space="preserve">מקריאת התסקיר שהגישה </w:t>
      </w:r>
      <w:r w:rsidRPr="005526D6">
        <w:rPr>
          <w:rFonts w:hint="cs"/>
          <w:rtl/>
        </w:rPr>
        <w:t>מי"ה</w:t>
      </w:r>
      <w:r w:rsidRPr="005526D6">
        <w:rPr>
          <w:rFonts w:hint="cs"/>
          <w:rtl/>
        </w:rPr>
        <w:t xml:space="preserve"> עולה כי </w:t>
      </w:r>
      <w:r>
        <w:rPr>
          <w:rFonts w:hint="cs"/>
          <w:rtl/>
        </w:rPr>
        <w:t xml:space="preserve">בתסקיר </w:t>
      </w:r>
      <w:r w:rsidRPr="005526D6">
        <w:rPr>
          <w:rFonts w:hint="cs"/>
          <w:rtl/>
        </w:rPr>
        <w:t xml:space="preserve">לא </w:t>
      </w:r>
      <w:r>
        <w:rPr>
          <w:rFonts w:hint="cs"/>
          <w:rtl/>
        </w:rPr>
        <w:t>נבחנו</w:t>
      </w:r>
      <w:r w:rsidRPr="005526D6">
        <w:rPr>
          <w:rFonts w:hint="cs"/>
          <w:rtl/>
        </w:rPr>
        <w:t xml:space="preserve"> סוגיית איטום התעלה, ההיתכנות לקיומן של דליפות מהתעלה והאמצעים שיש לנקוט כדי למנוע דליפות אלו. </w:t>
      </w:r>
      <w:r>
        <w:rPr>
          <w:rFonts w:hint="cs"/>
          <w:rtl/>
        </w:rPr>
        <w:t xml:space="preserve">אשר לטענת </w:t>
      </w:r>
      <w:r>
        <w:rPr>
          <w:rFonts w:hint="cs"/>
          <w:rtl/>
        </w:rPr>
        <w:t>מי"ה</w:t>
      </w:r>
      <w:r>
        <w:rPr>
          <w:rFonts w:hint="cs"/>
          <w:rtl/>
        </w:rPr>
        <w:t xml:space="preserve"> כי לא היה ניתן למנוע את הדליפה וכי מדובר בחכמה בדיעבד, מציין משרד מבקר </w:t>
      </w:r>
      <w:r w:rsidRPr="00DA37F9">
        <w:rPr>
          <w:rFonts w:hint="cs"/>
          <w:rtl/>
        </w:rPr>
        <w:t xml:space="preserve">המדינה, </w:t>
      </w:r>
      <w:r w:rsidRPr="00DA37F9">
        <w:rPr>
          <w:rFonts w:hint="eastAsia"/>
          <w:rtl/>
        </w:rPr>
        <w:t>בלי</w:t>
      </w:r>
      <w:r w:rsidRPr="00DA37F9">
        <w:rPr>
          <w:rtl/>
        </w:rPr>
        <w:t xml:space="preserve"> </w:t>
      </w:r>
      <w:r w:rsidRPr="00DA37F9">
        <w:rPr>
          <w:rFonts w:hint="eastAsia"/>
          <w:rtl/>
        </w:rPr>
        <w:t>לקבוע</w:t>
      </w:r>
      <w:r w:rsidRPr="00DA37F9">
        <w:rPr>
          <w:rtl/>
        </w:rPr>
        <w:t xml:space="preserve"> </w:t>
      </w:r>
      <w:r w:rsidRPr="00DA37F9">
        <w:rPr>
          <w:rFonts w:hint="eastAsia"/>
          <w:rtl/>
        </w:rPr>
        <w:t>מסמרות</w:t>
      </w:r>
      <w:r w:rsidRPr="00DA37F9">
        <w:rPr>
          <w:rtl/>
        </w:rPr>
        <w:t xml:space="preserve"> בנושא, כי</w:t>
      </w:r>
      <w:r w:rsidRPr="00DA37F9">
        <w:rPr>
          <w:rFonts w:hint="cs"/>
          <w:rtl/>
        </w:rPr>
        <w:t xml:space="preserve"> עיון</w:t>
      </w:r>
      <w:r>
        <w:rPr>
          <w:rFonts w:hint="cs"/>
          <w:rtl/>
        </w:rPr>
        <w:t xml:space="preserve"> במסמכים שהוגשו במסגרת הליך הוצאת היתרי הבנייה מלמדים על </w:t>
      </w:r>
      <w:r w:rsidRPr="005526D6">
        <w:rPr>
          <w:rFonts w:hint="cs"/>
          <w:rtl/>
        </w:rPr>
        <w:t xml:space="preserve">כך </w:t>
      </w:r>
      <w:r w:rsidRPr="005526D6">
        <w:rPr>
          <w:rFonts w:hint="cs"/>
          <w:rtl/>
        </w:rPr>
        <w:t>שרט"ג</w:t>
      </w:r>
      <w:r w:rsidRPr="005526D6">
        <w:rPr>
          <w:rFonts w:hint="cs"/>
          <w:rtl/>
        </w:rPr>
        <w:t xml:space="preserve"> העלתה חשש </w:t>
      </w:r>
      <w:r>
        <w:rPr>
          <w:rFonts w:hint="cs"/>
          <w:rtl/>
        </w:rPr>
        <w:t>ו</w:t>
      </w:r>
      <w:r w:rsidRPr="005526D6">
        <w:rPr>
          <w:rFonts w:hint="cs"/>
          <w:rtl/>
        </w:rPr>
        <w:t>לפיו מי ים המלח ידלפו מהתעלה ויפגעו במניפת הסחף</w:t>
      </w:r>
      <w:r w:rsidRPr="005A6CBB">
        <w:rPr>
          <w:rFonts w:hint="cs"/>
          <w:rtl/>
        </w:rPr>
        <w:t xml:space="preserve">, בפרט נוכח </w:t>
      </w:r>
      <w:r w:rsidRPr="00DA37F9">
        <w:rPr>
          <w:rFonts w:hint="cs"/>
          <w:rtl/>
        </w:rPr>
        <w:t xml:space="preserve">העובדה שהיו בעבר דליפות מתעלת ההזנה המקורית, ואף הציגה חוות דעת מקצועית </w:t>
      </w:r>
      <w:r>
        <w:rPr>
          <w:rFonts w:hint="cs"/>
          <w:rtl/>
        </w:rPr>
        <w:t>ו</w:t>
      </w:r>
      <w:r w:rsidRPr="00DA37F9">
        <w:rPr>
          <w:rFonts w:hint="cs"/>
          <w:rtl/>
        </w:rPr>
        <w:t>לפיה יש לבצע איטום של התעלה ביריעות. הצעה זו לא התקבלה</w:t>
      </w:r>
      <w:r>
        <w:rPr>
          <w:rFonts w:hint="cs"/>
          <w:rtl/>
        </w:rPr>
        <w:t>,</w:t>
      </w:r>
      <w:r w:rsidRPr="00DA37F9">
        <w:rPr>
          <w:rFonts w:hint="cs"/>
          <w:rtl/>
        </w:rPr>
        <w:t xml:space="preserve"> בין השאר מאחר </w:t>
      </w:r>
      <w:r w:rsidRPr="00DA37F9">
        <w:rPr>
          <w:rFonts w:hint="cs"/>
          <w:rtl/>
        </w:rPr>
        <w:t>שמי"ה</w:t>
      </w:r>
      <w:r w:rsidRPr="00DA37F9">
        <w:rPr>
          <w:rFonts w:hint="cs"/>
          <w:rtl/>
        </w:rPr>
        <w:t xml:space="preserve"> טענה כי אין בה צורך; </w:t>
      </w:r>
      <w:r w:rsidRPr="00DA37F9">
        <w:rPr>
          <w:rFonts w:hint="eastAsia"/>
          <w:rtl/>
        </w:rPr>
        <w:t>כי</w:t>
      </w:r>
      <w:r w:rsidRPr="00DA37F9">
        <w:rPr>
          <w:rtl/>
        </w:rPr>
        <w:t xml:space="preserve"> </w:t>
      </w:r>
      <w:r w:rsidRPr="00DA37F9">
        <w:rPr>
          <w:rFonts w:hint="eastAsia"/>
          <w:rtl/>
        </w:rPr>
        <w:t>היא</w:t>
      </w:r>
      <w:r>
        <w:rPr>
          <w:rFonts w:hint="cs"/>
          <w:rtl/>
        </w:rPr>
        <w:t xml:space="preserve"> </w:t>
      </w:r>
      <w:r w:rsidRPr="005526D6">
        <w:rPr>
          <w:rFonts w:hint="cs"/>
          <w:rtl/>
        </w:rPr>
        <w:t xml:space="preserve">אינה אפשרית; ואף עלולה להביא לסיכון של עליית מי תהום. </w:t>
      </w:r>
      <w:r w:rsidRPr="005A6CBB">
        <w:rPr>
          <w:rFonts w:hint="cs"/>
          <w:rtl/>
        </w:rPr>
        <w:t>ואולם,</w:t>
      </w:r>
      <w:r w:rsidRPr="005A6CBB">
        <w:rPr>
          <w:rFonts w:asciiTheme="minorBidi" w:hAnsiTheme="minorBidi" w:hint="cs"/>
          <w:rtl/>
        </w:rPr>
        <w:t xml:space="preserve"> לאחר אירוע הדליפה ביצעה </w:t>
      </w:r>
      <w:r w:rsidRPr="005A6CBB">
        <w:rPr>
          <w:rFonts w:asciiTheme="minorBidi" w:hAnsiTheme="minorBidi" w:hint="cs"/>
          <w:rtl/>
        </w:rPr>
        <w:t>מי"ה</w:t>
      </w:r>
      <w:r w:rsidRPr="005A6CBB">
        <w:rPr>
          <w:rFonts w:asciiTheme="minorBidi" w:hAnsiTheme="minorBidi" w:hint="cs"/>
          <w:rtl/>
        </w:rPr>
        <w:t xml:space="preserve"> איטום</w:t>
      </w:r>
      <w:r>
        <w:rPr>
          <w:rFonts w:asciiTheme="minorBidi" w:hAnsiTheme="minorBidi" w:hint="cs"/>
          <w:rtl/>
        </w:rPr>
        <w:t xml:space="preserve"> של התעלה באמצעות היריעות, דבר העשוי להעיד על כך שפעולה זו הייתה אפשרית מלכתחילה. </w:t>
      </w:r>
    </w:p>
    <w:p w:rsidR="006734B0" w:rsidP="00D816B7" w14:paraId="5089B8C7" w14:textId="145D8E52">
      <w:pPr>
        <w:pStyle w:val="7318"/>
        <w:rPr>
          <w:rtl/>
        </w:rPr>
      </w:pPr>
      <w:r w:rsidRPr="00D816B7">
        <w:rPr>
          <w:rFonts w:hint="cs"/>
          <w:rtl/>
        </w:rPr>
        <w:t xml:space="preserve">כמתואר לעיל, הדליפה מתעלת ההזנה גרמה נזק אקולוגי חמור למניפת נחל צאלים. לדעת משרד מבקר המדינה תשובותיהם של המשרד </w:t>
      </w:r>
      <w:r w:rsidRPr="00D816B7">
        <w:rPr>
          <w:rFonts w:hint="cs"/>
          <w:rtl/>
        </w:rPr>
        <w:t>להג"ס</w:t>
      </w:r>
      <w:r w:rsidRPr="00D816B7">
        <w:rPr>
          <w:rFonts w:hint="cs"/>
          <w:rtl/>
        </w:rPr>
        <w:t xml:space="preserve"> ושל </w:t>
      </w:r>
      <w:r w:rsidRPr="00D816B7">
        <w:rPr>
          <w:rFonts w:hint="cs"/>
          <w:rtl/>
        </w:rPr>
        <w:t>מי"ה</w:t>
      </w:r>
      <w:r w:rsidRPr="00D816B7">
        <w:rPr>
          <w:rFonts w:hint="cs"/>
          <w:rtl/>
        </w:rPr>
        <w:t xml:space="preserve"> בעניין הליקויים המוצגים בדוח זה </w:t>
      </w:r>
      <w:r w:rsidR="008F1AF7">
        <w:rPr>
          <w:rFonts w:hint="cs"/>
          <w:rtl/>
        </w:rPr>
        <w:t>ו</w:t>
      </w:r>
      <w:r w:rsidRPr="00D816B7">
        <w:rPr>
          <w:rFonts w:hint="cs"/>
          <w:rtl/>
        </w:rPr>
        <w:t>התנאים ברישיון העסק לגבי תעלת ההזנה שנקבעו לאחר סיום תקופת הביקורת רק מחדד</w:t>
      </w:r>
      <w:r w:rsidR="008F1AF7">
        <w:rPr>
          <w:rFonts w:hint="cs"/>
          <w:rtl/>
        </w:rPr>
        <w:t>ים</w:t>
      </w:r>
      <w:r w:rsidRPr="00D816B7">
        <w:rPr>
          <w:rFonts w:hint="cs"/>
          <w:rtl/>
        </w:rPr>
        <w:t xml:space="preserve"> את הפער שהיה קיים בכל הנוגע לאסדרה הסביבתית ברישיון העסק של </w:t>
      </w:r>
      <w:r w:rsidRPr="00D816B7">
        <w:rPr>
          <w:rFonts w:hint="cs"/>
          <w:rtl/>
        </w:rPr>
        <w:t>מי"ה</w:t>
      </w:r>
      <w:r w:rsidRPr="00D816B7">
        <w:rPr>
          <w:rFonts w:hint="cs"/>
          <w:rtl/>
        </w:rPr>
        <w:t xml:space="preserve"> לגבי תעלת ההזנה</w:t>
      </w:r>
      <w:r>
        <w:rPr>
          <w:rFonts w:hint="cs"/>
          <w:rtl/>
        </w:rPr>
        <w:t xml:space="preserve">. </w:t>
      </w:r>
    </w:p>
    <w:p w:rsidR="006734B0" w:rsidRPr="00D816B7" w:rsidP="00D816B7" w14:paraId="4E8291C5" w14:textId="6429974F">
      <w:pPr>
        <w:pStyle w:val="7318"/>
        <w:rPr>
          <w:rtl/>
        </w:rPr>
      </w:pPr>
      <w:r w:rsidRPr="00D816B7">
        <w:rPr>
          <w:rFonts w:hint="cs"/>
          <w:rtl/>
        </w:rPr>
        <w:t xml:space="preserve">על המשרד </w:t>
      </w:r>
      <w:r w:rsidRPr="00D816B7">
        <w:rPr>
          <w:rFonts w:hint="cs"/>
          <w:rtl/>
        </w:rPr>
        <w:t>להג"ס</w:t>
      </w:r>
      <w:r w:rsidRPr="00D816B7">
        <w:rPr>
          <w:rFonts w:hint="cs"/>
          <w:rtl/>
        </w:rPr>
        <w:t xml:space="preserve"> לקבל החלטה, בהמשך לשימוע שערך, </w:t>
      </w:r>
      <w:r w:rsidRPr="00D816B7">
        <w:rPr>
          <w:rFonts w:hint="eastAsia"/>
          <w:rtl/>
        </w:rPr>
        <w:t>בנוגע</w:t>
      </w:r>
      <w:r w:rsidRPr="00D816B7">
        <w:rPr>
          <w:rtl/>
        </w:rPr>
        <w:t xml:space="preserve"> ל</w:t>
      </w:r>
      <w:r w:rsidRPr="00D816B7">
        <w:rPr>
          <w:rFonts w:hint="cs"/>
          <w:rtl/>
        </w:rPr>
        <w:t xml:space="preserve">נקיטת צעדי אכיפה </w:t>
      </w:r>
      <w:r w:rsidRPr="00D816B7">
        <w:rPr>
          <w:rFonts w:hint="eastAsia"/>
          <w:rtl/>
        </w:rPr>
        <w:t>בגין</w:t>
      </w:r>
      <w:r w:rsidRPr="00D816B7">
        <w:rPr>
          <w:rtl/>
        </w:rPr>
        <w:t xml:space="preserve"> </w:t>
      </w:r>
      <w:r w:rsidRPr="00D816B7">
        <w:rPr>
          <w:rFonts w:hint="eastAsia"/>
          <w:rtl/>
        </w:rPr>
        <w:t>ה</w:t>
      </w:r>
      <w:r w:rsidRPr="00D816B7">
        <w:rPr>
          <w:rFonts w:hint="cs"/>
          <w:rtl/>
        </w:rPr>
        <w:t xml:space="preserve">דליפה שאירעה במניפת נחל צאלים, בפרט מאחר שעברו יותר משנתיים וחצי מהתרחשותה. </w:t>
      </w:r>
    </w:p>
    <w:p w:rsidR="008F1AF7" w:rsidRPr="008F1AF7" w:rsidP="00C31C71" w14:paraId="35D95188" w14:textId="77777777">
      <w:pPr>
        <w:spacing w:before="240" w:after="120"/>
        <w:jc w:val="center"/>
        <w:rPr>
          <w:rFonts w:ascii="Tahoma" w:hAnsi="Tahoma" w:cs="Tahoma"/>
          <w:sz w:val="18"/>
          <w:szCs w:val="18"/>
          <w:rtl/>
        </w:rPr>
      </w:pPr>
      <w:bookmarkStart w:id="30" w:name="tempMark"/>
      <w:bookmarkEnd w:id="30"/>
      <w:r w:rsidRPr="008F1AF7">
        <w:rPr>
          <w:rFonts w:ascii="Wingdings" w:hAnsi="Wingdings" w:cs="Tahoma"/>
          <w:sz w:val="18"/>
          <w:szCs w:val="18"/>
        </w:rPr>
        <w:sym w:font="Wingdings" w:char="F076"/>
      </w:r>
    </w:p>
    <w:p w:rsidR="006734B0" w:rsidP="00D816B7" w14:paraId="021F067D" w14:textId="643E323A">
      <w:pPr>
        <w:pStyle w:val="7392"/>
        <w:rPr>
          <w:rtl/>
        </w:rPr>
      </w:pPr>
      <w:r>
        <w:rPr>
          <w:rFonts w:hint="cs"/>
          <w:rtl/>
        </w:rPr>
        <w:t xml:space="preserve">המשרד </w:t>
      </w:r>
      <w:r>
        <w:rPr>
          <w:rFonts w:hint="cs"/>
          <w:rtl/>
        </w:rPr>
        <w:t>להג"ס</w:t>
      </w:r>
      <w:r>
        <w:rPr>
          <w:rFonts w:hint="cs"/>
          <w:rtl/>
        </w:rPr>
        <w:t xml:space="preserve"> מסר למשרד מבקר המדינה במהלך הביקורת כי </w:t>
      </w:r>
      <w:r w:rsidRPr="00B70EC6">
        <w:rPr>
          <w:rtl/>
        </w:rPr>
        <w:t>הפעילות התעשייתית שמתקיימת ב</w:t>
      </w:r>
      <w:r>
        <w:rPr>
          <w:rFonts w:hint="cs"/>
          <w:rtl/>
        </w:rPr>
        <w:t>תחום</w:t>
      </w:r>
      <w:r w:rsidRPr="00B70EC6">
        <w:rPr>
          <w:rtl/>
        </w:rPr>
        <w:t xml:space="preserve"> הזיכיון, מחוץ ל</w:t>
      </w:r>
      <w:r>
        <w:rPr>
          <w:rFonts w:hint="cs"/>
          <w:rtl/>
        </w:rPr>
        <w:t>שטח</w:t>
      </w:r>
      <w:r w:rsidRPr="00B70EC6">
        <w:rPr>
          <w:rtl/>
        </w:rPr>
        <w:t xml:space="preserve"> המפעלים, </w:t>
      </w:r>
      <w:r>
        <w:rPr>
          <w:rFonts w:hint="cs"/>
          <w:rtl/>
        </w:rPr>
        <w:t xml:space="preserve">לא הוסדרה עד כה </w:t>
      </w:r>
      <w:r w:rsidRPr="00B70EC6">
        <w:rPr>
          <w:rtl/>
        </w:rPr>
        <w:t>מבחינת רישוי עסקים</w:t>
      </w:r>
      <w:r>
        <w:rPr>
          <w:rFonts w:hint="cs"/>
          <w:rtl/>
        </w:rPr>
        <w:t xml:space="preserve">, וכי לחלק מהמתקנים קיימת אסדרה סביבתית אחרת, אך אין מדובר באסדרה חלופית לאסדרה באמצעות רישיון עסק. עוד מסר המשרד כי לא קיימת אסדרה סביבתית מסוג היתר רעלים והיתר פליטה מחוץ לשטח המפעלים. </w:t>
      </w:r>
    </w:p>
    <w:p w:rsidR="006734B0" w:rsidP="00D816B7" w14:paraId="7B48ADAB" w14:textId="13882A43">
      <w:pPr>
        <w:pStyle w:val="7392"/>
        <w:rPr>
          <w:rtl/>
        </w:rPr>
      </w:pPr>
      <w:r>
        <w:rPr>
          <w:rFonts w:hint="cs"/>
          <w:rtl/>
        </w:rPr>
        <w:t xml:space="preserve">גם </w:t>
      </w:r>
      <w:r w:rsidR="008F1AF7">
        <w:rPr>
          <w:rFonts w:hint="cs"/>
          <w:rtl/>
        </w:rPr>
        <w:t>ב</w:t>
      </w:r>
      <w:r w:rsidRPr="008D3A1D">
        <w:rPr>
          <w:rFonts w:hint="cs"/>
          <w:rtl/>
        </w:rPr>
        <w:t xml:space="preserve">מסמכים שפרסם המשרד </w:t>
      </w:r>
      <w:r w:rsidRPr="008D3A1D">
        <w:rPr>
          <w:rFonts w:hint="cs"/>
          <w:rtl/>
        </w:rPr>
        <w:t>להג"ס</w:t>
      </w:r>
      <w:r w:rsidRPr="008D3A1D">
        <w:rPr>
          <w:rFonts w:hint="cs"/>
          <w:rtl/>
        </w:rPr>
        <w:t xml:space="preserve"> במהלך תקופת הביקורת צוין כי "תהליך הפקת המינרלים בשטח הזיכיון כולל מאות תשתיות תעשייתיות </w:t>
      </w:r>
      <w:r w:rsidRPr="00B45ACE">
        <w:rPr>
          <w:rFonts w:hint="cs"/>
          <w:b/>
          <w:bCs/>
          <w:rtl/>
        </w:rPr>
        <w:t>בעלות פוטנציאל פגיעה בסביבה</w:t>
      </w:r>
      <w:r w:rsidRPr="008D3A1D">
        <w:rPr>
          <w:rFonts w:hint="cs"/>
          <w:rtl/>
        </w:rPr>
        <w:t>.</w:t>
      </w:r>
      <w:r>
        <w:rPr>
          <w:rFonts w:hint="cs"/>
          <w:b/>
          <w:bCs/>
          <w:rtl/>
        </w:rPr>
        <w:t xml:space="preserve"> </w:t>
      </w:r>
      <w:r>
        <w:rPr>
          <w:rFonts w:hint="cs"/>
          <w:rtl/>
        </w:rPr>
        <w:t xml:space="preserve">חלק מהתשתיות הנמצאות מחוץ לתחומי המפעלים </w:t>
      </w:r>
      <w:r>
        <w:rPr>
          <w:rFonts w:hint="cs"/>
          <w:b/>
          <w:bCs/>
          <w:rtl/>
        </w:rPr>
        <w:t xml:space="preserve">לא </w:t>
      </w:r>
      <w:r w:rsidRPr="008D3A1D">
        <w:rPr>
          <w:rFonts w:hint="cs"/>
          <w:rtl/>
        </w:rPr>
        <w:t>נכללו</w:t>
      </w:r>
      <w:r>
        <w:rPr>
          <w:rFonts w:hint="cs"/>
          <w:rtl/>
        </w:rPr>
        <w:t xml:space="preserve"> עד היום </w:t>
      </w:r>
      <w:r>
        <w:rPr>
          <w:rFonts w:hint="cs"/>
          <w:b/>
          <w:bCs/>
          <w:rtl/>
        </w:rPr>
        <w:t xml:space="preserve">תחת רישיון </w:t>
      </w:r>
      <w:r w:rsidRPr="008D3A1D">
        <w:rPr>
          <w:rFonts w:hint="cs"/>
          <w:rtl/>
        </w:rPr>
        <w:t>והיתרים</w:t>
      </w:r>
      <w:r>
        <w:rPr>
          <w:rFonts w:hint="cs"/>
          <w:rtl/>
        </w:rPr>
        <w:t>...</w:t>
      </w:r>
      <w:r w:rsidR="00B92DE5">
        <w:rPr>
          <w:rFonts w:hint="cs"/>
          <w:rtl/>
        </w:rPr>
        <w:t xml:space="preserve"> </w:t>
      </w:r>
      <w:r>
        <w:rPr>
          <w:rFonts w:hint="cs"/>
          <w:rtl/>
        </w:rPr>
        <w:t xml:space="preserve">על מנת לצמצם ולמנוע מפגעים בסביבה יש צורך </w:t>
      </w:r>
      <w:r>
        <w:rPr>
          <w:rFonts w:hint="cs"/>
          <w:rtl/>
        </w:rPr>
        <w:t>באסדרת</w:t>
      </w:r>
      <w:r>
        <w:rPr>
          <w:rFonts w:hint="cs"/>
          <w:rtl/>
        </w:rPr>
        <w:t xml:space="preserve"> הפעילות התעשייתית בכל שטח הזיכיון" (ההדגשות במקור). </w:t>
      </w:r>
    </w:p>
    <w:p w:rsidR="006734B0" w:rsidRPr="00D816B7" w:rsidP="00D816B7" w14:paraId="2E3B652C" w14:textId="77777777">
      <w:pPr>
        <w:pStyle w:val="7318"/>
      </w:pPr>
      <w:r w:rsidRPr="00D816B7">
        <w:rPr>
          <w:rFonts w:hint="cs"/>
          <w:rtl/>
        </w:rPr>
        <w:t>מהאמור עולה כי עד למועד סיום הביקורת</w:t>
      </w:r>
      <w:r>
        <w:rPr>
          <w:vertAlign w:val="superscript"/>
          <w:rtl/>
        </w:rPr>
        <w:footnoteReference w:id="30"/>
      </w:r>
      <w:r w:rsidRPr="00D816B7">
        <w:rPr>
          <w:rFonts w:hint="cs"/>
          <w:rtl/>
        </w:rPr>
        <w:t xml:space="preserve">, המשרד </w:t>
      </w:r>
      <w:r w:rsidRPr="00D816B7">
        <w:rPr>
          <w:rFonts w:hint="cs"/>
          <w:rtl/>
        </w:rPr>
        <w:t>להג"ס</w:t>
      </w:r>
      <w:r w:rsidRPr="00D816B7">
        <w:rPr>
          <w:rFonts w:hint="cs"/>
          <w:rtl/>
        </w:rPr>
        <w:t xml:space="preserve"> לא הפעיל את סמכותו להכללת תנאים סביבתיים ייעודיים בנוגע לפעילות נרחבת ביותר שביצעה </w:t>
      </w:r>
      <w:r w:rsidRPr="00D816B7">
        <w:rPr>
          <w:rFonts w:hint="cs"/>
          <w:rtl/>
        </w:rPr>
        <w:t>מי"ה</w:t>
      </w:r>
      <w:r w:rsidRPr="00D816B7">
        <w:rPr>
          <w:rFonts w:hint="cs"/>
          <w:rtl/>
        </w:rPr>
        <w:t xml:space="preserve"> במספר רב של מוקדים בתחום הזיכיון מחוץ לשטח המפעלים. </w:t>
      </w:r>
      <w:r w:rsidRPr="00D816B7">
        <w:rPr>
          <w:rFonts w:hint="eastAsia"/>
          <w:rtl/>
        </w:rPr>
        <w:t>מדובר</w:t>
      </w:r>
      <w:r w:rsidRPr="00D816B7">
        <w:rPr>
          <w:rFonts w:hint="cs"/>
          <w:rtl/>
        </w:rPr>
        <w:t xml:space="preserve"> במוקדי פעילות בעלי </w:t>
      </w:r>
      <w:r w:rsidRPr="00D816B7">
        <w:rPr>
          <w:rFonts w:hint="eastAsia"/>
          <w:rtl/>
        </w:rPr>
        <w:t>פוטנציאל</w:t>
      </w:r>
      <w:r w:rsidRPr="00D816B7">
        <w:rPr>
          <w:rtl/>
        </w:rPr>
        <w:t xml:space="preserve"> </w:t>
      </w:r>
      <w:r w:rsidRPr="00D816B7">
        <w:rPr>
          <w:rFonts w:hint="eastAsia"/>
          <w:rtl/>
        </w:rPr>
        <w:t>ליצירת</w:t>
      </w:r>
      <w:r w:rsidRPr="00D816B7">
        <w:rPr>
          <w:rtl/>
        </w:rPr>
        <w:t xml:space="preserve"> </w:t>
      </w:r>
      <w:r w:rsidRPr="00D816B7">
        <w:rPr>
          <w:rFonts w:hint="eastAsia"/>
          <w:rtl/>
        </w:rPr>
        <w:t>מפגעים</w:t>
      </w:r>
      <w:r w:rsidRPr="00D816B7">
        <w:rPr>
          <w:rtl/>
        </w:rPr>
        <w:t xml:space="preserve"> </w:t>
      </w:r>
      <w:r w:rsidRPr="00D816B7">
        <w:rPr>
          <w:rFonts w:hint="eastAsia"/>
          <w:rtl/>
        </w:rPr>
        <w:t>סביבתיים</w:t>
      </w:r>
      <w:r w:rsidRPr="00D816B7">
        <w:rPr>
          <w:rtl/>
        </w:rPr>
        <w:t xml:space="preserve">, </w:t>
      </w:r>
      <w:r w:rsidRPr="00D816B7">
        <w:rPr>
          <w:rFonts w:hint="cs"/>
          <w:rtl/>
        </w:rPr>
        <w:t>והם</w:t>
      </w:r>
      <w:r w:rsidRPr="00D816B7">
        <w:rPr>
          <w:rtl/>
        </w:rPr>
        <w:t xml:space="preserve"> </w:t>
      </w:r>
      <w:r w:rsidRPr="00D816B7">
        <w:rPr>
          <w:rFonts w:hint="eastAsia"/>
          <w:rtl/>
        </w:rPr>
        <w:t>מתבצע</w:t>
      </w:r>
      <w:r w:rsidRPr="00D816B7">
        <w:rPr>
          <w:rFonts w:hint="cs"/>
          <w:rtl/>
        </w:rPr>
        <w:t>ים</w:t>
      </w:r>
      <w:r w:rsidRPr="00D816B7">
        <w:rPr>
          <w:rtl/>
        </w:rPr>
        <w:t xml:space="preserve">, </w:t>
      </w:r>
      <w:r w:rsidRPr="00D816B7">
        <w:rPr>
          <w:rFonts w:hint="eastAsia"/>
          <w:rtl/>
        </w:rPr>
        <w:t>נכון</w:t>
      </w:r>
      <w:r w:rsidRPr="00D816B7">
        <w:rPr>
          <w:rtl/>
        </w:rPr>
        <w:t xml:space="preserve"> </w:t>
      </w:r>
      <w:r w:rsidRPr="00D816B7">
        <w:rPr>
          <w:rFonts w:hint="eastAsia"/>
          <w:rtl/>
        </w:rPr>
        <w:t>למועד</w:t>
      </w:r>
      <w:r w:rsidRPr="00D816B7">
        <w:rPr>
          <w:rtl/>
        </w:rPr>
        <w:t xml:space="preserve"> </w:t>
      </w:r>
      <w:r w:rsidRPr="00D816B7">
        <w:rPr>
          <w:rFonts w:hint="eastAsia"/>
          <w:rtl/>
        </w:rPr>
        <w:t>סיום</w:t>
      </w:r>
      <w:r w:rsidRPr="00D816B7">
        <w:rPr>
          <w:rtl/>
        </w:rPr>
        <w:t xml:space="preserve"> </w:t>
      </w:r>
      <w:r w:rsidRPr="00D816B7">
        <w:rPr>
          <w:rFonts w:hint="eastAsia"/>
          <w:rtl/>
        </w:rPr>
        <w:t>הביקורת</w:t>
      </w:r>
      <w:r w:rsidRPr="00D816B7">
        <w:rPr>
          <w:rtl/>
        </w:rPr>
        <w:t xml:space="preserve">, </w:t>
      </w:r>
      <w:r w:rsidRPr="00D816B7">
        <w:rPr>
          <w:rFonts w:hint="eastAsia"/>
          <w:rtl/>
        </w:rPr>
        <w:t>ללא</w:t>
      </w:r>
      <w:r w:rsidRPr="00D816B7">
        <w:rPr>
          <w:rtl/>
        </w:rPr>
        <w:t xml:space="preserve"> </w:t>
      </w:r>
      <w:r w:rsidRPr="00D816B7">
        <w:rPr>
          <w:rFonts w:hint="eastAsia"/>
          <w:rtl/>
        </w:rPr>
        <w:t>אסדרה</w:t>
      </w:r>
      <w:r w:rsidRPr="00D816B7">
        <w:rPr>
          <w:rtl/>
        </w:rPr>
        <w:t xml:space="preserve"> </w:t>
      </w:r>
      <w:r w:rsidRPr="00D816B7">
        <w:rPr>
          <w:rFonts w:hint="eastAsia"/>
          <w:rtl/>
        </w:rPr>
        <w:t>סביבתית</w:t>
      </w:r>
      <w:r w:rsidRPr="00D816B7">
        <w:rPr>
          <w:rtl/>
        </w:rPr>
        <w:t xml:space="preserve"> </w:t>
      </w:r>
      <w:r w:rsidRPr="00D816B7">
        <w:rPr>
          <w:rFonts w:hint="cs"/>
          <w:rtl/>
        </w:rPr>
        <w:t xml:space="preserve">משמעותית </w:t>
      </w:r>
      <w:r w:rsidRPr="00D816B7">
        <w:rPr>
          <w:rFonts w:hint="eastAsia"/>
          <w:rtl/>
        </w:rPr>
        <w:t>ברישיון</w:t>
      </w:r>
      <w:r w:rsidRPr="00D816B7">
        <w:rPr>
          <w:rtl/>
        </w:rPr>
        <w:t xml:space="preserve"> </w:t>
      </w:r>
      <w:r w:rsidRPr="00D816B7">
        <w:rPr>
          <w:rFonts w:hint="eastAsia"/>
          <w:rtl/>
        </w:rPr>
        <w:t>העסק</w:t>
      </w:r>
      <w:r w:rsidRPr="00D816B7">
        <w:rPr>
          <w:rFonts w:hint="cs"/>
          <w:rtl/>
        </w:rPr>
        <w:t xml:space="preserve"> או במסגרת רגולטורית אחרת, אשר הולמת את מאפייניהם. בין התשתיות שלא נקבעו לגביהן תנאים ייעודים ברישיונות העסק מצויות תשתיות עם פוטנציאל לנזק הידרולוגי, אקולוגי ובטיחותי, כגון בריכות אידוי ואגירה, תשתיות הולכת </w:t>
      </w:r>
      <w:r w:rsidRPr="00D816B7">
        <w:rPr>
          <w:rFonts w:hint="cs"/>
          <w:rtl/>
        </w:rPr>
        <w:t>תמלחת</w:t>
      </w:r>
      <w:r w:rsidRPr="00D816B7">
        <w:rPr>
          <w:rFonts w:hint="cs"/>
          <w:rtl/>
        </w:rPr>
        <w:t xml:space="preserve"> ומי ים, אתרי פסולת ואתרי כרייה וחציבה. </w:t>
      </w:r>
    </w:p>
    <w:p w:rsidR="006734B0" w:rsidRPr="00D816B7" w:rsidP="00D816B7" w14:paraId="37A510B1" w14:textId="77777777">
      <w:pPr>
        <w:pStyle w:val="7318"/>
        <w:rPr>
          <w:rtl/>
        </w:rPr>
      </w:pPr>
      <w:r w:rsidRPr="00D816B7">
        <w:rPr>
          <w:rFonts w:hint="cs"/>
          <w:rtl/>
        </w:rPr>
        <w:t>הועלה</w:t>
      </w:r>
      <w:r w:rsidRPr="00D816B7">
        <w:rPr>
          <w:rtl/>
        </w:rPr>
        <w:t xml:space="preserve"> </w:t>
      </w:r>
      <w:r w:rsidRPr="00D816B7">
        <w:rPr>
          <w:rFonts w:hint="eastAsia"/>
          <w:rtl/>
        </w:rPr>
        <w:t>כי</w:t>
      </w:r>
      <w:r w:rsidRPr="00D816B7">
        <w:rPr>
          <w:rtl/>
        </w:rPr>
        <w:t xml:space="preserve"> רק בשנת 2023 החל המשרד </w:t>
      </w:r>
      <w:r w:rsidRPr="00D816B7">
        <w:rPr>
          <w:rFonts w:hint="eastAsia"/>
          <w:rtl/>
        </w:rPr>
        <w:t>להג</w:t>
      </w:r>
      <w:r w:rsidRPr="00D816B7">
        <w:rPr>
          <w:rtl/>
        </w:rPr>
        <w:t>"ס</w:t>
      </w:r>
      <w:r w:rsidRPr="00D816B7">
        <w:rPr>
          <w:rtl/>
        </w:rPr>
        <w:t xml:space="preserve"> לפעול </w:t>
      </w:r>
      <w:r w:rsidRPr="00D816B7">
        <w:rPr>
          <w:rFonts w:hint="eastAsia"/>
          <w:rtl/>
        </w:rPr>
        <w:t>לאסדרת</w:t>
      </w:r>
      <w:r w:rsidRPr="00D816B7">
        <w:rPr>
          <w:rtl/>
        </w:rPr>
        <w:t xml:space="preserve"> </w:t>
      </w:r>
      <w:r w:rsidRPr="00D816B7">
        <w:rPr>
          <w:rFonts w:hint="eastAsia"/>
          <w:rtl/>
        </w:rPr>
        <w:t>התנאים</w:t>
      </w:r>
      <w:r w:rsidRPr="00D816B7">
        <w:rPr>
          <w:rtl/>
        </w:rPr>
        <w:t xml:space="preserve"> </w:t>
      </w:r>
      <w:r w:rsidRPr="00D816B7">
        <w:rPr>
          <w:rFonts w:hint="cs"/>
          <w:rtl/>
        </w:rPr>
        <w:t xml:space="preserve">הסביבתיים </w:t>
      </w:r>
      <w:r w:rsidRPr="00D816B7">
        <w:rPr>
          <w:rtl/>
        </w:rPr>
        <w:t xml:space="preserve">ברישיון </w:t>
      </w:r>
      <w:r w:rsidRPr="00D816B7">
        <w:rPr>
          <w:rFonts w:hint="cs"/>
          <w:rtl/>
        </w:rPr>
        <w:t>ה</w:t>
      </w:r>
      <w:r w:rsidRPr="00D816B7">
        <w:rPr>
          <w:rtl/>
        </w:rPr>
        <w:t xml:space="preserve">עסק של </w:t>
      </w:r>
      <w:r w:rsidRPr="00D816B7">
        <w:rPr>
          <w:rFonts w:hint="eastAsia"/>
          <w:rtl/>
        </w:rPr>
        <w:t>הפעילות</w:t>
      </w:r>
      <w:r w:rsidRPr="00D816B7">
        <w:rPr>
          <w:rtl/>
        </w:rPr>
        <w:t xml:space="preserve"> התעשייתית של </w:t>
      </w:r>
      <w:r w:rsidRPr="00D816B7">
        <w:rPr>
          <w:rFonts w:hint="eastAsia"/>
          <w:rtl/>
        </w:rPr>
        <w:t>מי</w:t>
      </w:r>
      <w:r w:rsidRPr="00D816B7">
        <w:rPr>
          <w:rtl/>
        </w:rPr>
        <w:t>"ה</w:t>
      </w:r>
      <w:r w:rsidRPr="00D816B7">
        <w:rPr>
          <w:rtl/>
        </w:rPr>
        <w:t xml:space="preserve"> הנמצאת בגבולות הזיכיון מחוץ לשטח המפעלים. </w:t>
      </w:r>
    </w:p>
    <w:p w:rsidR="006734B0" w:rsidP="00D816B7" w14:paraId="527E299F" w14:textId="77777777">
      <w:pPr>
        <w:pStyle w:val="7392"/>
        <w:rPr>
          <w:rtl/>
        </w:rPr>
      </w:pPr>
      <w:r>
        <w:rPr>
          <w:rFonts w:hint="cs"/>
          <w:rtl/>
        </w:rPr>
        <w:t>מי"ה</w:t>
      </w:r>
      <w:r>
        <w:rPr>
          <w:rFonts w:hint="cs"/>
          <w:rtl/>
        </w:rPr>
        <w:t xml:space="preserve"> מסרה בתשובתה למשרד מבקר המדינה כי התנאים ברישיון העסק של מפעליה נקבעו על ידי המשרד </w:t>
      </w:r>
      <w:r>
        <w:rPr>
          <w:rFonts w:hint="cs"/>
          <w:rtl/>
        </w:rPr>
        <w:t>להג"ס</w:t>
      </w:r>
      <w:r>
        <w:rPr>
          <w:rFonts w:hint="cs"/>
          <w:rtl/>
        </w:rPr>
        <w:t xml:space="preserve"> ביחס לכלל פעילותה בשטח הזיכיון ולא רק ביחס לשטח המפעלים, וכי הם חלים על כל התשתיות שצוינו לעיל שאותם </w:t>
      </w:r>
      <w:r>
        <w:rPr>
          <w:rFonts w:hint="cs"/>
          <w:rtl/>
        </w:rPr>
        <w:t>מי"ה</w:t>
      </w:r>
      <w:r>
        <w:rPr>
          <w:rFonts w:hint="cs"/>
          <w:rtl/>
        </w:rPr>
        <w:t xml:space="preserve"> מפעילה. </w:t>
      </w:r>
    </w:p>
    <w:p w:rsidR="006734B0" w:rsidRPr="00D816B7" w:rsidP="00D816B7" w14:paraId="4D0F9200" w14:textId="77777777">
      <w:pPr>
        <w:pStyle w:val="7318"/>
        <w:rPr>
          <w:rtl/>
        </w:rPr>
      </w:pPr>
      <w:r w:rsidRPr="00D816B7">
        <w:rPr>
          <w:rFonts w:hint="cs"/>
          <w:rtl/>
        </w:rPr>
        <w:t xml:space="preserve">בבירור שביצע משרד מבקר המדינה מול המשרד </w:t>
      </w:r>
      <w:r w:rsidRPr="00D816B7">
        <w:rPr>
          <w:rFonts w:hint="cs"/>
          <w:rtl/>
        </w:rPr>
        <w:t>להג"ס</w:t>
      </w:r>
      <w:r w:rsidRPr="00D816B7">
        <w:rPr>
          <w:rFonts w:hint="cs"/>
          <w:rtl/>
        </w:rPr>
        <w:t xml:space="preserve"> בעקבות תשובת </w:t>
      </w:r>
      <w:r w:rsidRPr="00D816B7">
        <w:rPr>
          <w:rFonts w:hint="cs"/>
          <w:rtl/>
        </w:rPr>
        <w:t>מי"ה</w:t>
      </w:r>
      <w:r w:rsidRPr="00D816B7">
        <w:rPr>
          <w:rFonts w:hint="cs"/>
          <w:rtl/>
        </w:rPr>
        <w:t xml:space="preserve"> האמורה, מסרו גורמי מקצוע מהמשרד </w:t>
      </w:r>
      <w:r w:rsidRPr="00D816B7">
        <w:rPr>
          <w:rFonts w:hint="cs"/>
          <w:rtl/>
        </w:rPr>
        <w:t>להג"ס</w:t>
      </w:r>
      <w:r w:rsidRPr="00D816B7">
        <w:rPr>
          <w:rFonts w:hint="cs"/>
          <w:rtl/>
        </w:rPr>
        <w:t xml:space="preserve"> עמדות סותרות בנוגע לתחולת התנאים הסביבתיים ברישיון העסק של מפעלי </w:t>
      </w:r>
      <w:r w:rsidRPr="00D816B7">
        <w:rPr>
          <w:rFonts w:hint="cs"/>
          <w:rtl/>
        </w:rPr>
        <w:t>מי"ה</w:t>
      </w:r>
      <w:r w:rsidRPr="00D816B7">
        <w:rPr>
          <w:rFonts w:hint="cs"/>
          <w:rtl/>
        </w:rPr>
        <w:t xml:space="preserve"> על מתקנים ופעילויות המתקיימות מחוץ לשטח המפעלים: לפי אחת העמדות, ולהבדיל מהדברים שהמשרד </w:t>
      </w:r>
      <w:r w:rsidRPr="00D816B7">
        <w:rPr>
          <w:rFonts w:hint="cs"/>
          <w:rtl/>
        </w:rPr>
        <w:t>להג"ס</w:t>
      </w:r>
      <w:r w:rsidRPr="00D816B7">
        <w:rPr>
          <w:rFonts w:hint="cs"/>
          <w:rtl/>
        </w:rPr>
        <w:t xml:space="preserve"> מסר כאמור למשרד מבקר המדינה במהלך הביקורת, תנאי רישוי העסק של מפעלי </w:t>
      </w:r>
      <w:r w:rsidRPr="00D816B7">
        <w:rPr>
          <w:rFonts w:hint="cs"/>
          <w:rtl/>
        </w:rPr>
        <w:t>מי"ה</w:t>
      </w:r>
      <w:r w:rsidRPr="00D816B7">
        <w:rPr>
          <w:rFonts w:hint="cs"/>
          <w:rtl/>
        </w:rPr>
        <w:t xml:space="preserve"> חלים כבר כיום מחוץ לשטח המפעלים, ואילו לפי עמדה אחרת התנאים אינם חלים מחוץ לשטח המפעלים, ולכל הפחות טענות </w:t>
      </w:r>
      <w:r w:rsidRPr="00D816B7">
        <w:rPr>
          <w:rFonts w:hint="cs"/>
          <w:rtl/>
        </w:rPr>
        <w:t>מי"ה</w:t>
      </w:r>
      <w:r w:rsidRPr="00D816B7">
        <w:rPr>
          <w:rFonts w:hint="cs"/>
          <w:rtl/>
        </w:rPr>
        <w:t xml:space="preserve"> בנושא זה מצריכות המשך בירור. </w:t>
      </w:r>
    </w:p>
    <w:p w:rsidR="006734B0" w:rsidRPr="000C6FF3" w:rsidP="00D816B7" w14:paraId="6960F0A6" w14:textId="3241000E">
      <w:pPr>
        <w:pStyle w:val="7318"/>
        <w:rPr>
          <w:rtl/>
        </w:rPr>
      </w:pPr>
      <w:r w:rsidRPr="00D816B7">
        <w:rPr>
          <w:rFonts w:hint="cs"/>
          <w:rtl/>
        </w:rPr>
        <w:t xml:space="preserve">משרד מבקר המדינה מעיר כי המצב הקיים, שבו למשרד </w:t>
      </w:r>
      <w:r w:rsidRPr="00D816B7">
        <w:rPr>
          <w:rFonts w:hint="cs"/>
          <w:rtl/>
        </w:rPr>
        <w:t>להג"ס</w:t>
      </w:r>
      <w:r w:rsidRPr="00D816B7">
        <w:rPr>
          <w:rFonts w:hint="cs"/>
          <w:rtl/>
        </w:rPr>
        <w:t xml:space="preserve"> אין עמדה סדורה לגבי השאלה הבסיסית אם תנאי רישיון העסק הנוכחיים של </w:t>
      </w:r>
      <w:r w:rsidRPr="00D816B7">
        <w:rPr>
          <w:rFonts w:hint="cs"/>
          <w:rtl/>
        </w:rPr>
        <w:t>מי"ה</w:t>
      </w:r>
      <w:r w:rsidRPr="00D816B7">
        <w:rPr>
          <w:rFonts w:hint="cs"/>
          <w:rtl/>
        </w:rPr>
        <w:t xml:space="preserve"> חלים גם מחוץ לשטח המפעלים אינו תקין ומעיד כשלעצמו על היעדר </w:t>
      </w:r>
      <w:r w:rsidRPr="00D816B7">
        <w:rPr>
          <w:rFonts w:hint="eastAsia"/>
          <w:rtl/>
        </w:rPr>
        <w:t>אסדרה</w:t>
      </w:r>
      <w:r w:rsidRPr="00D816B7">
        <w:rPr>
          <w:rtl/>
        </w:rPr>
        <w:t xml:space="preserve"> סביבתית </w:t>
      </w:r>
      <w:r w:rsidRPr="00D816B7">
        <w:rPr>
          <w:rFonts w:hint="cs"/>
          <w:rtl/>
        </w:rPr>
        <w:t xml:space="preserve">מספקת </w:t>
      </w:r>
      <w:r w:rsidRPr="00D816B7">
        <w:rPr>
          <w:rFonts w:hint="eastAsia"/>
          <w:rtl/>
        </w:rPr>
        <w:t>של</w:t>
      </w:r>
      <w:r w:rsidRPr="00D816B7">
        <w:rPr>
          <w:rFonts w:hint="cs"/>
          <w:rtl/>
        </w:rPr>
        <w:t xml:space="preserve"> המשרד </w:t>
      </w:r>
      <w:r w:rsidRPr="00D816B7">
        <w:rPr>
          <w:rFonts w:hint="cs"/>
          <w:rtl/>
        </w:rPr>
        <w:t>להג"ס</w:t>
      </w:r>
      <w:r w:rsidRPr="00D816B7">
        <w:rPr>
          <w:rFonts w:hint="cs"/>
          <w:rtl/>
        </w:rPr>
        <w:t xml:space="preserve"> בתחום הזיכיון. כך או כך, התנאים הנוכחיים אינם כוללים הוראות פרטניות בנוגע למתקנים שמחוץ לשטח המפעלים, כך שגם אם ההוראות הכלליות ברישיון העסק (כמו טיפול בקרקע מזוהמת, ניהול יומן אירועים וחריגות סביבתיות) חלות מחוץ לשטח הזיכיון, הרי שאין מחלוקת כי המשרד </w:t>
      </w:r>
      <w:r w:rsidRPr="00D816B7">
        <w:rPr>
          <w:rFonts w:hint="cs"/>
          <w:rtl/>
        </w:rPr>
        <w:t>להג"ס</w:t>
      </w:r>
      <w:r w:rsidRPr="00D816B7">
        <w:rPr>
          <w:rFonts w:hint="cs"/>
          <w:rtl/>
        </w:rPr>
        <w:t xml:space="preserve"> לא קבע לגבי אותם תשתיות ומתקנים תעשייתיים תנאים </w:t>
      </w:r>
      <w:r w:rsidR="008F1AF7">
        <w:rPr>
          <w:rFonts w:hint="cs"/>
          <w:rtl/>
        </w:rPr>
        <w:t>ייעודיים</w:t>
      </w:r>
      <w:r w:rsidRPr="00D816B7">
        <w:rPr>
          <w:rFonts w:hint="cs"/>
          <w:rtl/>
        </w:rPr>
        <w:t xml:space="preserve">, כפי שהוא נוהג לעשות לגבי מתקנים כאלה וכי עליו לפעול </w:t>
      </w:r>
      <w:r w:rsidRPr="00D816B7">
        <w:rPr>
          <w:rFonts w:hint="cs"/>
          <w:rtl/>
        </w:rPr>
        <w:t>לאסדרת</w:t>
      </w:r>
      <w:r w:rsidRPr="00D816B7">
        <w:rPr>
          <w:rFonts w:hint="cs"/>
          <w:rtl/>
        </w:rPr>
        <w:t xml:space="preserve"> פעילותם במסגרת תנאים ברישיון עסק לאלתר.</w:t>
      </w:r>
    </w:p>
    <w:p w:rsidR="006734B0" w:rsidRPr="00D816B7" w:rsidP="00D816B7" w14:paraId="46FD0AAA" w14:textId="1E8D8DD3">
      <w:pPr>
        <w:pStyle w:val="7318"/>
        <w:rPr>
          <w:rtl/>
        </w:rPr>
      </w:pPr>
      <w:r w:rsidRPr="00D816B7">
        <w:rPr>
          <w:rFonts w:hint="cs"/>
          <w:rtl/>
        </w:rPr>
        <w:t xml:space="preserve">יצוין כי עיון בטיוטת התנאים שגיבש המשרד </w:t>
      </w:r>
      <w:r w:rsidRPr="00D816B7">
        <w:rPr>
          <w:rFonts w:hint="cs"/>
          <w:rtl/>
        </w:rPr>
        <w:t>להג"ס</w:t>
      </w:r>
      <w:r w:rsidRPr="00D816B7">
        <w:rPr>
          <w:rFonts w:hint="cs"/>
          <w:rtl/>
        </w:rPr>
        <w:t xml:space="preserve"> לאחר סיום הביקורת בהם קיימת התייחסות נרחבת למתקנים הנמצאים מחוץ לשטח המפעלים, מלמד כי גם לדעת המשרד </w:t>
      </w:r>
      <w:r w:rsidR="008F1AF7">
        <w:rPr>
          <w:rFonts w:hint="cs"/>
          <w:rtl/>
        </w:rPr>
        <w:t>להג</w:t>
      </w:r>
      <w:r w:rsidRPr="00D816B7" w:rsidR="008F1AF7">
        <w:rPr>
          <w:rFonts w:hint="cs"/>
          <w:rtl/>
        </w:rPr>
        <w:t>"</w:t>
      </w:r>
      <w:r w:rsidR="008F1AF7">
        <w:rPr>
          <w:rFonts w:hint="cs"/>
          <w:rtl/>
        </w:rPr>
        <w:t>ס</w:t>
      </w:r>
      <w:r w:rsidRPr="00D816B7">
        <w:rPr>
          <w:rFonts w:hint="cs"/>
          <w:rtl/>
        </w:rPr>
        <w:t xml:space="preserve"> קיים פער שיש להשלימו בהיבט האסדרה הסביבתית של הפעילויות התעשייתיות של </w:t>
      </w:r>
      <w:r w:rsidRPr="00D816B7">
        <w:rPr>
          <w:rFonts w:hint="cs"/>
          <w:rtl/>
        </w:rPr>
        <w:t>מי"ה</w:t>
      </w:r>
      <w:r w:rsidRPr="00D816B7">
        <w:rPr>
          <w:rFonts w:hint="cs"/>
          <w:rtl/>
        </w:rPr>
        <w:t xml:space="preserve"> מחוץ לשטח המפעלים </w:t>
      </w:r>
      <w:r w:rsidR="00B92DE5">
        <w:rPr>
          <w:rFonts w:hint="cs"/>
          <w:rtl/>
        </w:rPr>
        <w:t>בכל הנוגע</w:t>
      </w:r>
      <w:r w:rsidRPr="00D816B7">
        <w:rPr>
          <w:rFonts w:hint="cs"/>
          <w:rtl/>
        </w:rPr>
        <w:t xml:space="preserve"> </w:t>
      </w:r>
      <w:r w:rsidR="00B92DE5">
        <w:rPr>
          <w:rFonts w:hint="cs"/>
          <w:rtl/>
        </w:rPr>
        <w:t>ל</w:t>
      </w:r>
      <w:r w:rsidRPr="00D816B7">
        <w:rPr>
          <w:rFonts w:hint="cs"/>
          <w:rtl/>
        </w:rPr>
        <w:t xml:space="preserve">רישוי עסקים. </w:t>
      </w:r>
    </w:p>
    <w:p w:rsidR="006734B0" w:rsidRPr="00D816B7" w:rsidP="00D816B7" w14:paraId="748EE6FC" w14:textId="214100E9">
      <w:pPr>
        <w:pStyle w:val="7318"/>
        <w:rPr>
          <w:rtl/>
        </w:rPr>
      </w:pPr>
      <w:r w:rsidRPr="00D816B7">
        <w:rPr>
          <w:rFonts w:hint="cs"/>
          <w:rtl/>
        </w:rPr>
        <w:t xml:space="preserve">על המשרד </w:t>
      </w:r>
      <w:r w:rsidRPr="00D816B7">
        <w:rPr>
          <w:rFonts w:hint="cs"/>
          <w:rtl/>
        </w:rPr>
        <w:t>להג"ס</w:t>
      </w:r>
      <w:r w:rsidRPr="00D816B7">
        <w:rPr>
          <w:rFonts w:hint="cs"/>
          <w:rtl/>
        </w:rPr>
        <w:t xml:space="preserve"> לגבש עמדה ברורה לגבי תחולת התנאים הקיימים ברישיון העסק של </w:t>
      </w:r>
      <w:r w:rsidRPr="00D816B7">
        <w:rPr>
          <w:rFonts w:hint="cs"/>
          <w:rtl/>
        </w:rPr>
        <w:t>מי"ה</w:t>
      </w:r>
      <w:r w:rsidRPr="00D816B7">
        <w:rPr>
          <w:rFonts w:hint="cs"/>
          <w:rtl/>
        </w:rPr>
        <w:t xml:space="preserve"> לגבי פעילויות שהיא מבצעת בתחום הזיכיון, מחוץ לשטח המפעלים, ולפעול למתן תנאים סביבתיים פרטניים ברישיון העסק לגבי הפעילויות האמורות</w:t>
      </w:r>
      <w:r w:rsidR="00361EA9">
        <w:rPr>
          <w:rFonts w:hint="cs"/>
          <w:rtl/>
        </w:rPr>
        <w:t>,</w:t>
      </w:r>
      <w:r w:rsidRPr="00D816B7">
        <w:rPr>
          <w:rFonts w:hint="cs"/>
          <w:rtl/>
        </w:rPr>
        <w:t xml:space="preserve"> אם הן אינן מוסדרות ברישיון או בהיתר אחר. </w:t>
      </w:r>
    </w:p>
    <w:p w:rsidR="006734B0" w:rsidRPr="00D816B7" w:rsidP="00D816B7" w14:paraId="29403979" w14:textId="77777777">
      <w:pPr>
        <w:pStyle w:val="7321"/>
        <w:rPr>
          <w:rtl/>
        </w:rPr>
      </w:pPr>
      <w:r w:rsidRPr="00D816B7">
        <w:rPr>
          <w:rFonts w:hint="cs"/>
          <w:rtl/>
        </w:rPr>
        <w:t>✰</w:t>
      </w:r>
    </w:p>
    <w:p w:rsidR="006734B0" w:rsidRPr="00D816B7" w:rsidP="00D816B7" w14:paraId="1FE9AE67" w14:textId="77777777">
      <w:pPr>
        <w:pStyle w:val="7318"/>
        <w:rPr>
          <w:rtl/>
        </w:rPr>
      </w:pPr>
      <w:r w:rsidRPr="00D816B7">
        <w:rPr>
          <w:rFonts w:hint="cs"/>
          <w:rtl/>
        </w:rPr>
        <w:t xml:space="preserve">חוק רישוי עסקים נועד, בין השאר, להבטיח איכות נאותה של הסביבה, לרבות מניעת מפגעים ומטרדים מהעסק טעון הרישוי. בשנת 1995 </w:t>
      </w:r>
      <w:r w:rsidRPr="00D816B7">
        <w:rPr>
          <w:rtl/>
        </w:rPr>
        <w:t>קבע המחוקק הסדר מיוחד</w:t>
      </w:r>
      <w:r w:rsidRPr="00D816B7">
        <w:rPr>
          <w:rFonts w:hint="cs"/>
          <w:rtl/>
        </w:rPr>
        <w:t xml:space="preserve"> שהבהיר כי ל</w:t>
      </w:r>
      <w:r w:rsidRPr="00D816B7">
        <w:rPr>
          <w:rtl/>
        </w:rPr>
        <w:t xml:space="preserve">רשויות הרלוונטיות </w:t>
      </w:r>
      <w:r w:rsidRPr="00D816B7">
        <w:rPr>
          <w:rFonts w:hint="cs"/>
          <w:rtl/>
        </w:rPr>
        <w:t xml:space="preserve">סמכות לכלול </w:t>
      </w:r>
      <w:r w:rsidRPr="00D816B7">
        <w:rPr>
          <w:rtl/>
        </w:rPr>
        <w:t xml:space="preserve">תנאים </w:t>
      </w:r>
      <w:r w:rsidRPr="00D816B7">
        <w:rPr>
          <w:rFonts w:hint="cs"/>
          <w:rtl/>
        </w:rPr>
        <w:t xml:space="preserve">ברישיון העסק של </w:t>
      </w:r>
      <w:r w:rsidRPr="00D816B7">
        <w:rPr>
          <w:rFonts w:hint="cs"/>
          <w:rtl/>
        </w:rPr>
        <w:t>מי"ה</w:t>
      </w:r>
      <w:r w:rsidRPr="00D816B7">
        <w:rPr>
          <w:rFonts w:hint="cs"/>
          <w:rtl/>
        </w:rPr>
        <w:t xml:space="preserve">, </w:t>
      </w:r>
      <w:r w:rsidRPr="00D816B7">
        <w:rPr>
          <w:rtl/>
        </w:rPr>
        <w:t>ו</w:t>
      </w:r>
      <w:r w:rsidRPr="00D816B7">
        <w:rPr>
          <w:rFonts w:hint="cs"/>
          <w:rtl/>
        </w:rPr>
        <w:t>כן קבע כי</w:t>
      </w:r>
      <w:r w:rsidRPr="00D816B7">
        <w:rPr>
          <w:rtl/>
        </w:rPr>
        <w:t xml:space="preserve"> עבודות ופעילויות שביצעה </w:t>
      </w:r>
      <w:r w:rsidRPr="00D816B7">
        <w:rPr>
          <w:rtl/>
        </w:rPr>
        <w:t>מי"ה</w:t>
      </w:r>
      <w:r w:rsidRPr="00D816B7">
        <w:rPr>
          <w:rtl/>
        </w:rPr>
        <w:t xml:space="preserve"> בשטח הזיכיון עד אותו המועד יקבלו מעמד של עסקים מורשים</w:t>
      </w:r>
      <w:r w:rsidRPr="00D816B7">
        <w:rPr>
          <w:rFonts w:hint="cs"/>
          <w:rtl/>
        </w:rPr>
        <w:t xml:space="preserve"> (רישיון עסק סטטוטורי)</w:t>
      </w:r>
      <w:r w:rsidRPr="00D816B7">
        <w:rPr>
          <w:rtl/>
        </w:rPr>
        <w:t xml:space="preserve">. בנוגע לפעילויות ולעבודות </w:t>
      </w:r>
      <w:r w:rsidRPr="00D816B7">
        <w:rPr>
          <w:rFonts w:hint="cs"/>
          <w:rtl/>
        </w:rPr>
        <w:t xml:space="preserve">חדשות </w:t>
      </w:r>
      <w:r w:rsidRPr="00D816B7">
        <w:rPr>
          <w:rtl/>
        </w:rPr>
        <w:t xml:space="preserve">של </w:t>
      </w:r>
      <w:r w:rsidRPr="00D816B7">
        <w:rPr>
          <w:rtl/>
        </w:rPr>
        <w:t>מי"ה</w:t>
      </w:r>
      <w:r w:rsidRPr="00D816B7">
        <w:rPr>
          <w:rtl/>
        </w:rPr>
        <w:t xml:space="preserve"> בשטח הזיכיון שהתבצעו מאותו המועד </w:t>
      </w:r>
      <w:r w:rsidRPr="00D816B7">
        <w:rPr>
          <w:rFonts w:hint="cs"/>
          <w:rtl/>
        </w:rPr>
        <w:t>ואילך,</w:t>
      </w:r>
      <w:r w:rsidRPr="00D816B7">
        <w:rPr>
          <w:rtl/>
        </w:rPr>
        <w:t xml:space="preserve"> חל ההסדר הרגיל הקבוע בחוק רישוי עסקים, והן מחויבות ברישיון עסק</w:t>
      </w:r>
      <w:r w:rsidRPr="00D816B7">
        <w:rPr>
          <w:rFonts w:hint="cs"/>
          <w:rtl/>
        </w:rPr>
        <w:t xml:space="preserve">. </w:t>
      </w:r>
    </w:p>
    <w:p w:rsidR="006734B0" w:rsidRPr="00D816B7" w:rsidP="00D816B7" w14:paraId="62D457EB" w14:textId="6D3E683C">
      <w:pPr>
        <w:pStyle w:val="7318"/>
        <w:rPr>
          <w:rtl/>
        </w:rPr>
      </w:pPr>
      <w:r w:rsidRPr="00D816B7">
        <w:rPr>
          <w:rFonts w:hint="cs"/>
          <w:rtl/>
        </w:rPr>
        <w:t xml:space="preserve">בביקורת נמצא כי במשך עשרות שנים המשרד </w:t>
      </w:r>
      <w:r w:rsidRPr="00D816B7">
        <w:rPr>
          <w:rFonts w:hint="cs"/>
          <w:rtl/>
        </w:rPr>
        <w:t>להג"ס</w:t>
      </w:r>
      <w:r w:rsidRPr="00D816B7">
        <w:rPr>
          <w:rFonts w:hint="cs"/>
          <w:rtl/>
        </w:rPr>
        <w:t xml:space="preserve"> </w:t>
      </w:r>
      <w:r w:rsidRPr="00E97F6C" w:rsidR="00E97F6C">
        <w:rPr>
          <w:rtl/>
        </w:rPr>
        <w:t>לא הקפיד להפעיל</w:t>
      </w:r>
      <w:r w:rsidR="00E97F6C">
        <w:rPr>
          <w:rFonts w:hint="cs"/>
          <w:rtl/>
        </w:rPr>
        <w:t xml:space="preserve"> </w:t>
      </w:r>
      <w:r w:rsidRPr="00D816B7">
        <w:rPr>
          <w:rFonts w:hint="cs"/>
          <w:rtl/>
        </w:rPr>
        <w:t xml:space="preserve">את סמכותו להכללת תנאים סביבתיים ייעודיים ברישיון העסק של </w:t>
      </w:r>
      <w:r w:rsidRPr="00D816B7">
        <w:rPr>
          <w:rFonts w:hint="cs"/>
          <w:rtl/>
        </w:rPr>
        <w:t>מי"ה</w:t>
      </w:r>
      <w:r w:rsidRPr="00D816B7">
        <w:rPr>
          <w:rFonts w:hint="cs"/>
          <w:rtl/>
        </w:rPr>
        <w:t xml:space="preserve"> לגבי תשתיות תעשייתיות רבות שהפעילה ומפעילה </w:t>
      </w:r>
      <w:r w:rsidRPr="00D816B7">
        <w:rPr>
          <w:rFonts w:hint="cs"/>
          <w:rtl/>
        </w:rPr>
        <w:t>מי"ה</w:t>
      </w:r>
      <w:r w:rsidRPr="00D816B7">
        <w:rPr>
          <w:rFonts w:hint="cs"/>
          <w:rtl/>
        </w:rPr>
        <w:t xml:space="preserve"> בשטח הזיכיון. לנוכח הפער </w:t>
      </w:r>
      <w:r w:rsidRPr="00D816B7">
        <w:rPr>
          <w:rFonts w:hint="cs"/>
          <w:rtl/>
        </w:rPr>
        <w:t>האסדרתי</w:t>
      </w:r>
      <w:r w:rsidRPr="00D816B7">
        <w:rPr>
          <w:rFonts w:hint="cs"/>
          <w:rtl/>
        </w:rPr>
        <w:t xml:space="preserve"> והרגולטורי האמור ורק לקראת סיום הזיכיון וחידושו, </w:t>
      </w:r>
      <w:r w:rsidRPr="00D816B7">
        <w:rPr>
          <w:rFonts w:hint="eastAsia"/>
          <w:rtl/>
        </w:rPr>
        <w:t>מיפה</w:t>
      </w:r>
      <w:r w:rsidRPr="00D816B7">
        <w:rPr>
          <w:rtl/>
        </w:rPr>
        <w:t xml:space="preserve"> </w:t>
      </w:r>
      <w:r w:rsidRPr="00D816B7">
        <w:rPr>
          <w:rFonts w:hint="cs"/>
          <w:rtl/>
        </w:rPr>
        <w:t xml:space="preserve">בשנת 2023 </w:t>
      </w:r>
      <w:r w:rsidRPr="00D816B7">
        <w:rPr>
          <w:rFonts w:hint="eastAsia"/>
          <w:rtl/>
        </w:rPr>
        <w:t>המשרד</w:t>
      </w:r>
      <w:r w:rsidRPr="00D816B7">
        <w:rPr>
          <w:rtl/>
        </w:rPr>
        <w:t xml:space="preserve"> </w:t>
      </w:r>
      <w:r w:rsidRPr="00D816B7">
        <w:rPr>
          <w:rFonts w:hint="cs"/>
          <w:rtl/>
        </w:rPr>
        <w:t>להג"ס</w:t>
      </w:r>
      <w:r w:rsidRPr="00D816B7">
        <w:rPr>
          <w:rFonts w:hint="cs"/>
          <w:rtl/>
        </w:rPr>
        <w:t xml:space="preserve"> </w:t>
      </w:r>
      <w:r w:rsidRPr="00D816B7">
        <w:rPr>
          <w:rFonts w:hint="eastAsia"/>
          <w:rtl/>
        </w:rPr>
        <w:t>כ</w:t>
      </w:r>
      <w:r w:rsidRPr="00D816B7">
        <w:rPr>
          <w:rtl/>
        </w:rPr>
        <w:t xml:space="preserve">-230 </w:t>
      </w:r>
      <w:r w:rsidRPr="00D816B7">
        <w:rPr>
          <w:rFonts w:hint="eastAsia"/>
          <w:rtl/>
        </w:rPr>
        <w:t>תשתיות</w:t>
      </w:r>
      <w:r w:rsidRPr="00D816B7">
        <w:rPr>
          <w:rtl/>
        </w:rPr>
        <w:t xml:space="preserve"> </w:t>
      </w:r>
      <w:r w:rsidRPr="00D816B7">
        <w:rPr>
          <w:rFonts w:hint="eastAsia"/>
          <w:rtl/>
        </w:rPr>
        <w:t>תעשייתיות</w:t>
      </w:r>
      <w:r w:rsidRPr="00D816B7">
        <w:rPr>
          <w:rtl/>
        </w:rPr>
        <w:t xml:space="preserve"> </w:t>
      </w:r>
      <w:r w:rsidRPr="00D816B7">
        <w:rPr>
          <w:rFonts w:hint="cs"/>
          <w:rtl/>
        </w:rPr>
        <w:t xml:space="preserve">בתחום הזיכיון </w:t>
      </w:r>
      <w:r w:rsidRPr="00D816B7">
        <w:rPr>
          <w:rtl/>
        </w:rPr>
        <w:t xml:space="preserve">שהן בשטח מצטבר של כ-156 ק"מ. </w:t>
      </w:r>
      <w:r w:rsidRPr="00D816B7">
        <w:rPr>
          <w:rFonts w:hint="cs"/>
          <w:rtl/>
        </w:rPr>
        <w:t>בהן</w:t>
      </w:r>
      <w:r w:rsidRPr="00D816B7">
        <w:rPr>
          <w:rtl/>
        </w:rPr>
        <w:t xml:space="preserve"> 63 בריכות אידוי ואגירה; 55 תשתיות הולכת </w:t>
      </w:r>
      <w:r w:rsidRPr="00D816B7">
        <w:rPr>
          <w:rFonts w:hint="eastAsia"/>
          <w:rtl/>
        </w:rPr>
        <w:t>תמלחת</w:t>
      </w:r>
      <w:r w:rsidRPr="00D816B7">
        <w:rPr>
          <w:rtl/>
        </w:rPr>
        <w:t xml:space="preserve"> ומי ים המלח; 8 תחנות דלק ואחסון </w:t>
      </w:r>
      <w:r w:rsidRPr="00D816B7">
        <w:rPr>
          <w:rFonts w:hint="eastAsia"/>
          <w:rtl/>
        </w:rPr>
        <w:t>דלקים</w:t>
      </w:r>
      <w:r w:rsidRPr="00D816B7">
        <w:rPr>
          <w:rtl/>
        </w:rPr>
        <w:t xml:space="preserve">; 22 אתרי פסולת ומערומים; ו-80 אתרים בעלי פוטנציאל לזיהום קרקע ומים ואתרי כרייה וחציבה. את התשתיות שמיפה סיווג המשרד לפי רמת הסיכון שלהן, בהתאם לגודל התשתית, לרגישות ההידרולוגית והאקולוגית, למרחק מרצפטור סביבתי ולרמת המפגע הבטיחותי לציבור, ובכנס לציבור שקיים במאי 2024, </w:t>
      </w:r>
      <w:r w:rsidRPr="00D816B7">
        <w:rPr>
          <w:rFonts w:hint="cs"/>
          <w:rtl/>
        </w:rPr>
        <w:t xml:space="preserve">מסר המשרד כי </w:t>
      </w:r>
      <w:r w:rsidRPr="00D816B7">
        <w:rPr>
          <w:rtl/>
        </w:rPr>
        <w:t xml:space="preserve">בכוונתו לפעול </w:t>
      </w:r>
      <w:r w:rsidRPr="00D816B7">
        <w:rPr>
          <w:rFonts w:hint="eastAsia"/>
          <w:rtl/>
        </w:rPr>
        <w:t>לאסדרת</w:t>
      </w:r>
      <w:r w:rsidRPr="00D816B7">
        <w:rPr>
          <w:rtl/>
        </w:rPr>
        <w:t xml:space="preserve"> תשתיות אלו </w:t>
      </w:r>
      <w:r w:rsidRPr="00D816B7">
        <w:rPr>
          <w:rFonts w:hint="eastAsia"/>
          <w:rtl/>
        </w:rPr>
        <w:t>בין</w:t>
      </w:r>
      <w:r w:rsidRPr="00D816B7">
        <w:rPr>
          <w:rtl/>
        </w:rPr>
        <w:t xml:space="preserve"> השאר באמצעות הכללת הוראות ברישיונות ובהיתרים של המפעלים</w:t>
      </w:r>
      <w:r w:rsidRPr="00D816B7">
        <w:rPr>
          <w:rFonts w:hint="cs"/>
          <w:rtl/>
        </w:rPr>
        <w:t xml:space="preserve">, מקום בו הוא ימצא כי קיימים פערי אסדרה. עוד נמצא כי </w:t>
      </w:r>
      <w:r w:rsidRPr="00D816B7">
        <w:rPr>
          <w:rFonts w:hint="eastAsia"/>
          <w:rtl/>
        </w:rPr>
        <w:t>התנאים</w:t>
      </w:r>
      <w:r w:rsidRPr="00D816B7">
        <w:rPr>
          <w:rtl/>
        </w:rPr>
        <w:t xml:space="preserve"> שקבע המשרד </w:t>
      </w:r>
      <w:r w:rsidRPr="00D816B7">
        <w:rPr>
          <w:rFonts w:hint="eastAsia"/>
          <w:rtl/>
        </w:rPr>
        <w:t>להג</w:t>
      </w:r>
      <w:r w:rsidRPr="00D816B7">
        <w:rPr>
          <w:rtl/>
        </w:rPr>
        <w:t>"ס</w:t>
      </w:r>
      <w:r w:rsidRPr="00D816B7">
        <w:rPr>
          <w:rtl/>
        </w:rPr>
        <w:t xml:space="preserve"> ברישיון העסק של </w:t>
      </w:r>
      <w:hyperlink r:id="rId25" w:history="1">
        <w:r w:rsidRPr="00D816B7">
          <w:rPr>
            <w:rFonts w:hint="eastAsia"/>
            <w:rtl/>
          </w:rPr>
          <w:t>מפעלי</w:t>
        </w:r>
        <w:r w:rsidRPr="00D816B7">
          <w:rPr>
            <w:rtl/>
          </w:rPr>
          <w:t xml:space="preserve"> </w:t>
        </w:r>
        <w:r w:rsidRPr="00D816B7">
          <w:rPr>
            <w:rFonts w:hint="eastAsia"/>
            <w:rtl/>
          </w:rPr>
          <w:t>הברום</w:t>
        </w:r>
      </w:hyperlink>
      <w:r w:rsidRPr="00D816B7">
        <w:rPr>
          <w:rtl/>
        </w:rPr>
        <w:t xml:space="preserve"> והאשלג, </w:t>
      </w:r>
      <w:r w:rsidRPr="00D816B7">
        <w:rPr>
          <w:rFonts w:hint="eastAsia"/>
          <w:rtl/>
        </w:rPr>
        <w:t>לפ</w:t>
      </w:r>
      <w:r w:rsidR="008F1AF7">
        <w:rPr>
          <w:rFonts w:hint="cs"/>
          <w:rtl/>
        </w:rPr>
        <w:t>נ</w:t>
      </w:r>
      <w:r w:rsidRPr="00D816B7">
        <w:rPr>
          <w:rFonts w:hint="eastAsia"/>
          <w:rtl/>
        </w:rPr>
        <w:t>י</w:t>
      </w:r>
      <w:r w:rsidRPr="00D816B7">
        <w:rPr>
          <w:rtl/>
        </w:rPr>
        <w:t xml:space="preserve"> </w:t>
      </w:r>
      <w:r w:rsidRPr="00D816B7">
        <w:rPr>
          <w:rFonts w:hint="eastAsia"/>
          <w:rtl/>
        </w:rPr>
        <w:t>כ</w:t>
      </w:r>
      <w:r w:rsidRPr="00D816B7">
        <w:rPr>
          <w:rtl/>
        </w:rPr>
        <w:t xml:space="preserve">-25 </w:t>
      </w:r>
      <w:r w:rsidRPr="00D816B7">
        <w:rPr>
          <w:rFonts w:hint="eastAsia"/>
          <w:rtl/>
        </w:rPr>
        <w:t>ו</w:t>
      </w:r>
      <w:r w:rsidRPr="00D816B7">
        <w:rPr>
          <w:rtl/>
        </w:rPr>
        <w:t xml:space="preserve">-15 </w:t>
      </w:r>
      <w:r w:rsidRPr="00D816B7">
        <w:rPr>
          <w:rFonts w:hint="eastAsia"/>
          <w:rtl/>
        </w:rPr>
        <w:t>שנה</w:t>
      </w:r>
      <w:r w:rsidRPr="00D816B7">
        <w:rPr>
          <w:rtl/>
        </w:rPr>
        <w:t xml:space="preserve"> </w:t>
      </w:r>
      <w:r w:rsidRPr="00D816B7">
        <w:rPr>
          <w:rFonts w:hint="eastAsia"/>
          <w:rtl/>
        </w:rPr>
        <w:t>בהתאמה</w:t>
      </w:r>
      <w:r w:rsidRPr="00D816B7">
        <w:rPr>
          <w:rtl/>
        </w:rPr>
        <w:t xml:space="preserve">, </w:t>
      </w:r>
      <w:r w:rsidRPr="00D816B7">
        <w:rPr>
          <w:rFonts w:hint="eastAsia"/>
          <w:rtl/>
        </w:rPr>
        <w:t>לא</w:t>
      </w:r>
      <w:r w:rsidRPr="00D816B7">
        <w:rPr>
          <w:rtl/>
        </w:rPr>
        <w:t xml:space="preserve"> עודכנו </w:t>
      </w:r>
      <w:r w:rsidRPr="00D816B7">
        <w:rPr>
          <w:rFonts w:hint="cs"/>
          <w:rtl/>
        </w:rPr>
        <w:t>והם</w:t>
      </w:r>
      <w:r w:rsidRPr="00D816B7">
        <w:rPr>
          <w:rtl/>
        </w:rPr>
        <w:t xml:space="preserve"> תנאים ישנים, חסרים ומצומצמים לעומת התנאים שהוא קבע למפעלים </w:t>
      </w:r>
      <w:hyperlink r:id="rId26" w:history="1">
        <w:r w:rsidRPr="00D816B7">
          <w:rPr>
            <w:rFonts w:hint="eastAsia"/>
            <w:rtl/>
          </w:rPr>
          <w:t>דומים</w:t>
        </w:r>
        <w:r w:rsidRPr="00D816B7">
          <w:rPr>
            <w:rtl/>
          </w:rPr>
          <w:t xml:space="preserve"> </w:t>
        </w:r>
        <w:r w:rsidRPr="00D816B7">
          <w:rPr>
            <w:rFonts w:hint="eastAsia"/>
            <w:rtl/>
          </w:rPr>
          <w:t>אחרים</w:t>
        </w:r>
      </w:hyperlink>
      <w:r w:rsidRPr="00D816B7">
        <w:rPr>
          <w:rtl/>
        </w:rPr>
        <w:t xml:space="preserve">, </w:t>
      </w:r>
      <w:r w:rsidRPr="005A02A7" w:rsidR="005A02A7">
        <w:rPr>
          <w:rtl/>
        </w:rPr>
        <w:t>ואינם</w:t>
      </w:r>
      <w:r w:rsidR="005A02A7">
        <w:rPr>
          <w:rFonts w:hint="cs"/>
          <w:rtl/>
        </w:rPr>
        <w:t xml:space="preserve"> </w:t>
      </w:r>
      <w:r w:rsidRPr="00D816B7">
        <w:rPr>
          <w:rFonts w:hint="eastAsia"/>
          <w:rtl/>
        </w:rPr>
        <w:t>מתייחסים</w:t>
      </w:r>
      <w:r w:rsidRPr="00D816B7">
        <w:rPr>
          <w:rtl/>
        </w:rPr>
        <w:t xml:space="preserve"> </w:t>
      </w:r>
      <w:r w:rsidRPr="00D816B7">
        <w:rPr>
          <w:rFonts w:hint="eastAsia"/>
          <w:rtl/>
        </w:rPr>
        <w:t>להיבטים</w:t>
      </w:r>
      <w:r w:rsidRPr="00D816B7">
        <w:rPr>
          <w:rtl/>
        </w:rPr>
        <w:t xml:space="preserve"> </w:t>
      </w:r>
      <w:r w:rsidRPr="00D816B7">
        <w:rPr>
          <w:rFonts w:hint="eastAsia"/>
          <w:rtl/>
        </w:rPr>
        <w:t>סביבתיים</w:t>
      </w:r>
      <w:r w:rsidRPr="00D816B7">
        <w:rPr>
          <w:rtl/>
        </w:rPr>
        <w:t xml:space="preserve"> </w:t>
      </w:r>
      <w:r w:rsidRPr="00D816B7">
        <w:rPr>
          <w:rFonts w:hint="eastAsia"/>
          <w:rtl/>
        </w:rPr>
        <w:t>רבים</w:t>
      </w:r>
      <w:r w:rsidRPr="00D816B7">
        <w:rPr>
          <w:rFonts w:hint="cs"/>
          <w:rtl/>
        </w:rPr>
        <w:t xml:space="preserve">. כמו כן נמצא כי הפעילות התעשייתית של </w:t>
      </w:r>
      <w:r w:rsidRPr="00D816B7">
        <w:rPr>
          <w:rFonts w:hint="cs"/>
          <w:rtl/>
        </w:rPr>
        <w:t>מי"ה</w:t>
      </w:r>
      <w:r w:rsidRPr="00D816B7">
        <w:rPr>
          <w:rFonts w:hint="cs"/>
          <w:rtl/>
        </w:rPr>
        <w:t xml:space="preserve"> גרמה לאורך השנים מפגעים סביבתיים, שאפשר שהיו יכולים, ולו באופן חלקי, להימנע, לו היו נקבעים לגביה תנאים סביבתיים ברישיון העסק, והמשרד </w:t>
      </w:r>
      <w:r w:rsidRPr="00D816B7">
        <w:rPr>
          <w:rFonts w:hint="cs"/>
          <w:rtl/>
        </w:rPr>
        <w:t>להג"ס</w:t>
      </w:r>
      <w:r w:rsidRPr="00D816B7">
        <w:rPr>
          <w:rFonts w:hint="cs"/>
          <w:rtl/>
        </w:rPr>
        <w:t xml:space="preserve"> </w:t>
      </w:r>
      <w:r w:rsidRPr="005A02A7" w:rsidR="005A02A7">
        <w:rPr>
          <w:rtl/>
        </w:rPr>
        <w:t>היה מפקח ומוודא</w:t>
      </w:r>
      <w:r w:rsidRPr="00D816B7">
        <w:rPr>
          <w:rFonts w:hint="cs"/>
          <w:rtl/>
        </w:rPr>
        <w:t xml:space="preserve"> כי </w:t>
      </w:r>
      <w:r w:rsidRPr="00D816B7">
        <w:rPr>
          <w:rFonts w:hint="cs"/>
          <w:rtl/>
        </w:rPr>
        <w:t>מי"ה</w:t>
      </w:r>
      <w:r w:rsidRPr="00D816B7">
        <w:rPr>
          <w:rFonts w:hint="cs"/>
          <w:rtl/>
        </w:rPr>
        <w:t xml:space="preserve"> פועלת לפיהם. בין השאר פעילות </w:t>
      </w:r>
      <w:r w:rsidRPr="00D816B7">
        <w:rPr>
          <w:rFonts w:hint="cs"/>
          <w:rtl/>
        </w:rPr>
        <w:t>מי"ה</w:t>
      </w:r>
      <w:r w:rsidRPr="00D816B7">
        <w:rPr>
          <w:rFonts w:hint="cs"/>
          <w:rtl/>
        </w:rPr>
        <w:t xml:space="preserve"> גרמה להמלחה של הקרקע ומי התהום ולפגיעה ניכרת במגוון מיני צומח במניפת נחל צאלים ולתמותה שלהם; לדליפות חומרים מזהמים לשמורת הטבע מדבר יהודה ולנזק אקולוגי לבעלי החיים ולצמחייה שם; </w:t>
      </w:r>
      <w:r w:rsidRPr="00D816B7">
        <w:rPr>
          <w:rFonts w:hint="cs"/>
          <w:rtl/>
        </w:rPr>
        <w:t>ולזליגות</w:t>
      </w:r>
      <w:r w:rsidRPr="00D816B7">
        <w:rPr>
          <w:rFonts w:hint="cs"/>
          <w:rtl/>
        </w:rPr>
        <w:t xml:space="preserve"> אשלג ולזיהומי קרקע. קיומם של שורה של מפגעים סביבתיים במהלך השנים בשעה שהמשרד </w:t>
      </w:r>
      <w:r w:rsidRPr="00D816B7">
        <w:rPr>
          <w:rFonts w:hint="cs"/>
          <w:rtl/>
        </w:rPr>
        <w:t>להג"ס</w:t>
      </w:r>
      <w:r w:rsidRPr="00D816B7">
        <w:rPr>
          <w:rFonts w:hint="cs"/>
          <w:rtl/>
        </w:rPr>
        <w:t xml:space="preserve"> לא מימש את סמכויותיו לפי חוק רישוי עסקים, הביאה גם לקשיים ביכולת לבצע אכיפה לפי חוק רישוי העסקים כלפי מפגעים אלה.</w:t>
      </w:r>
    </w:p>
    <w:p w:rsidR="006734B0" w:rsidRPr="00D816B7" w:rsidP="00D816B7" w14:paraId="073DBC8C" w14:textId="77777777">
      <w:pPr>
        <w:pStyle w:val="7318"/>
        <w:rPr>
          <w:rtl/>
        </w:rPr>
      </w:pPr>
      <w:bookmarkStart w:id="31" w:name="_Hlk189641909"/>
      <w:r w:rsidRPr="00D816B7">
        <w:rPr>
          <w:rFonts w:hint="cs"/>
          <w:rtl/>
        </w:rPr>
        <w:t xml:space="preserve">המועצה האזורית תמר, כרשות רישוי </w:t>
      </w:r>
      <w:r w:rsidRPr="00D816B7">
        <w:rPr>
          <w:rFonts w:hint="cs"/>
          <w:rtl/>
        </w:rPr>
        <w:t>שמי"ה</w:t>
      </w:r>
      <w:r w:rsidRPr="00D816B7">
        <w:rPr>
          <w:rFonts w:hint="cs"/>
          <w:rtl/>
        </w:rPr>
        <w:t xml:space="preserve"> פועלת בתחום שיפוטה, לא נקטה צעדים כדי לוודא </w:t>
      </w:r>
      <w:r w:rsidRPr="00D816B7">
        <w:rPr>
          <w:rFonts w:hint="cs"/>
          <w:rtl/>
        </w:rPr>
        <w:t>שמי"ה</w:t>
      </w:r>
      <w:r w:rsidRPr="00D816B7">
        <w:rPr>
          <w:rFonts w:hint="cs"/>
          <w:rtl/>
        </w:rPr>
        <w:t xml:space="preserve"> פועלת תחת האסדרה הסביבתית הראויה במסגרת תנאים ברישיון העסק, אף שהדבר היה מצופה ממנה. העובדה כי מדובר באחד המפעלים רחבי ההיקף שבתחום שיפוטה ושהוא בעל השפעות סביבתיות נרחבות גם ברמה הארצית, מגבירה את הציפייה כי היא תפעל בנושא, ובכלל זאת תפנה למשרד </w:t>
      </w:r>
      <w:r w:rsidRPr="00D816B7">
        <w:rPr>
          <w:rFonts w:hint="cs"/>
          <w:rtl/>
        </w:rPr>
        <w:t>להג"ס</w:t>
      </w:r>
      <w:r w:rsidRPr="00D816B7">
        <w:rPr>
          <w:rFonts w:hint="cs"/>
          <w:rtl/>
        </w:rPr>
        <w:t xml:space="preserve"> כדי לוודא כי המתקנים השונים פועלים תחת אסדרה סביבתית מעודכנת ומלאה. קיומו של ההסדר המיוחד לגבי </w:t>
      </w:r>
      <w:r w:rsidRPr="00D816B7">
        <w:rPr>
          <w:rFonts w:hint="cs"/>
          <w:rtl/>
        </w:rPr>
        <w:t>מי"ה</w:t>
      </w:r>
      <w:r w:rsidRPr="00D816B7">
        <w:rPr>
          <w:rFonts w:hint="cs"/>
          <w:rtl/>
        </w:rPr>
        <w:t xml:space="preserve">, </w:t>
      </w:r>
      <w:bookmarkStart w:id="32" w:name="_Hlk189651714"/>
      <w:r w:rsidRPr="00D816B7">
        <w:rPr>
          <w:rFonts w:hint="cs"/>
          <w:rtl/>
        </w:rPr>
        <w:t xml:space="preserve">שלפיו רואים פעילויות שבוצעו לפני 1995 כפעילויות עם רישיון עסק, אינו מייתר את הצורך להבטיח כי ברישיון העסק ייקבעו תנאים סביבתיים לעניין פעילויות אלה, וכי הן יבוצעו בהתאם לתנאים אלה. </w:t>
      </w:r>
      <w:bookmarkEnd w:id="32"/>
      <w:r w:rsidRPr="00D816B7">
        <w:rPr>
          <w:rFonts w:hint="cs"/>
          <w:rtl/>
        </w:rPr>
        <w:t xml:space="preserve">דברים אלו יפים ביתר שאת נוכח העובדה שחלפו יותר מ-30 שנה מהמועד שבו נקבע ההסדר המיוחד, והדעת אינה יכולה להשלים עם כך שקיומו של הסדר ישן זה ישמש נימוק לאי-האסדרה המתבקשת. </w:t>
      </w:r>
    </w:p>
    <w:bookmarkEnd w:id="31"/>
    <w:p w:rsidR="006734B0" w:rsidRPr="00D816B7" w:rsidP="00D816B7" w14:paraId="66770918" w14:textId="7F5CAF18">
      <w:pPr>
        <w:pStyle w:val="7318"/>
        <w:rPr>
          <w:rtl/>
        </w:rPr>
      </w:pPr>
      <w:r w:rsidRPr="00D816B7">
        <w:rPr>
          <w:rFonts w:hint="cs"/>
          <w:rtl/>
        </w:rPr>
        <w:t xml:space="preserve">משרד מבקר המדינה מעיר למשרד </w:t>
      </w:r>
      <w:r w:rsidRPr="00D816B7">
        <w:rPr>
          <w:rFonts w:hint="cs"/>
          <w:rtl/>
        </w:rPr>
        <w:t>להג"ס</w:t>
      </w:r>
      <w:r w:rsidRPr="00D816B7">
        <w:rPr>
          <w:rFonts w:hint="cs"/>
          <w:rtl/>
        </w:rPr>
        <w:t xml:space="preserve"> על מחדליו בכל הנוגע לאי-מימוש סמכויותיו מכוח דיני רישוי עסקים באזור רגיש מהבחינה האקולוגית והסביבתית. לצד האמור, </w:t>
      </w:r>
      <w:r w:rsidRPr="00D816B7">
        <w:rPr>
          <w:rtl/>
        </w:rPr>
        <w:t>יש לציין לטובה את עבודת מיפוי התשתיות התעשייתיות בגבולות הזיכיון הנמצאות מחוץ לשטח המפעל</w:t>
      </w:r>
      <w:r w:rsidR="008F1AF7">
        <w:rPr>
          <w:rFonts w:hint="cs"/>
          <w:rtl/>
        </w:rPr>
        <w:t>ים</w:t>
      </w:r>
      <w:r w:rsidRPr="00D816B7">
        <w:rPr>
          <w:rtl/>
        </w:rPr>
        <w:t xml:space="preserve">, </w:t>
      </w:r>
      <w:r w:rsidRPr="00D816B7">
        <w:rPr>
          <w:rFonts w:hint="eastAsia"/>
          <w:rtl/>
        </w:rPr>
        <w:t>אשר</w:t>
      </w:r>
      <w:r w:rsidRPr="00D816B7">
        <w:rPr>
          <w:rtl/>
        </w:rPr>
        <w:t xml:space="preserve"> </w:t>
      </w:r>
      <w:r w:rsidRPr="00D816B7">
        <w:rPr>
          <w:rFonts w:hint="eastAsia"/>
          <w:rtl/>
        </w:rPr>
        <w:t>המשרד</w:t>
      </w:r>
      <w:r w:rsidRPr="00D816B7">
        <w:rPr>
          <w:rtl/>
        </w:rPr>
        <w:t xml:space="preserve"> </w:t>
      </w:r>
      <w:r w:rsidRPr="00D816B7">
        <w:rPr>
          <w:rFonts w:hint="eastAsia"/>
          <w:rtl/>
        </w:rPr>
        <w:t>להג</w:t>
      </w:r>
      <w:r w:rsidRPr="00D816B7">
        <w:rPr>
          <w:rtl/>
        </w:rPr>
        <w:t>"ס</w:t>
      </w:r>
      <w:r w:rsidRPr="00D816B7">
        <w:rPr>
          <w:rtl/>
        </w:rPr>
        <w:t xml:space="preserve"> </w:t>
      </w:r>
      <w:r w:rsidRPr="00D816B7">
        <w:rPr>
          <w:rFonts w:hint="eastAsia"/>
          <w:rtl/>
        </w:rPr>
        <w:t>החל</w:t>
      </w:r>
      <w:r w:rsidRPr="00D816B7">
        <w:rPr>
          <w:rtl/>
        </w:rPr>
        <w:t xml:space="preserve"> </w:t>
      </w:r>
      <w:r w:rsidRPr="00D816B7">
        <w:rPr>
          <w:rFonts w:hint="eastAsia"/>
          <w:rtl/>
        </w:rPr>
        <w:t>לבצע</w:t>
      </w:r>
      <w:r w:rsidRPr="00D816B7">
        <w:rPr>
          <w:rtl/>
        </w:rPr>
        <w:t xml:space="preserve"> </w:t>
      </w:r>
      <w:r w:rsidRPr="00D816B7">
        <w:rPr>
          <w:rFonts w:hint="eastAsia"/>
          <w:rtl/>
        </w:rPr>
        <w:t>בשנת</w:t>
      </w:r>
      <w:r w:rsidRPr="00D816B7">
        <w:rPr>
          <w:rtl/>
        </w:rPr>
        <w:t xml:space="preserve"> 2023, </w:t>
      </w:r>
      <w:r w:rsidRPr="00D816B7">
        <w:rPr>
          <w:rFonts w:hint="eastAsia"/>
          <w:rtl/>
        </w:rPr>
        <w:t>ואת</w:t>
      </w:r>
      <w:r w:rsidRPr="00D816B7">
        <w:rPr>
          <w:rtl/>
        </w:rPr>
        <w:t xml:space="preserve"> </w:t>
      </w:r>
      <w:r w:rsidRPr="00D816B7">
        <w:rPr>
          <w:rFonts w:hint="eastAsia"/>
          <w:rtl/>
        </w:rPr>
        <w:t>כוונתו</w:t>
      </w:r>
      <w:r w:rsidRPr="00D816B7">
        <w:rPr>
          <w:rtl/>
        </w:rPr>
        <w:t xml:space="preserve"> </w:t>
      </w:r>
      <w:r w:rsidRPr="00D816B7">
        <w:rPr>
          <w:rFonts w:hint="eastAsia"/>
          <w:rtl/>
        </w:rPr>
        <w:t>לפעול</w:t>
      </w:r>
      <w:r w:rsidRPr="00D816B7">
        <w:rPr>
          <w:rtl/>
        </w:rPr>
        <w:t xml:space="preserve"> </w:t>
      </w:r>
      <w:r w:rsidRPr="00D816B7">
        <w:rPr>
          <w:rFonts w:hint="eastAsia"/>
          <w:rtl/>
        </w:rPr>
        <w:t>לאסדרתן</w:t>
      </w:r>
      <w:r w:rsidRPr="00D816B7">
        <w:rPr>
          <w:rtl/>
        </w:rPr>
        <w:t>.</w:t>
      </w:r>
      <w:r w:rsidRPr="00D816B7">
        <w:rPr>
          <w:rFonts w:hint="cs"/>
          <w:rtl/>
        </w:rPr>
        <w:t xml:space="preserve"> ואולם, מצופה היה כי המשרד </w:t>
      </w:r>
      <w:r w:rsidRPr="00D816B7">
        <w:rPr>
          <w:rFonts w:hint="cs"/>
          <w:rtl/>
        </w:rPr>
        <w:t>להג"ס</w:t>
      </w:r>
      <w:r w:rsidRPr="00D816B7">
        <w:rPr>
          <w:rFonts w:hint="cs"/>
          <w:rtl/>
        </w:rPr>
        <w:t xml:space="preserve"> היה אוסף מידע זה באופן שוטף ולא רק לקראת סוף תקופת הזיכיון והיה מממש את סמכויותיו להסדרת הפעילות כבר לפני שנים.</w:t>
      </w:r>
    </w:p>
    <w:p w:rsidR="006734B0" w:rsidP="00D816B7" w14:paraId="7FA4CD6F" w14:textId="55CCAE87">
      <w:pPr>
        <w:pStyle w:val="7392"/>
        <w:rPr>
          <w:rtl/>
        </w:rPr>
      </w:pPr>
      <w:r>
        <w:rPr>
          <w:rFonts w:hint="cs"/>
          <w:rtl/>
        </w:rPr>
        <w:t xml:space="preserve">המשרד </w:t>
      </w:r>
      <w:r>
        <w:rPr>
          <w:rFonts w:hint="cs"/>
          <w:rtl/>
        </w:rPr>
        <w:t>להג"ס</w:t>
      </w:r>
      <w:r>
        <w:rPr>
          <w:rFonts w:hint="cs"/>
          <w:rtl/>
        </w:rPr>
        <w:t xml:space="preserve"> מסר בתשובותיו למשרד מבקר המדינה כי הוא מקבל את הביקורת על כך שתשתיות תעשייתיות רבות טרם הוסדרו באמצעות תנאים סביבתיים לרישיון עסק, בייחוד מחוץ לשטח מפעלי סדום. עם זאת ציין המשרד </w:t>
      </w:r>
      <w:r>
        <w:rPr>
          <w:rFonts w:hint="cs"/>
          <w:rtl/>
        </w:rPr>
        <w:t>להג"ס</w:t>
      </w:r>
      <w:r>
        <w:rPr>
          <w:rFonts w:hint="cs"/>
          <w:rtl/>
        </w:rPr>
        <w:t xml:space="preserve"> כי קיימת חקיקה סביבתית אחרת הקובעת כללים ותנאים לפעילות זו, ולחלק מהתשתיות הוגדרו תנאים סביבתיים במסגרת רגולטורית אחרת וכי מרבית הפעילות התעשייתית המשמעותית, בעלת הפוטנציאל הגבוה ביותר למפגעים סביבתיים נמצא</w:t>
      </w:r>
      <w:r w:rsidR="00361EA9">
        <w:rPr>
          <w:rFonts w:hint="cs"/>
          <w:rtl/>
        </w:rPr>
        <w:t>ת</w:t>
      </w:r>
      <w:r>
        <w:rPr>
          <w:rFonts w:hint="cs"/>
          <w:rtl/>
        </w:rPr>
        <w:t xml:space="preserve"> בשטח המפעלים. עוד הוא מסר כי הוא החל בקביעת תנאים סביבתיים ברישיונות העסק לתשתיות שונות בשטח הזיכיון, וכי בכוונתו להחיל דרישות אלו בחודשים הקרובים, וחלקן כבר נמסרו </w:t>
      </w:r>
      <w:r>
        <w:rPr>
          <w:rFonts w:hint="cs"/>
          <w:rtl/>
        </w:rPr>
        <w:t>למי"ה</w:t>
      </w:r>
      <w:r>
        <w:rPr>
          <w:rFonts w:hint="cs"/>
          <w:rtl/>
        </w:rPr>
        <w:t xml:space="preserve"> לאחר מועד סיום הביקורת. </w:t>
      </w:r>
    </w:p>
    <w:p w:rsidR="006734B0" w:rsidP="00D816B7" w14:paraId="706A14DB" w14:textId="51F56020">
      <w:pPr>
        <w:pStyle w:val="7392"/>
        <w:rPr>
          <w:rtl/>
        </w:rPr>
      </w:pPr>
      <w:r>
        <w:rPr>
          <w:rFonts w:hint="cs"/>
          <w:rtl/>
        </w:rPr>
        <w:t xml:space="preserve">משרד האוצר מסר בתשובתו למשרד מבקר המדינה מספטמבר 2024 (להלן - תשובת משרד האוצר) כי המלצת הצוות הבין-משרדי להיערכות לתום תקופת הזיכיון </w:t>
      </w:r>
      <w:r w:rsidRPr="005A02A7" w:rsidR="005A02A7">
        <w:rPr>
          <w:rtl/>
        </w:rPr>
        <w:t>אשר פרסם להערות הציבור את טיוטת המלצותיו בספטמבר 2024</w:t>
      </w:r>
      <w:r>
        <w:rPr>
          <w:rStyle w:val="FootnoteReference1"/>
          <w:rtl/>
        </w:rPr>
        <w:footnoteReference w:id="31"/>
      </w:r>
      <w:r w:rsidR="005A02A7">
        <w:rPr>
          <w:rFonts w:hint="cs"/>
          <w:rtl/>
        </w:rPr>
        <w:t xml:space="preserve"> </w:t>
      </w:r>
      <w:r>
        <w:rPr>
          <w:rFonts w:hint="cs"/>
          <w:rtl/>
        </w:rPr>
        <w:t xml:space="preserve">היא כי </w:t>
      </w:r>
      <w:r>
        <w:rPr>
          <w:rFonts w:hint="cs"/>
          <w:rtl/>
        </w:rPr>
        <w:t>מי"ה</w:t>
      </w:r>
      <w:r>
        <w:rPr>
          <w:rFonts w:hint="cs"/>
          <w:rtl/>
        </w:rPr>
        <w:t xml:space="preserve"> תטפל בכלל המפגעים ובכל מה שטעון טיפול בהתאם לאסדרה שהם יידרשו אליה, בהתאם לעקרון "המזהם משלם"</w:t>
      </w:r>
      <w:r>
        <w:rPr>
          <w:rStyle w:val="FootnoteReference1"/>
          <w:rtl/>
        </w:rPr>
        <w:footnoteReference w:id="32"/>
      </w:r>
      <w:r>
        <w:rPr>
          <w:rFonts w:hint="cs"/>
          <w:rtl/>
        </w:rPr>
        <w:t xml:space="preserve">. </w:t>
      </w:r>
    </w:p>
    <w:p w:rsidR="006734B0" w:rsidRPr="00D816B7" w:rsidP="00D816B7" w14:paraId="30AF0760" w14:textId="65D51BD6">
      <w:pPr>
        <w:pStyle w:val="7318"/>
        <w:rPr>
          <w:rtl/>
        </w:rPr>
      </w:pPr>
      <w:r w:rsidRPr="00D816B7">
        <w:rPr>
          <w:rFonts w:hint="cs"/>
          <w:rtl/>
        </w:rPr>
        <w:t xml:space="preserve">על המשרד </w:t>
      </w:r>
      <w:r w:rsidRPr="00D816B7">
        <w:rPr>
          <w:rFonts w:hint="cs"/>
          <w:rtl/>
        </w:rPr>
        <w:t>להג"ס</w:t>
      </w:r>
      <w:r w:rsidRPr="00D816B7">
        <w:rPr>
          <w:rFonts w:hint="cs"/>
          <w:rtl/>
        </w:rPr>
        <w:t xml:space="preserve"> לפעול בהקדם </w:t>
      </w:r>
      <w:r w:rsidRPr="00D816B7">
        <w:rPr>
          <w:rFonts w:hint="cs"/>
          <w:rtl/>
        </w:rPr>
        <w:t>לאסדרת</w:t>
      </w:r>
      <w:r w:rsidRPr="00D816B7">
        <w:rPr>
          <w:rFonts w:hint="cs"/>
          <w:rtl/>
        </w:rPr>
        <w:t xml:space="preserve"> תנאים סביבתיים ייעודיים ברישיון העסק של </w:t>
      </w:r>
      <w:r w:rsidRPr="00D816B7">
        <w:rPr>
          <w:rFonts w:hint="cs"/>
          <w:rtl/>
        </w:rPr>
        <w:t>מי"ה</w:t>
      </w:r>
      <w:r w:rsidRPr="00D816B7">
        <w:rPr>
          <w:rFonts w:hint="cs"/>
          <w:rtl/>
        </w:rPr>
        <w:t xml:space="preserve"> לגבי כלל הפעילויות שהיא מבצעת בתחום הזיכיון, אלו אשר נמצאות בשטח </w:t>
      </w:r>
      <w:r w:rsidRPr="004531B1" w:rsidR="004531B1">
        <w:rPr>
          <w:rtl/>
        </w:rPr>
        <w:t>המפעלים</w:t>
      </w:r>
      <w:r w:rsidRPr="00D816B7">
        <w:rPr>
          <w:rFonts w:hint="cs"/>
          <w:rtl/>
        </w:rPr>
        <w:t xml:space="preserve"> ואלו אשר נמצאות מחוץ לשטח המפעל</w:t>
      </w:r>
      <w:r w:rsidR="008F1AF7">
        <w:rPr>
          <w:rFonts w:hint="cs"/>
          <w:rtl/>
        </w:rPr>
        <w:t>ים</w:t>
      </w:r>
      <w:r w:rsidRPr="00D816B7">
        <w:rPr>
          <w:rFonts w:hint="cs"/>
          <w:rtl/>
        </w:rPr>
        <w:t>, בהמשך לאסדרה שביצע לגבי התנאים הסביבתיים שנקבעו ברישיון העסק של מפעל</w:t>
      </w:r>
      <w:r w:rsidR="008F1AF7">
        <w:rPr>
          <w:rFonts w:hint="cs"/>
          <w:rtl/>
        </w:rPr>
        <w:t>י</w:t>
      </w:r>
      <w:r w:rsidRPr="00D816B7">
        <w:rPr>
          <w:rFonts w:hint="cs"/>
          <w:rtl/>
        </w:rPr>
        <w:t xml:space="preserve"> המגנזיום בשנת 2023. מן הראוי כי המועצה האזורית תהיה מעורבת בקיומו של תהליך המסדיר את עדכון התנאים </w:t>
      </w:r>
      <w:r w:rsidRPr="00D816B7">
        <w:rPr>
          <w:rFonts w:hint="cs"/>
          <w:rtl/>
        </w:rPr>
        <w:t>למי"ה</w:t>
      </w:r>
      <w:r w:rsidRPr="00D816B7">
        <w:rPr>
          <w:rFonts w:hint="cs"/>
          <w:rtl/>
        </w:rPr>
        <w:t xml:space="preserve"> כדי לוודא שפעילות תעשייתית רחבת היקף בתחומה פועלת תחת רגולציה הולמת. מצב שבו תשתיות תעשייתיות רבות, שלהן פוטנציאל זיהום סביבתי ניכר, פועלות ללא תנאים ייעודיים ברישיון העסק שנועדו למזער את הפגיעה בסביבה, הוא מצב בלתי מתקבל על הדעת שיש לתקנו לאלתר.</w:t>
      </w:r>
      <w:r>
        <w:rPr>
          <w:rFonts w:hint="cs"/>
          <w:rtl/>
        </w:rPr>
        <w:t xml:space="preserve"> </w:t>
      </w:r>
      <w:r w:rsidRPr="00D816B7">
        <w:rPr>
          <w:rFonts w:hint="cs"/>
          <w:rtl/>
        </w:rPr>
        <w:t xml:space="preserve">הדברים חמורים בפרט לנוכח החותם הסביבתי </w:t>
      </w:r>
      <w:r w:rsidRPr="00D816B7">
        <w:rPr>
          <w:rFonts w:hint="eastAsia"/>
          <w:rtl/>
        </w:rPr>
        <w:t>ה</w:t>
      </w:r>
      <w:r w:rsidRPr="00D816B7">
        <w:rPr>
          <w:rFonts w:hint="cs"/>
          <w:rtl/>
        </w:rPr>
        <w:t xml:space="preserve">ניכר שמותירה הפעילות התעשייתית בחבל ארץ ייחודי זה של ים המלח, שבו ערכי טבע רבים ושלו חשיבות לאומית ובין-לאומית. </w:t>
      </w:r>
    </w:p>
    <w:bookmarkEnd w:id="17"/>
    <w:bookmarkEnd w:id="26"/>
    <w:bookmarkEnd w:id="27"/>
    <w:p w:rsidR="006734B0" w:rsidRPr="00331AB4" w:rsidP="00331AB4" w14:paraId="45BAC46B" w14:textId="77777777">
      <w:pPr>
        <w:pStyle w:val="7329"/>
        <w:rPr>
          <w:rtl/>
        </w:rPr>
      </w:pPr>
      <w:r w:rsidRPr="00331AB4">
        <w:rPr>
          <w:rFonts w:hint="cs"/>
          <w:rtl/>
        </w:rPr>
        <w:t>אסדרת</w:t>
      </w:r>
      <w:r w:rsidRPr="00331AB4">
        <w:rPr>
          <w:rFonts w:hint="cs"/>
          <w:rtl/>
        </w:rPr>
        <w:t xml:space="preserve"> פעילות הכרייה והחציבה של </w:t>
      </w:r>
      <w:r w:rsidRPr="00331AB4">
        <w:rPr>
          <w:rFonts w:hint="cs"/>
          <w:rtl/>
        </w:rPr>
        <w:t>מי"ה</w:t>
      </w:r>
      <w:r w:rsidRPr="00331AB4">
        <w:rPr>
          <w:rFonts w:hint="cs"/>
          <w:rtl/>
        </w:rPr>
        <w:t xml:space="preserve"> </w:t>
      </w:r>
    </w:p>
    <w:p w:rsidR="006734B0" w:rsidRPr="000E5CC8" w:rsidP="00D816B7" w14:paraId="290E0ED8" w14:textId="1BB8ED5A">
      <w:pPr>
        <w:pStyle w:val="7392"/>
        <w:rPr>
          <w:rtl/>
        </w:rPr>
      </w:pPr>
      <w:r>
        <w:rPr>
          <w:rFonts w:hint="cs"/>
          <w:rtl/>
        </w:rPr>
        <w:t xml:space="preserve">משנת 1996 משרד </w:t>
      </w:r>
      <w:r>
        <w:rPr>
          <w:rFonts w:hint="cs"/>
          <w:rtl/>
        </w:rPr>
        <w:t>האנרגייה</w:t>
      </w:r>
      <w:r>
        <w:rPr>
          <w:rFonts w:hint="cs"/>
          <w:rtl/>
        </w:rPr>
        <w:t xml:space="preserve"> באמצעות אגף מחצבות ומכרות הוא המשרד האחראי ל</w:t>
      </w:r>
      <w:r w:rsidRPr="00EA58D2">
        <w:rPr>
          <w:rFonts w:hint="cs"/>
          <w:rtl/>
        </w:rPr>
        <w:t>רישוי אתרי</w:t>
      </w:r>
      <w:r>
        <w:rPr>
          <w:rFonts w:hint="cs"/>
          <w:rtl/>
        </w:rPr>
        <w:t xml:space="preserve"> חציבה וכרייה</w:t>
      </w:r>
      <w:r>
        <w:rPr>
          <w:vertAlign w:val="superscript"/>
          <w:rtl/>
        </w:rPr>
        <w:footnoteReference w:id="33"/>
      </w:r>
      <w:r w:rsidRPr="00784B1E">
        <w:rPr>
          <w:rFonts w:hint="cs"/>
          <w:rtl/>
        </w:rPr>
        <w:t>,</w:t>
      </w:r>
      <w:r>
        <w:rPr>
          <w:rFonts w:hint="cs"/>
          <w:rtl/>
        </w:rPr>
        <w:t xml:space="preserve"> לפיקוח על פעילותם </w:t>
      </w:r>
      <w:r w:rsidRPr="00EA58D2">
        <w:rPr>
          <w:rFonts w:hint="cs"/>
          <w:rtl/>
        </w:rPr>
        <w:t>ולגיבוש</w:t>
      </w:r>
      <w:r w:rsidRPr="00EA58D2">
        <w:rPr>
          <w:rFonts w:ascii="Rubik" w:hAnsi="Rubik" w:hint="cs"/>
          <w:shd w:val="clear" w:color="auto" w:fill="FFFFFF"/>
          <w:rtl/>
        </w:rPr>
        <w:t xml:space="preserve"> מדיניות</w:t>
      </w:r>
      <w:r>
        <w:rPr>
          <w:rFonts w:ascii="Rubik" w:hAnsi="Rubik" w:hint="cs"/>
          <w:color w:val="0C3058"/>
          <w:shd w:val="clear" w:color="auto" w:fill="FFFFFF"/>
          <w:rtl/>
        </w:rPr>
        <w:t xml:space="preserve"> </w:t>
      </w:r>
      <w:r>
        <w:rPr>
          <w:rFonts w:ascii="Rubik" w:hAnsi="Rubik" w:hint="cs"/>
          <w:shd w:val="clear" w:color="auto" w:fill="FFFFFF"/>
          <w:rtl/>
        </w:rPr>
        <w:t xml:space="preserve">לשם הבטחת זמינות </w:t>
      </w:r>
      <w:r w:rsidRPr="004531B1" w:rsidR="004531B1">
        <w:rPr>
          <w:rFonts w:ascii="Rubik" w:hAnsi="Rubik"/>
          <w:shd w:val="clear" w:color="auto" w:fill="FFFFFF"/>
          <w:rtl/>
        </w:rPr>
        <w:t>חומרי גלם</w:t>
      </w:r>
      <w:r>
        <w:rPr>
          <w:rFonts w:ascii="Rubik" w:hAnsi="Rubik" w:hint="cs"/>
          <w:shd w:val="clear" w:color="auto" w:fill="FFFFFF"/>
          <w:rtl/>
        </w:rPr>
        <w:t xml:space="preserve"> ולשם הבטחת קיומו של משק מחצבים יעיל מהבחינה הכלכלית ואחראי מהבחינה הסביבתית</w:t>
      </w:r>
      <w:r>
        <w:rPr>
          <w:rStyle w:val="FootnoteReference1"/>
          <w:rFonts w:ascii="Rubik" w:hAnsi="Rubik"/>
          <w:sz w:val="24"/>
          <w:shd w:val="clear" w:color="auto" w:fill="FFFFFF"/>
          <w:rtl/>
        </w:rPr>
        <w:footnoteReference w:id="34"/>
      </w:r>
      <w:r>
        <w:rPr>
          <w:rFonts w:ascii="Rubik" w:hAnsi="Rubik" w:hint="cs"/>
          <w:shd w:val="clear" w:color="auto" w:fill="FFFFFF"/>
          <w:rtl/>
        </w:rPr>
        <w:t>.</w:t>
      </w:r>
      <w:r>
        <w:rPr>
          <w:rFonts w:ascii="David" w:hAnsi="David" w:hint="cs"/>
          <w:rtl/>
        </w:rPr>
        <w:t xml:space="preserve"> </w:t>
      </w:r>
      <w:r w:rsidRPr="00D121E5">
        <w:rPr>
          <w:rFonts w:ascii="David" w:hAnsi="David" w:hint="cs"/>
          <w:rtl/>
        </w:rPr>
        <w:t xml:space="preserve">יצוין כי </w:t>
      </w:r>
      <w:r>
        <w:rPr>
          <w:rFonts w:ascii="David" w:hAnsi="David" w:hint="cs"/>
          <w:rtl/>
        </w:rPr>
        <w:t xml:space="preserve">פעילותם של </w:t>
      </w:r>
      <w:r w:rsidRPr="00D121E5">
        <w:rPr>
          <w:rFonts w:ascii="David" w:hAnsi="David" w:hint="cs"/>
          <w:rtl/>
        </w:rPr>
        <w:t>בעל</w:t>
      </w:r>
      <w:r>
        <w:rPr>
          <w:rFonts w:ascii="David" w:hAnsi="David" w:hint="cs"/>
          <w:rtl/>
        </w:rPr>
        <w:t>י</w:t>
      </w:r>
      <w:r w:rsidRPr="00D121E5">
        <w:rPr>
          <w:rFonts w:ascii="David" w:hAnsi="David" w:hint="cs"/>
          <w:rtl/>
        </w:rPr>
        <w:t xml:space="preserve"> מחצב</w:t>
      </w:r>
      <w:r>
        <w:rPr>
          <w:rFonts w:ascii="David" w:hAnsi="David" w:hint="cs"/>
          <w:rtl/>
        </w:rPr>
        <w:t>ות</w:t>
      </w:r>
      <w:r w:rsidRPr="00D121E5">
        <w:rPr>
          <w:rFonts w:ascii="David" w:hAnsi="David" w:hint="cs"/>
          <w:rtl/>
        </w:rPr>
        <w:t xml:space="preserve"> </w:t>
      </w:r>
      <w:r>
        <w:rPr>
          <w:rFonts w:ascii="David" w:hAnsi="David" w:hint="cs"/>
          <w:rtl/>
        </w:rPr>
        <w:t xml:space="preserve">נתונה לפיקוח ולהסדרה על ידי רגולטורים נוספים, ובהם </w:t>
      </w:r>
      <w:r>
        <w:rPr>
          <w:rFonts w:ascii="David" w:hAnsi="David" w:hint="cs"/>
          <w:rtl/>
        </w:rPr>
        <w:t>רמ"י</w:t>
      </w:r>
      <w:r>
        <w:rPr>
          <w:rFonts w:ascii="David" w:hAnsi="David" w:hint="cs"/>
          <w:rtl/>
        </w:rPr>
        <w:t xml:space="preserve">, המשרד </w:t>
      </w:r>
      <w:r>
        <w:rPr>
          <w:rFonts w:ascii="David" w:hAnsi="David" w:hint="cs"/>
          <w:rtl/>
        </w:rPr>
        <w:t>להג"ס</w:t>
      </w:r>
      <w:r>
        <w:rPr>
          <w:rFonts w:ascii="David" w:hAnsi="David" w:hint="cs"/>
          <w:rtl/>
        </w:rPr>
        <w:t xml:space="preserve">, רשויות מקומיות וועדות תכנון ובנייה, וזאת מכוח מגוון של דינים והנחיות. כך, בין היתר, </w:t>
      </w:r>
      <w:r w:rsidRPr="00D121E5">
        <w:rPr>
          <w:rFonts w:ascii="David" w:hAnsi="David" w:hint="cs"/>
          <w:rtl/>
        </w:rPr>
        <w:t>נדרש</w:t>
      </w:r>
      <w:r>
        <w:rPr>
          <w:rFonts w:ascii="David" w:hAnsi="David" w:hint="cs"/>
          <w:rtl/>
        </w:rPr>
        <w:t>ים</w:t>
      </w:r>
      <w:r w:rsidRPr="00D121E5">
        <w:rPr>
          <w:rFonts w:ascii="David" w:hAnsi="David" w:hint="cs"/>
          <w:rtl/>
        </w:rPr>
        <w:t xml:space="preserve"> </w:t>
      </w:r>
      <w:r>
        <w:rPr>
          <w:rFonts w:ascii="David" w:hAnsi="David" w:hint="cs"/>
          <w:rtl/>
        </w:rPr>
        <w:t xml:space="preserve">בעלי מחצבות </w:t>
      </w:r>
      <w:r w:rsidRPr="00D121E5">
        <w:rPr>
          <w:rFonts w:ascii="David" w:hAnsi="David" w:hint="cs"/>
          <w:rtl/>
        </w:rPr>
        <w:t xml:space="preserve">לעמוד בתנאי רישיון העסק החל על המחצבה, בהוראות </w:t>
      </w:r>
      <w:r w:rsidRPr="00D121E5">
        <w:rPr>
          <w:rFonts w:ascii="David" w:hAnsi="David" w:hint="cs"/>
          <w:rtl/>
        </w:rPr>
        <w:t>ת</w:t>
      </w:r>
      <w:r>
        <w:rPr>
          <w:rFonts w:ascii="David" w:hAnsi="David" w:hint="cs"/>
          <w:rtl/>
        </w:rPr>
        <w:t>ו</w:t>
      </w:r>
      <w:r w:rsidRPr="00D121E5">
        <w:rPr>
          <w:rFonts w:ascii="David" w:hAnsi="David" w:hint="cs"/>
          <w:rtl/>
        </w:rPr>
        <w:t>כנית מפורטת תקפה המאפשרת כרייה וחציבה, בתקנות למניעת מפגעים (מניעת זיהום אוויר ורעש ממחצבה), התשנ"ח-1998, בתקנות הבטיחות בעבודה (מחצבות-אבן), התשכ"ה-1965</w:t>
      </w:r>
      <w:r>
        <w:rPr>
          <w:rFonts w:ascii="David" w:hAnsi="David" w:hint="cs"/>
          <w:rtl/>
        </w:rPr>
        <w:t>,</w:t>
      </w:r>
      <w:r w:rsidRPr="00D121E5">
        <w:rPr>
          <w:rFonts w:ascii="David" w:hAnsi="David" w:hint="cs"/>
          <w:rtl/>
        </w:rPr>
        <w:t xml:space="preserve"> ו</w:t>
      </w:r>
      <w:r>
        <w:rPr>
          <w:rFonts w:ascii="David" w:hAnsi="David" w:hint="cs"/>
          <w:rtl/>
        </w:rPr>
        <w:t>בהוראות דין נוספות</w:t>
      </w:r>
      <w:r w:rsidRPr="00D121E5">
        <w:rPr>
          <w:rFonts w:ascii="David" w:hAnsi="David" w:hint="cs"/>
          <w:rtl/>
        </w:rPr>
        <w:t>.</w:t>
      </w:r>
      <w:r>
        <w:rPr>
          <w:rFonts w:ascii="David" w:hAnsi="David" w:cs="David" w:hint="cs"/>
          <w:rtl/>
        </w:rPr>
        <w:t xml:space="preserve"> </w:t>
      </w:r>
      <w:r w:rsidRPr="0007736C" w:rsidR="004531B1">
        <w:rPr>
          <w:rFonts w:ascii="David" w:hAnsi="David" w:hint="cs"/>
          <w:rtl/>
        </w:rPr>
        <w:t xml:space="preserve">פרק זה עוסק בעיקרו בפעולות האסדרה והפיקוח של משרד </w:t>
      </w:r>
      <w:r w:rsidRPr="0007736C" w:rsidR="004531B1">
        <w:rPr>
          <w:rFonts w:ascii="David" w:hAnsi="David" w:hint="cs"/>
          <w:rtl/>
        </w:rPr>
        <w:t>האנרגייה</w:t>
      </w:r>
      <w:r w:rsidRPr="0007736C" w:rsidR="004531B1">
        <w:rPr>
          <w:rFonts w:ascii="David" w:hAnsi="David" w:hint="cs"/>
          <w:rtl/>
        </w:rPr>
        <w:t xml:space="preserve">, כמשרד האחראי </w:t>
      </w:r>
      <w:r w:rsidR="004531B1">
        <w:rPr>
          <w:rFonts w:ascii="David" w:hAnsi="David" w:hint="cs"/>
          <w:rtl/>
        </w:rPr>
        <w:t>ל</w:t>
      </w:r>
      <w:r w:rsidRPr="0007736C" w:rsidR="004531B1">
        <w:rPr>
          <w:rFonts w:ascii="David" w:hAnsi="David" w:hint="cs"/>
          <w:rtl/>
        </w:rPr>
        <w:t xml:space="preserve">משק </w:t>
      </w:r>
      <w:r w:rsidRPr="002B0B66" w:rsidR="004531B1">
        <w:rPr>
          <w:rFonts w:ascii="David" w:hAnsi="David" w:hint="cs"/>
          <w:rtl/>
        </w:rPr>
        <w:t>הכרייה והחציבה בארץ, ומתוקף כך</w:t>
      </w:r>
      <w:r w:rsidR="004531B1">
        <w:rPr>
          <w:rFonts w:ascii="David" w:hAnsi="David" w:cs="David" w:hint="cs"/>
          <w:rtl/>
        </w:rPr>
        <w:t xml:space="preserve"> </w:t>
      </w:r>
      <w:r w:rsidRPr="002B0B66" w:rsidR="004531B1">
        <w:rPr>
          <w:rFonts w:ascii="David" w:hAnsi="David" w:hint="cs"/>
          <w:rtl/>
        </w:rPr>
        <w:t xml:space="preserve">גם על פעילות הכרייה של </w:t>
      </w:r>
      <w:r w:rsidRPr="002B0B66" w:rsidR="004531B1">
        <w:rPr>
          <w:rFonts w:ascii="David" w:hAnsi="David" w:hint="cs"/>
          <w:rtl/>
        </w:rPr>
        <w:t>מי"ה</w:t>
      </w:r>
      <w:r w:rsidR="004531B1">
        <w:rPr>
          <w:rFonts w:ascii="David" w:hAnsi="David" w:hint="cs"/>
          <w:rtl/>
        </w:rPr>
        <w:t>.</w:t>
      </w:r>
    </w:p>
    <w:p w:rsidR="006734B0" w:rsidP="00D816B7" w14:paraId="1B5C435F" w14:textId="77777777">
      <w:pPr>
        <w:pStyle w:val="7392"/>
        <w:rPr>
          <w:color w:val="000000"/>
          <w:szCs w:val="20"/>
          <w:rtl/>
        </w:rPr>
      </w:pPr>
      <w:r>
        <w:rPr>
          <w:rFonts w:hint="cs"/>
          <w:rtl/>
        </w:rPr>
        <w:t>חוק הזיכיון קובע</w:t>
      </w:r>
      <w:r>
        <w:rPr>
          <w:rStyle w:val="FootnoteReference1"/>
          <w:rtl/>
        </w:rPr>
        <w:footnoteReference w:id="35"/>
      </w:r>
      <w:r>
        <w:rPr>
          <w:rFonts w:hint="cs"/>
          <w:rtl/>
        </w:rPr>
        <w:t xml:space="preserve"> כי בכפוף לאישור הרשות המוסמכת, </w:t>
      </w:r>
      <w:r>
        <w:rPr>
          <w:rFonts w:hint="cs"/>
          <w:rtl/>
        </w:rPr>
        <w:t>למי"ה</w:t>
      </w:r>
      <w:r>
        <w:rPr>
          <w:rFonts w:hint="cs"/>
          <w:rtl/>
        </w:rPr>
        <w:t xml:space="preserve"> הזכות "להשיג דרך חציבה, כריה או בכל דרך הפקה אחרת, סלעי דולומיט וסלעים אחרים ומלחי מחצב, מחצבים וכימיקלים ככל שיידרשו מזמן לזמן... לצורך כל תהליך המשתמש במלחי מחצב, מחצבים וכימיקלים המושגים או ניתנים להשגה מים המלח, ולחצוב לשם הפקת מלח-סלע בהר סדום או בסביבתו"; וכן הזכות "לחצוב לשם הפקת החומרים הדרושים לבנייתו, להרחבתו ולהחזקתו של המפעל". מכאן שהזיכיון אומנם מתיר </w:t>
      </w:r>
      <w:r>
        <w:rPr>
          <w:rFonts w:hint="cs"/>
          <w:rtl/>
        </w:rPr>
        <w:t>למי"ה</w:t>
      </w:r>
      <w:r>
        <w:rPr>
          <w:rFonts w:hint="cs"/>
          <w:rtl/>
        </w:rPr>
        <w:t xml:space="preserve"> לבצע פעולות כרייה וחציבה, אך זאת בכפוף לאישור הרשות המוסמכת, בענייננו משרד </w:t>
      </w:r>
      <w:r>
        <w:rPr>
          <w:rFonts w:hint="cs"/>
          <w:rtl/>
        </w:rPr>
        <w:t>האנרגייה</w:t>
      </w:r>
      <w:r>
        <w:rPr>
          <w:rFonts w:hint="cs"/>
          <w:rtl/>
        </w:rPr>
        <w:t xml:space="preserve"> האחראי </w:t>
      </w:r>
      <w:r>
        <w:rPr>
          <w:rFonts w:hint="cs"/>
          <w:rtl/>
        </w:rPr>
        <w:t>לאסדרת</w:t>
      </w:r>
      <w:r>
        <w:rPr>
          <w:rFonts w:hint="cs"/>
          <w:rtl/>
        </w:rPr>
        <w:t xml:space="preserve"> תחום הכרייה והחציבה בארץ</w:t>
      </w:r>
      <w:r>
        <w:rPr>
          <w:rStyle w:val="FootnoteReference1"/>
          <w:rtl/>
        </w:rPr>
        <w:footnoteReference w:id="36"/>
      </w:r>
      <w:r>
        <w:rPr>
          <w:rFonts w:hint="cs"/>
          <w:rtl/>
        </w:rPr>
        <w:t>.</w:t>
      </w:r>
      <w:r>
        <w:rPr>
          <w:rStyle w:val="default"/>
          <w:rFonts w:ascii="FrankRuehl" w:hAnsi="FrankRuehl" w:hint="cs"/>
          <w:color w:val="000000"/>
          <w:sz w:val="26"/>
          <w:szCs w:val="26"/>
          <w:rtl/>
        </w:rPr>
        <w:t xml:space="preserve"> </w:t>
      </w:r>
    </w:p>
    <w:p w:rsidR="006734B0" w:rsidP="00D816B7" w14:paraId="3D915141" w14:textId="79069EEF">
      <w:pPr>
        <w:pStyle w:val="7392"/>
        <w:rPr>
          <w:rtl/>
        </w:rPr>
      </w:pPr>
      <w:r>
        <w:rPr>
          <w:rFonts w:hint="cs"/>
          <w:rtl/>
        </w:rPr>
        <w:t xml:space="preserve">בתחום זיכיון ים המלח קיימים כמה אתרי כרייה פעילים ונטושים של </w:t>
      </w:r>
      <w:r>
        <w:rPr>
          <w:rFonts w:hint="cs"/>
          <w:rtl/>
        </w:rPr>
        <w:t>מי"ה</w:t>
      </w:r>
      <w:r>
        <w:rPr>
          <w:rFonts w:hint="cs"/>
          <w:rtl/>
        </w:rPr>
        <w:t>. באתרים אלה</w:t>
      </w:r>
      <w:r>
        <w:rPr>
          <w:rFonts w:cs="David" w:hint="cs"/>
          <w:rtl/>
        </w:rPr>
        <w:t xml:space="preserve"> </w:t>
      </w:r>
      <w:r w:rsidRPr="00AD5F10">
        <w:rPr>
          <w:rFonts w:hint="cs"/>
          <w:rtl/>
        </w:rPr>
        <w:t xml:space="preserve">כרו </w:t>
      </w:r>
      <w:r>
        <w:rPr>
          <w:rFonts w:hint="cs"/>
          <w:rtl/>
        </w:rPr>
        <w:t xml:space="preserve">בעבר </w:t>
      </w:r>
      <w:r w:rsidRPr="00AD5F10">
        <w:rPr>
          <w:rFonts w:hint="cs"/>
          <w:rtl/>
        </w:rPr>
        <w:t xml:space="preserve">וכורים </w:t>
      </w:r>
      <w:r>
        <w:rPr>
          <w:rFonts w:hint="cs"/>
          <w:rtl/>
        </w:rPr>
        <w:t xml:space="preserve">כיום חומר ואדי וחרסית עבור בנייה ותחזוקה של </w:t>
      </w:r>
      <w:r w:rsidRPr="00EA58D2">
        <w:rPr>
          <w:rFonts w:hint="cs"/>
          <w:rtl/>
        </w:rPr>
        <w:t>פרויקטים רחבי היקף</w:t>
      </w:r>
      <w:r>
        <w:rPr>
          <w:rFonts w:hint="cs"/>
          <w:rtl/>
        </w:rPr>
        <w:t xml:space="preserve"> כמו הסוללות של בריכות האידוי והאגירה ועבור ביצוע עבודות הנדסיות שונות. </w:t>
      </w:r>
    </w:p>
    <w:p w:rsidR="006734B0" w:rsidRPr="00D816B7" w:rsidP="00D816B7" w14:paraId="0AE6F7DE" w14:textId="79746F8D">
      <w:pPr>
        <w:pStyle w:val="734"/>
        <w:rPr>
          <w:rtl/>
        </w:rPr>
      </w:pPr>
      <w:r w:rsidRPr="00D816B7">
        <w:rPr>
          <w:rFonts w:hint="cs"/>
          <w:b w:val="0"/>
          <w:bCs w:val="0"/>
          <w:rtl/>
        </w:rPr>
        <w:t xml:space="preserve">איור </w:t>
      </w:r>
      <w:r w:rsidR="00D0542F">
        <w:rPr>
          <w:rFonts w:hint="cs"/>
          <w:b w:val="0"/>
          <w:bCs w:val="0"/>
          <w:rtl/>
        </w:rPr>
        <w:t>1</w:t>
      </w:r>
      <w:r w:rsidRPr="00D816B7">
        <w:rPr>
          <w:rFonts w:hint="cs"/>
          <w:b w:val="0"/>
          <w:bCs w:val="0"/>
          <w:rtl/>
        </w:rPr>
        <w:t>:</w:t>
      </w:r>
      <w:r w:rsidRPr="00D816B7">
        <w:rPr>
          <w:rFonts w:hint="cs"/>
          <w:rtl/>
        </w:rPr>
        <w:t xml:space="preserve"> ההשפעות הסביבתיות של כרייה וחציבה</w:t>
      </w:r>
    </w:p>
    <w:p w:rsidR="006734B0" w:rsidP="006734B0" w14:paraId="59BFBD8A" w14:textId="77777777">
      <w:pPr>
        <w:spacing w:line="360" w:lineRule="auto"/>
        <w:rPr>
          <w:rtl/>
        </w:rPr>
      </w:pPr>
      <w:r>
        <w:rPr>
          <w:noProof/>
        </w:rPr>
        <w:drawing>
          <wp:inline distT="0" distB="0" distL="0" distR="0">
            <wp:extent cx="4745627" cy="2257678"/>
            <wp:effectExtent l="0" t="0" r="4445" b="3175"/>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תמונה 3"/>
                    <pic:cNvPicPr>
                      <a:picLocks noChangeAspect="1" noChangeArrowheads="1"/>
                    </pic:cNvPicPr>
                  </pic:nvPicPr>
                  <pic:blipFill>
                    <a:blip xmlns:r="http://schemas.openxmlformats.org/officeDocument/2006/relationships" r:embed="rId47" cstate="print">
                      <a:extLst>
                        <a:ext xmlns:a="http://schemas.openxmlformats.org/drawingml/2006/main" uri="{28A0092B-C50C-407E-A947-70E740481C1C}">
                          <a14:useLocalDpi xmlns:a14="http://schemas.microsoft.com/office/drawing/2010/main" val="0"/>
                        </a:ext>
                      </a:extLst>
                    </a:blip>
                    <a:srcRect t="10679" b="10679"/>
                    <a:stretch>
                      <a:fillRect/>
                    </a:stretch>
                  </pic:blipFill>
                  <pic:spPr bwMode="auto">
                    <a:xfrm>
                      <a:off x="0" y="0"/>
                      <a:ext cx="4749274" cy="2259413"/>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6734B0" w:rsidRPr="00D816B7" w:rsidP="00D816B7" w14:paraId="2BD73252" w14:textId="376818C3">
      <w:pPr>
        <w:pStyle w:val="738"/>
        <w:rPr>
          <w:rtl/>
        </w:rPr>
      </w:pPr>
      <w:r w:rsidRPr="00D816B7">
        <w:rPr>
          <w:rFonts w:hint="cs"/>
          <w:rtl/>
        </w:rPr>
        <w:t>על פי מקורות שונים, בעיבוד משרד מבקר המדינה.</w:t>
      </w:r>
    </w:p>
    <w:p w:rsidR="006734B0" w:rsidP="00D816B7" w14:paraId="79B24FCC" w14:textId="33767668">
      <w:pPr>
        <w:pStyle w:val="7392"/>
        <w:rPr>
          <w:rtl/>
        </w:rPr>
      </w:pPr>
      <w:r w:rsidRPr="00891328">
        <w:rPr>
          <w:rFonts w:hint="cs"/>
          <w:rtl/>
        </w:rPr>
        <w:t xml:space="preserve">מרחב ים המלח הוא כאמור חבל ארץ ייחודי </w:t>
      </w:r>
      <w:r w:rsidRPr="004A537A" w:rsidR="004A537A">
        <w:rPr>
          <w:rtl/>
        </w:rPr>
        <w:t>המתאפיין</w:t>
      </w:r>
      <w:r w:rsidRPr="00891328">
        <w:rPr>
          <w:rtl/>
        </w:rPr>
        <w:t xml:space="preserve"> בעושר של צומח וחי</w:t>
      </w:r>
      <w:r w:rsidRPr="00891328">
        <w:rPr>
          <w:rFonts w:hint="cs"/>
          <w:rtl/>
        </w:rPr>
        <w:t>.</w:t>
      </w:r>
      <w:r w:rsidRPr="00891328">
        <w:rPr>
          <w:rtl/>
        </w:rPr>
        <w:t xml:space="preserve"> </w:t>
      </w:r>
      <w:r w:rsidRPr="004A537A" w:rsidR="004A537A">
        <w:rPr>
          <w:rtl/>
        </w:rPr>
        <w:t>אתרי הכרייה ממוקמים בחלקם בתוך שמורות טבע ובשטחים בעלי ערכיות סביבתית גבוהה</w:t>
      </w:r>
      <w:r w:rsidRPr="00891328">
        <w:rPr>
          <w:rFonts w:hint="cs"/>
          <w:rtl/>
        </w:rPr>
        <w:t>. להלן</w:t>
      </w:r>
      <w:r>
        <w:rPr>
          <w:rFonts w:hint="cs"/>
          <w:rtl/>
        </w:rPr>
        <w:t xml:space="preserve"> במפה מוצגים אתרי הכרייה הפעילים והנטושים של </w:t>
      </w:r>
      <w:r>
        <w:rPr>
          <w:rFonts w:hint="cs"/>
          <w:rtl/>
        </w:rPr>
        <w:t>מי"ה</w:t>
      </w:r>
      <w:r>
        <w:rPr>
          <w:rFonts w:hint="cs"/>
          <w:rtl/>
        </w:rPr>
        <w:t xml:space="preserve">: </w:t>
      </w:r>
    </w:p>
    <w:p w:rsidR="006734B0" w:rsidRPr="00D816B7" w:rsidP="00D816B7" w14:paraId="48AC4769" w14:textId="253A0E33">
      <w:pPr>
        <w:pStyle w:val="734"/>
        <w:rPr>
          <w:rtl/>
        </w:rPr>
      </w:pPr>
      <w:r w:rsidRPr="00D816B7">
        <w:rPr>
          <w:rFonts w:hint="cs"/>
          <w:b w:val="0"/>
          <w:bCs w:val="0"/>
          <w:rtl/>
        </w:rPr>
        <w:t>מפה</w:t>
      </w:r>
      <w:r w:rsidR="00D0542F">
        <w:rPr>
          <w:rFonts w:hint="cs"/>
          <w:b w:val="0"/>
          <w:bCs w:val="0"/>
          <w:rtl/>
        </w:rPr>
        <w:t xml:space="preserve"> 4</w:t>
      </w:r>
      <w:r w:rsidRPr="00D816B7">
        <w:rPr>
          <w:rFonts w:hint="cs"/>
          <w:b w:val="0"/>
          <w:bCs w:val="0"/>
          <w:rtl/>
        </w:rPr>
        <w:t>:</w:t>
      </w:r>
      <w:r w:rsidRPr="00D816B7">
        <w:rPr>
          <w:rFonts w:hint="cs"/>
          <w:rtl/>
        </w:rPr>
        <w:t xml:space="preserve"> אתרי הכרייה של </w:t>
      </w:r>
      <w:r w:rsidRPr="00D816B7">
        <w:rPr>
          <w:rFonts w:hint="cs"/>
          <w:rtl/>
        </w:rPr>
        <w:t>מי"ה</w:t>
      </w:r>
      <w:r w:rsidRPr="00D816B7">
        <w:rPr>
          <w:rFonts w:hint="cs"/>
          <w:rtl/>
        </w:rPr>
        <w:t xml:space="preserve"> בשטח הזיכיון, על רקע שמורות </w:t>
      </w:r>
      <w:r w:rsidR="00D816B7">
        <w:rPr>
          <w:rtl/>
        </w:rPr>
        <w:br/>
      </w:r>
      <w:r w:rsidRPr="00D816B7">
        <w:rPr>
          <w:rFonts w:hint="cs"/>
          <w:rtl/>
        </w:rPr>
        <w:t>טבע וגנים לאומיים</w:t>
      </w:r>
    </w:p>
    <w:p w:rsidR="006734B0" w:rsidP="006734B0" w14:paraId="143C5C31" w14:textId="77777777">
      <w:pPr>
        <w:spacing w:line="360" w:lineRule="auto"/>
        <w:jc w:val="center"/>
        <w:rPr>
          <w:rtl/>
        </w:rPr>
      </w:pPr>
      <w:r>
        <w:rPr>
          <w:noProof/>
        </w:rPr>
        <w:drawing>
          <wp:inline distT="0" distB="0" distL="0" distR="0">
            <wp:extent cx="3150039" cy="4469642"/>
            <wp:effectExtent l="0" t="0" r="0" b="7620"/>
            <wp:docPr id="925249567" name="תמונה 925249567" descr="תמונה שמכילה טקסט, מפה&#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249567" name="תמונה 925249567" descr="תמונה שמכילה טקסט, מפה&#10;&#10;תוכן שנוצר על-ידי בינה מלאכותית עשוי להיות שגוי."/>
                    <pic:cNvPicPr>
                      <a:picLocks noChangeAspect="1" noChangeArrowheads="1"/>
                    </pic:cNvPicPr>
                  </pic:nvPicPr>
                  <pic:blipFill>
                    <a:blip xmlns:r="http://schemas.openxmlformats.org/officeDocument/2006/relationships" r:embed="rId4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160161" cy="4484005"/>
                    </a:xfrm>
                    <a:prstGeom prst="rect">
                      <a:avLst/>
                    </a:prstGeom>
                    <a:noFill/>
                    <a:ln>
                      <a:noFill/>
                    </a:ln>
                  </pic:spPr>
                </pic:pic>
              </a:graphicData>
            </a:graphic>
          </wp:inline>
        </w:drawing>
      </w:r>
    </w:p>
    <w:p w:rsidR="006734B0" w:rsidRPr="00D816B7" w:rsidP="00D816B7" w14:paraId="6AA97D7E" w14:textId="77BCB718">
      <w:pPr>
        <w:pStyle w:val="738"/>
      </w:pPr>
      <w:bookmarkStart w:id="33" w:name="_Hlk190243067"/>
      <w:r w:rsidRPr="00784B1E">
        <w:rPr>
          <w:rFonts w:hint="cs"/>
          <w:spacing w:val="4"/>
          <w:rtl/>
        </w:rPr>
        <w:t xml:space="preserve">המקור: </w:t>
      </w:r>
      <w:r w:rsidRPr="00784B1E">
        <w:rPr>
          <w:spacing w:val="4"/>
          <w:rtl/>
        </w:rPr>
        <w:t>"</w:t>
      </w:r>
      <w:r w:rsidRPr="00784B1E">
        <w:rPr>
          <w:spacing w:val="4"/>
        </w:rPr>
        <w:t>World_Imagery</w:t>
      </w:r>
      <w:r w:rsidRPr="00784B1E">
        <w:rPr>
          <w:spacing w:val="4"/>
          <w:rtl/>
        </w:rPr>
        <w:t>" -</w:t>
      </w:r>
      <w:r w:rsidRPr="00784B1E" w:rsidR="00784B1E">
        <w:rPr>
          <w:rFonts w:hint="cs"/>
          <w:spacing w:val="4"/>
          <w:rtl/>
        </w:rPr>
        <w:t xml:space="preserve"> </w:t>
      </w:r>
      <w:r w:rsidRPr="00784B1E">
        <w:rPr>
          <w:spacing w:val="4"/>
        </w:rPr>
        <w:t>Esri, Maxar, Earthstar Geographics, and the GIS User Community</w:t>
      </w:r>
      <w:r w:rsidRPr="00784B1E" w:rsidR="00784B1E">
        <w:rPr>
          <w:spacing w:val="4"/>
          <w:rtl/>
        </w:rPr>
        <w:br/>
      </w:r>
      <w:r w:rsidR="00784B1E">
        <w:rPr>
          <w:rFonts w:hint="cs"/>
          <w:rtl/>
        </w:rPr>
        <w:t xml:space="preserve">שכבות </w:t>
      </w:r>
      <w:r w:rsidRPr="00D816B7">
        <w:rPr>
          <w:rFonts w:hint="cs"/>
          <w:rtl/>
        </w:rPr>
        <w:t xml:space="preserve">שמורות טבע וגנים לאומיים של </w:t>
      </w:r>
      <w:r w:rsidRPr="00D816B7">
        <w:rPr>
          <w:rFonts w:hint="cs"/>
          <w:rtl/>
        </w:rPr>
        <w:t>רט"ג</w:t>
      </w:r>
      <w:r w:rsidRPr="00D816B7">
        <w:rPr>
          <w:rFonts w:hint="cs"/>
          <w:rtl/>
        </w:rPr>
        <w:t xml:space="preserve"> </w:t>
      </w:r>
      <w:r w:rsidRPr="00D816B7">
        <w:rPr>
          <w:rFonts w:hint="cs"/>
          <w:rtl/>
        </w:rPr>
        <w:t>ומינהל</w:t>
      </w:r>
      <w:r w:rsidRPr="00D816B7">
        <w:rPr>
          <w:rFonts w:hint="cs"/>
          <w:rtl/>
        </w:rPr>
        <w:t xml:space="preserve"> התכנון (מיקום אתרי הכרייה ממצגת סיכום הסדרת שטחים פתוחים </w:t>
      </w:r>
      <w:r w:rsidR="007A7002">
        <w:rPr>
          <w:rFonts w:hint="cs"/>
          <w:rtl/>
        </w:rPr>
        <w:t>[</w:t>
      </w:r>
      <w:r w:rsidRPr="00D816B7">
        <w:rPr>
          <w:rFonts w:hint="cs"/>
          <w:rtl/>
        </w:rPr>
        <w:t>טיוטה מס' 2</w:t>
      </w:r>
      <w:r w:rsidR="007A7002">
        <w:rPr>
          <w:rFonts w:hint="cs"/>
          <w:rtl/>
        </w:rPr>
        <w:t>]</w:t>
      </w:r>
      <w:r w:rsidRPr="00D816B7">
        <w:rPr>
          <w:rFonts w:hint="cs"/>
          <w:rtl/>
        </w:rPr>
        <w:t xml:space="preserve"> הקרן לשיקום אתרים מפעלי ים המלח, 2014), בעיבוד משרד מבקר המדינה.</w:t>
      </w:r>
    </w:p>
    <w:bookmarkEnd w:id="33"/>
    <w:p w:rsidR="006734B0" w:rsidRPr="008D2DC1" w:rsidP="008D2DC1" w14:paraId="53BFF38B" w14:textId="77777777">
      <w:pPr>
        <w:pStyle w:val="733155"/>
        <w:rPr>
          <w:rtl/>
        </w:rPr>
      </w:pPr>
      <w:r w:rsidRPr="008D2DC1">
        <w:rPr>
          <w:rFonts w:hint="cs"/>
          <w:rtl/>
        </w:rPr>
        <w:t xml:space="preserve">היעדר מעקב, בקרה ופיקוח בנוגע לפעולות הכרייה של </w:t>
      </w:r>
      <w:r w:rsidRPr="008D2DC1">
        <w:rPr>
          <w:rFonts w:hint="cs"/>
          <w:rtl/>
        </w:rPr>
        <w:t>מי"ה</w:t>
      </w:r>
      <w:r w:rsidRPr="008D2DC1">
        <w:rPr>
          <w:rFonts w:hint="cs"/>
          <w:rtl/>
        </w:rPr>
        <w:t xml:space="preserve"> </w:t>
      </w:r>
    </w:p>
    <w:p w:rsidR="006734B0" w:rsidRPr="008F578B" w:rsidP="00D816B7" w14:paraId="05EF08D3" w14:textId="27C033F7">
      <w:pPr>
        <w:pStyle w:val="7392"/>
        <w:rPr>
          <w:rtl/>
        </w:rPr>
      </w:pPr>
      <w:r w:rsidRPr="00F83DAD">
        <w:rPr>
          <w:rFonts w:ascii="Rubik" w:hAnsi="Rubik" w:hint="cs"/>
          <w:shd w:val="clear" w:color="auto" w:fill="FFFFFF"/>
          <w:rtl/>
        </w:rPr>
        <w:t>בין תפקידיו של</w:t>
      </w:r>
      <w:r w:rsidRPr="00F83DAD">
        <w:rPr>
          <w:rFonts w:ascii="Rubik" w:hAnsi="Rubik" w:hint="cs"/>
          <w:color w:val="0C3058"/>
          <w:shd w:val="clear" w:color="auto" w:fill="FFFFFF"/>
          <w:rtl/>
        </w:rPr>
        <w:t xml:space="preserve"> </w:t>
      </w:r>
      <w:r w:rsidRPr="00F83DAD">
        <w:rPr>
          <w:rFonts w:ascii="Rubik" w:hAnsi="Rubik" w:hint="eastAsia"/>
          <w:shd w:val="clear" w:color="auto" w:fill="FFFFFF"/>
          <w:rtl/>
        </w:rPr>
        <w:t>אגף</w:t>
      </w:r>
      <w:r w:rsidRPr="00F83DAD">
        <w:rPr>
          <w:rFonts w:ascii="Rubik" w:hAnsi="Rubik"/>
          <w:shd w:val="clear" w:color="auto" w:fill="FFFFFF"/>
          <w:rtl/>
        </w:rPr>
        <w:t xml:space="preserve"> </w:t>
      </w:r>
      <w:r w:rsidRPr="005D6188">
        <w:rPr>
          <w:rFonts w:ascii="Rubik" w:hAnsi="Rubik" w:hint="eastAsia"/>
          <w:shd w:val="clear" w:color="auto" w:fill="FFFFFF"/>
          <w:rtl/>
        </w:rPr>
        <w:t>מחצבות</w:t>
      </w:r>
      <w:r w:rsidRPr="005D6188">
        <w:rPr>
          <w:rFonts w:ascii="Rubik" w:hAnsi="Rubik"/>
          <w:shd w:val="clear" w:color="auto" w:fill="FFFFFF"/>
          <w:rtl/>
        </w:rPr>
        <w:t xml:space="preserve"> </w:t>
      </w:r>
      <w:r w:rsidRPr="005D6188">
        <w:rPr>
          <w:rFonts w:ascii="Rubik" w:hAnsi="Rubik" w:hint="eastAsia"/>
          <w:shd w:val="clear" w:color="auto" w:fill="FFFFFF"/>
          <w:rtl/>
        </w:rPr>
        <w:t>ומכרות</w:t>
      </w:r>
      <w:r w:rsidRPr="00F83DAD">
        <w:rPr>
          <w:rFonts w:ascii="Rubik" w:hAnsi="Rubik" w:hint="cs"/>
          <w:shd w:val="clear" w:color="auto" w:fill="FFFFFF"/>
          <w:rtl/>
        </w:rPr>
        <w:t xml:space="preserve"> </w:t>
      </w:r>
      <w:r w:rsidRPr="00F83DAD">
        <w:rPr>
          <w:rFonts w:hint="cs"/>
          <w:sz w:val="24"/>
          <w:rtl/>
        </w:rPr>
        <w:t xml:space="preserve">במשרד </w:t>
      </w:r>
      <w:r w:rsidRPr="00F83DAD">
        <w:rPr>
          <w:rFonts w:hint="cs"/>
          <w:sz w:val="24"/>
          <w:rtl/>
        </w:rPr>
        <w:t>האנרגייה</w:t>
      </w:r>
      <w:r w:rsidRPr="00F83DAD">
        <w:rPr>
          <w:rFonts w:hint="cs"/>
          <w:sz w:val="24"/>
          <w:rtl/>
        </w:rPr>
        <w:t xml:space="preserve"> </w:t>
      </w:r>
      <w:r w:rsidRPr="00F83DAD">
        <w:rPr>
          <w:rFonts w:ascii="Rubik" w:hAnsi="Rubik" w:hint="cs"/>
          <w:shd w:val="clear" w:color="auto" w:fill="FFFFFF"/>
          <w:rtl/>
        </w:rPr>
        <w:t xml:space="preserve">לעקוב אחר תפוקת חומרי </w:t>
      </w:r>
      <w:r w:rsidRPr="00DC70B8" w:rsidR="00DC70B8">
        <w:rPr>
          <w:rFonts w:ascii="Rubik" w:hAnsi="Rubik"/>
          <w:shd w:val="clear" w:color="auto" w:fill="FFFFFF"/>
          <w:rtl/>
        </w:rPr>
        <w:t>הגלם במחצבות, ולנהל</w:t>
      </w:r>
      <w:r>
        <w:rPr>
          <w:rFonts w:ascii="Rubik" w:hAnsi="Rubik" w:hint="cs"/>
          <w:shd w:val="clear" w:color="auto" w:fill="FFFFFF"/>
          <w:rtl/>
        </w:rPr>
        <w:t xml:space="preserve"> בסיס נתונים ומידע על כלל פעילות הכרייה והחציבה וחיפוש המחצבים בישראל</w:t>
      </w:r>
      <w:r>
        <w:rPr>
          <w:rFonts w:ascii="Rubik" w:hAnsi="Rubik"/>
          <w:shd w:val="clear" w:color="auto" w:fill="FFFFFF"/>
        </w:rPr>
        <w:t>.</w:t>
      </w:r>
      <w:r>
        <w:rPr>
          <w:rFonts w:hint="cs"/>
          <w:rtl/>
        </w:rPr>
        <w:t xml:space="preserve"> את הפיקוח והבקרה מבצע אגף מחצבות ומכרות הן באמצעות ביקורים פיזיים בכל </w:t>
      </w:r>
      <w:r>
        <w:rPr>
          <w:rFonts w:hint="cs"/>
          <w:rtl/>
        </w:rPr>
        <w:t>מחצבה כמה פעמים בשנה והן באמצעות בדיקה של מפות מדידה וצילומי אוויר מעודכנים (</w:t>
      </w:r>
      <w:r>
        <w:rPr>
          <w:rFonts w:hint="cs"/>
          <w:rtl/>
        </w:rPr>
        <w:t>אורתופוטו</w:t>
      </w:r>
      <w:r>
        <w:rPr>
          <w:rFonts w:hint="cs"/>
          <w:rtl/>
        </w:rPr>
        <w:t>)</w:t>
      </w:r>
      <w:r>
        <w:t>.</w:t>
      </w:r>
      <w:r>
        <w:rPr>
          <w:rFonts w:hint="cs"/>
          <w:rtl/>
        </w:rPr>
        <w:t xml:space="preserve"> </w:t>
      </w:r>
    </w:p>
    <w:p w:rsidR="006734B0" w:rsidRPr="00D816B7" w:rsidP="00D816B7" w14:paraId="3E322B4B" w14:textId="2B701F11">
      <w:pPr>
        <w:pStyle w:val="7318"/>
        <w:rPr>
          <w:rtl/>
        </w:rPr>
      </w:pPr>
      <w:r w:rsidRPr="00D816B7">
        <w:rPr>
          <w:rFonts w:hint="eastAsia"/>
          <w:rtl/>
        </w:rPr>
        <w:t>בביקורת</w:t>
      </w:r>
      <w:r w:rsidRPr="00D816B7">
        <w:rPr>
          <w:rtl/>
        </w:rPr>
        <w:t xml:space="preserve"> נמצא כי </w:t>
      </w:r>
      <w:r w:rsidRPr="00D816B7">
        <w:rPr>
          <w:rFonts w:hint="cs"/>
          <w:rtl/>
        </w:rPr>
        <w:t xml:space="preserve">מאז שהאחריות לתחום הכרייה והחציבה הועברה למשרד </w:t>
      </w:r>
      <w:r w:rsidRPr="00D816B7">
        <w:rPr>
          <w:rFonts w:hint="cs"/>
          <w:rtl/>
        </w:rPr>
        <w:t>האנרגייה</w:t>
      </w:r>
      <w:r w:rsidRPr="00D816B7">
        <w:rPr>
          <w:rFonts w:hint="cs"/>
          <w:rtl/>
        </w:rPr>
        <w:t xml:space="preserve"> בשנת 1996 </w:t>
      </w:r>
      <w:r w:rsidRPr="00D816B7">
        <w:rPr>
          <w:rtl/>
        </w:rPr>
        <w:t xml:space="preserve">ועד שנת 2009, משרד </w:t>
      </w:r>
      <w:r w:rsidRPr="00D816B7">
        <w:rPr>
          <w:rFonts w:hint="eastAsia"/>
          <w:rtl/>
        </w:rPr>
        <w:t>האנרגייה</w:t>
      </w:r>
      <w:r w:rsidRPr="00D816B7">
        <w:rPr>
          <w:rtl/>
        </w:rPr>
        <w:t xml:space="preserve"> </w:t>
      </w:r>
      <w:r w:rsidRPr="00D816B7">
        <w:rPr>
          <w:rFonts w:hint="eastAsia"/>
          <w:rtl/>
        </w:rPr>
        <w:t>לא</w:t>
      </w:r>
      <w:r w:rsidRPr="00D816B7">
        <w:rPr>
          <w:rtl/>
        </w:rPr>
        <w:t xml:space="preserve"> פיקח על פעולות הכרייה שביצעה </w:t>
      </w:r>
      <w:r w:rsidRPr="00D816B7">
        <w:rPr>
          <w:rFonts w:hint="eastAsia"/>
          <w:rtl/>
        </w:rPr>
        <w:t>מי</w:t>
      </w:r>
      <w:r w:rsidRPr="00D816B7">
        <w:rPr>
          <w:rtl/>
        </w:rPr>
        <w:t>"ה</w:t>
      </w:r>
      <w:r w:rsidRPr="00D816B7">
        <w:rPr>
          <w:rtl/>
        </w:rPr>
        <w:t xml:space="preserve"> בשטח הזיכיון </w:t>
      </w:r>
      <w:r w:rsidRPr="00D816B7">
        <w:rPr>
          <w:rFonts w:hint="eastAsia"/>
          <w:rtl/>
        </w:rPr>
        <w:t>ולא</w:t>
      </w:r>
      <w:r w:rsidRPr="00D816B7">
        <w:rPr>
          <w:rtl/>
        </w:rPr>
        <w:t xml:space="preserve"> </w:t>
      </w:r>
      <w:r w:rsidRPr="00D816B7">
        <w:rPr>
          <w:rFonts w:hint="eastAsia"/>
          <w:rtl/>
        </w:rPr>
        <w:t>אסף</w:t>
      </w:r>
      <w:r w:rsidRPr="00D816B7">
        <w:rPr>
          <w:rtl/>
        </w:rPr>
        <w:t xml:space="preserve"> </w:t>
      </w:r>
      <w:r w:rsidRPr="00D816B7">
        <w:rPr>
          <w:rFonts w:hint="eastAsia"/>
          <w:rtl/>
        </w:rPr>
        <w:t>מידע</w:t>
      </w:r>
      <w:r w:rsidRPr="00D816B7">
        <w:rPr>
          <w:rtl/>
        </w:rPr>
        <w:t xml:space="preserve"> </w:t>
      </w:r>
      <w:r w:rsidRPr="00D816B7">
        <w:rPr>
          <w:rFonts w:hint="eastAsia"/>
          <w:rtl/>
        </w:rPr>
        <w:t>לגבי</w:t>
      </w:r>
      <w:r w:rsidRPr="00D816B7">
        <w:rPr>
          <w:rtl/>
        </w:rPr>
        <w:t xml:space="preserve"> </w:t>
      </w:r>
      <w:r w:rsidRPr="00D816B7">
        <w:rPr>
          <w:rFonts w:hint="eastAsia"/>
          <w:rtl/>
        </w:rPr>
        <w:t>הכמויות</w:t>
      </w:r>
      <w:r w:rsidRPr="00D816B7">
        <w:rPr>
          <w:rtl/>
        </w:rPr>
        <w:t xml:space="preserve"> והסוג של חומרי</w:t>
      </w:r>
      <w:r w:rsidRPr="00D816B7">
        <w:rPr>
          <w:rFonts w:hint="cs"/>
          <w:rtl/>
        </w:rPr>
        <w:t>ם</w:t>
      </w:r>
      <w:r w:rsidRPr="00D816B7">
        <w:rPr>
          <w:rtl/>
        </w:rPr>
        <w:t xml:space="preserve"> שנכרו, אף שבסמכות</w:t>
      </w:r>
      <w:r w:rsidRPr="00D816B7">
        <w:rPr>
          <w:rFonts w:hint="eastAsia"/>
          <w:rtl/>
        </w:rPr>
        <w:t>ו</w:t>
      </w:r>
      <w:r w:rsidRPr="00D816B7">
        <w:rPr>
          <w:rtl/>
        </w:rPr>
        <w:t xml:space="preserve"> </w:t>
      </w:r>
      <w:r w:rsidRPr="00D816B7">
        <w:rPr>
          <w:rFonts w:hint="eastAsia"/>
          <w:rtl/>
        </w:rPr>
        <w:t>ומחובתו</w:t>
      </w:r>
      <w:r w:rsidRPr="00D816B7">
        <w:rPr>
          <w:rtl/>
        </w:rPr>
        <w:t xml:space="preserve"> </w:t>
      </w:r>
      <w:r w:rsidRPr="00D816B7">
        <w:rPr>
          <w:rFonts w:hint="eastAsia"/>
          <w:rtl/>
        </w:rPr>
        <w:t>היה</w:t>
      </w:r>
      <w:r w:rsidRPr="00D816B7">
        <w:rPr>
          <w:rtl/>
        </w:rPr>
        <w:t xml:space="preserve"> לעשות זאת. בהיעדר בקרה </w:t>
      </w:r>
      <w:r w:rsidRPr="00D816B7">
        <w:rPr>
          <w:rFonts w:hint="cs"/>
          <w:rtl/>
        </w:rPr>
        <w:t>על</w:t>
      </w:r>
      <w:r w:rsidRPr="00D816B7">
        <w:rPr>
          <w:rtl/>
        </w:rPr>
        <w:t xml:space="preserve"> תאי השטח שבהם מתבצעת ה</w:t>
      </w:r>
      <w:r w:rsidRPr="00D816B7">
        <w:rPr>
          <w:rFonts w:hint="cs"/>
          <w:rtl/>
        </w:rPr>
        <w:t>כריי</w:t>
      </w:r>
      <w:r w:rsidRPr="00D816B7">
        <w:rPr>
          <w:rtl/>
        </w:rPr>
        <w:t xml:space="preserve">ה, </w:t>
      </w:r>
      <w:r w:rsidRPr="00D816B7">
        <w:rPr>
          <w:rFonts w:hint="cs"/>
          <w:rtl/>
        </w:rPr>
        <w:t xml:space="preserve">על </w:t>
      </w:r>
      <w:r w:rsidRPr="00D816B7">
        <w:rPr>
          <w:rtl/>
        </w:rPr>
        <w:t>אופן ביצוע</w:t>
      </w:r>
      <w:r w:rsidRPr="00D816B7">
        <w:rPr>
          <w:rFonts w:hint="cs"/>
          <w:rtl/>
        </w:rPr>
        <w:t>ה</w:t>
      </w:r>
      <w:r w:rsidRPr="00D816B7">
        <w:rPr>
          <w:rtl/>
        </w:rPr>
        <w:t xml:space="preserve"> ו</w:t>
      </w:r>
      <w:r w:rsidRPr="00D816B7">
        <w:rPr>
          <w:rFonts w:hint="cs"/>
          <w:rtl/>
        </w:rPr>
        <w:t xml:space="preserve">על </w:t>
      </w:r>
      <w:r w:rsidRPr="00D816B7">
        <w:rPr>
          <w:rtl/>
        </w:rPr>
        <w:t xml:space="preserve">מידת ניצול החומר לא הובטח ניצולם היעיל של משאבי הטבע, </w:t>
      </w:r>
      <w:r w:rsidRPr="00D816B7">
        <w:rPr>
          <w:rFonts w:hint="eastAsia"/>
          <w:rtl/>
        </w:rPr>
        <w:t>נושא</w:t>
      </w:r>
      <w:r w:rsidRPr="00D816B7">
        <w:rPr>
          <w:rtl/>
        </w:rPr>
        <w:t xml:space="preserve"> </w:t>
      </w:r>
      <w:r w:rsidRPr="00D816B7">
        <w:rPr>
          <w:rFonts w:hint="cs"/>
          <w:rtl/>
        </w:rPr>
        <w:t xml:space="preserve">שיש </w:t>
      </w:r>
      <w:r w:rsidRPr="00D816B7">
        <w:rPr>
          <w:rFonts w:hint="eastAsia"/>
          <w:rtl/>
        </w:rPr>
        <w:t>לו</w:t>
      </w:r>
      <w:r w:rsidRPr="00D816B7">
        <w:rPr>
          <w:rtl/>
        </w:rPr>
        <w:t xml:space="preserve"> </w:t>
      </w:r>
      <w:r w:rsidRPr="00D816B7">
        <w:rPr>
          <w:rFonts w:hint="eastAsia"/>
          <w:rtl/>
        </w:rPr>
        <w:t>הש</w:t>
      </w:r>
      <w:r w:rsidRPr="00D816B7">
        <w:rPr>
          <w:rFonts w:hint="cs"/>
          <w:rtl/>
        </w:rPr>
        <w:t>פעו</w:t>
      </w:r>
      <w:r w:rsidRPr="00D816B7">
        <w:rPr>
          <w:rFonts w:hint="eastAsia"/>
          <w:rtl/>
        </w:rPr>
        <w:t>ת</w:t>
      </w:r>
      <w:r w:rsidRPr="00D816B7">
        <w:rPr>
          <w:rtl/>
        </w:rPr>
        <w:t xml:space="preserve"> </w:t>
      </w:r>
      <w:r w:rsidRPr="00D816B7">
        <w:rPr>
          <w:rFonts w:hint="eastAsia"/>
          <w:rtl/>
        </w:rPr>
        <w:t>כלכליות</w:t>
      </w:r>
      <w:r w:rsidRPr="00D816B7">
        <w:rPr>
          <w:rtl/>
        </w:rPr>
        <w:t xml:space="preserve"> </w:t>
      </w:r>
      <w:r w:rsidRPr="00D816B7">
        <w:rPr>
          <w:rFonts w:hint="eastAsia"/>
          <w:rtl/>
        </w:rPr>
        <w:t>וסביבתיות</w:t>
      </w:r>
      <w:r w:rsidRPr="00D816B7">
        <w:rPr>
          <w:rtl/>
        </w:rPr>
        <w:t xml:space="preserve">. </w:t>
      </w:r>
    </w:p>
    <w:p w:rsidR="006734B0" w:rsidP="00D816B7" w14:paraId="25B3AF45" w14:textId="7D2B093E">
      <w:pPr>
        <w:pStyle w:val="7392"/>
        <w:rPr>
          <w:rtl/>
        </w:rPr>
      </w:pPr>
      <w:r>
        <w:rPr>
          <w:rFonts w:hint="cs"/>
          <w:rtl/>
        </w:rPr>
        <w:t xml:space="preserve">בשנת 2009 </w:t>
      </w:r>
      <w:r w:rsidRPr="00043F14">
        <w:rPr>
          <w:rFonts w:hint="cs"/>
          <w:rtl/>
        </w:rPr>
        <w:t xml:space="preserve">קיים משרד </w:t>
      </w:r>
      <w:r w:rsidRPr="00043F14">
        <w:rPr>
          <w:rFonts w:hint="cs"/>
          <w:rtl/>
        </w:rPr>
        <w:t>האנרגייה</w:t>
      </w:r>
      <w:r>
        <w:rPr>
          <w:rFonts w:cs="David" w:hint="cs"/>
          <w:rtl/>
        </w:rPr>
        <w:t xml:space="preserve"> </w:t>
      </w:r>
      <w:r w:rsidRPr="00881D7B">
        <w:rPr>
          <w:rFonts w:hint="cs"/>
          <w:rtl/>
        </w:rPr>
        <w:t xml:space="preserve">פגישות עם </w:t>
      </w:r>
      <w:r w:rsidRPr="00881D7B">
        <w:rPr>
          <w:rFonts w:hint="cs"/>
          <w:rtl/>
        </w:rPr>
        <w:t>מי"ה</w:t>
      </w:r>
      <w:r w:rsidRPr="00881D7B">
        <w:rPr>
          <w:rFonts w:hint="cs"/>
          <w:rtl/>
        </w:rPr>
        <w:t>, במהלכן סוכם על מתווה פיקוח לשנים</w:t>
      </w:r>
      <w:r>
        <w:rPr>
          <w:rFonts w:hint="cs"/>
          <w:rtl/>
        </w:rPr>
        <w:t xml:space="preserve"> </w:t>
      </w:r>
      <w:r w:rsidR="009A33AB">
        <w:rPr>
          <w:rFonts w:hint="cs"/>
          <w:rtl/>
        </w:rPr>
        <w:t>20</w:t>
      </w:r>
      <w:r w:rsidR="00BF2E27">
        <w:rPr>
          <w:rFonts w:hint="cs"/>
          <w:rtl/>
        </w:rPr>
        <w:t>10</w:t>
      </w:r>
      <w:r>
        <w:rPr>
          <w:rFonts w:hint="cs"/>
          <w:rtl/>
        </w:rPr>
        <w:t>-</w:t>
      </w:r>
      <w:r w:rsidR="009A33AB">
        <w:rPr>
          <w:rFonts w:hint="cs"/>
          <w:rtl/>
        </w:rPr>
        <w:t>20</w:t>
      </w:r>
      <w:r w:rsidR="00BF2E27">
        <w:rPr>
          <w:rFonts w:hint="cs"/>
          <w:rtl/>
        </w:rPr>
        <w:t>09</w:t>
      </w:r>
      <w:r w:rsidRPr="00881D7B">
        <w:rPr>
          <w:rFonts w:hint="cs"/>
          <w:rtl/>
        </w:rPr>
        <w:t xml:space="preserve">, </w:t>
      </w:r>
      <w:r>
        <w:rPr>
          <w:rFonts w:hint="cs"/>
          <w:rtl/>
        </w:rPr>
        <w:t>ש</w:t>
      </w:r>
      <w:r w:rsidRPr="00881D7B">
        <w:rPr>
          <w:rFonts w:hint="cs"/>
          <w:rtl/>
        </w:rPr>
        <w:t xml:space="preserve">במסגרתו </w:t>
      </w:r>
      <w:r w:rsidRPr="00881D7B">
        <w:rPr>
          <w:rFonts w:hint="cs"/>
          <w:rtl/>
        </w:rPr>
        <w:t>מי"ה</w:t>
      </w:r>
      <w:r w:rsidRPr="00881D7B">
        <w:rPr>
          <w:rFonts w:hint="cs"/>
          <w:rtl/>
        </w:rPr>
        <w:t xml:space="preserve"> תעביר דיווחים על כמויות החומר שהיא הפיקה במחצבות בשטח הזיכיון, יתקיימו</w:t>
      </w:r>
      <w:r>
        <w:rPr>
          <w:rFonts w:hint="cs"/>
          <w:rtl/>
        </w:rPr>
        <w:t xml:space="preserve"> סיורי פיקוח באתרי הכרייה מטעם משרד </w:t>
      </w:r>
      <w:r>
        <w:rPr>
          <w:rFonts w:hint="cs"/>
          <w:rtl/>
        </w:rPr>
        <w:t>האנרגייה</w:t>
      </w:r>
      <w:r>
        <w:rPr>
          <w:rFonts w:hint="cs"/>
          <w:rtl/>
        </w:rPr>
        <w:t xml:space="preserve"> ותתקיים ישיבה לסיכום לקחי הפיקוח ולגיבוש מתכונת הפיקוח בהמשך לקראת סוף שנת 2010. </w:t>
      </w:r>
    </w:p>
    <w:p w:rsidR="006734B0" w:rsidRPr="00D816B7" w:rsidP="00D816B7" w14:paraId="7957A76E" w14:textId="2F8AD4B8">
      <w:pPr>
        <w:pStyle w:val="7318"/>
        <w:rPr>
          <w:rtl/>
        </w:rPr>
      </w:pPr>
      <w:r w:rsidRPr="00D816B7">
        <w:rPr>
          <w:rtl/>
        </w:rPr>
        <w:t>נמצא כי</w:t>
      </w:r>
      <w:r w:rsidRPr="00D816B7">
        <w:rPr>
          <w:rFonts w:hint="cs"/>
          <w:rtl/>
        </w:rPr>
        <w:t xml:space="preserve"> אף שמשרד </w:t>
      </w:r>
      <w:r w:rsidRPr="00D816B7">
        <w:rPr>
          <w:rFonts w:hint="cs"/>
          <w:rtl/>
        </w:rPr>
        <w:t>האנרגייה</w:t>
      </w:r>
      <w:r w:rsidRPr="00D816B7">
        <w:rPr>
          <w:rFonts w:hint="cs"/>
          <w:rtl/>
        </w:rPr>
        <w:t xml:space="preserve"> קבע כי בסוף שנת 2010 תתקיים </w:t>
      </w:r>
      <w:r w:rsidRPr="00D816B7">
        <w:rPr>
          <w:rtl/>
        </w:rPr>
        <w:t xml:space="preserve">ישיבה לגיבוש מתכונת הפיקוח </w:t>
      </w:r>
      <w:r w:rsidRPr="00D816B7">
        <w:rPr>
          <w:rFonts w:hint="cs"/>
          <w:rtl/>
        </w:rPr>
        <w:t xml:space="preserve">בשטח הזיכיון </w:t>
      </w:r>
      <w:r w:rsidRPr="00D816B7">
        <w:rPr>
          <w:rtl/>
        </w:rPr>
        <w:t>לשנים העוקבות</w:t>
      </w:r>
      <w:r w:rsidRPr="00D816B7">
        <w:rPr>
          <w:rFonts w:hint="cs"/>
          <w:rtl/>
        </w:rPr>
        <w:t xml:space="preserve">, ישיבה כאמור לא התקיימה, והלכה למעשה החל משנת 2011 ועד מועד סיום הביקורת ביוני 2024, המשרד לא דרש לקבל כל דיווח על כמויות החומרים </w:t>
      </w:r>
      <w:r w:rsidRPr="00D816B7">
        <w:rPr>
          <w:rFonts w:hint="cs"/>
          <w:rtl/>
        </w:rPr>
        <w:t>שמי"ה</w:t>
      </w:r>
      <w:r w:rsidRPr="00D816B7">
        <w:rPr>
          <w:rFonts w:hint="cs"/>
          <w:rtl/>
        </w:rPr>
        <w:t xml:space="preserve"> הפיקה בתחום הזיכיון, ואין בידו נתונים על כמויות חומרי הכרייה </w:t>
      </w:r>
      <w:r w:rsidRPr="00D816B7">
        <w:rPr>
          <w:rFonts w:hint="cs"/>
          <w:rtl/>
        </w:rPr>
        <w:t>שמי"ה</w:t>
      </w:r>
      <w:r w:rsidRPr="00D816B7">
        <w:rPr>
          <w:rFonts w:hint="cs"/>
          <w:rtl/>
        </w:rPr>
        <w:t xml:space="preserve"> הפיקה ומידע לגבי אופן ביצוע הכרייה ומידת ניצול החומר. עוד נמצא כי אומנם לאחר שנת 2011 משרד </w:t>
      </w:r>
      <w:r w:rsidRPr="00D816B7">
        <w:rPr>
          <w:rFonts w:hint="cs"/>
          <w:rtl/>
        </w:rPr>
        <w:t>האנרגייה</w:t>
      </w:r>
      <w:r w:rsidRPr="00D816B7">
        <w:rPr>
          <w:rFonts w:hint="cs"/>
          <w:rtl/>
        </w:rPr>
        <w:t xml:space="preserve"> ביצע כמה סיורים בתחום הזיכיון, אולם לדברי המשרד אלו היו סיורים לצורך קבלת תמונת מצב כוללת בלבד ואין מדובר בסיורי פיקוח כפי שהוא נוהג לבצע בשאר אתרי הכרייה בארץ.</w:t>
      </w:r>
    </w:p>
    <w:p w:rsidR="006734B0" w:rsidRPr="00D816B7" w:rsidP="00D816B7" w14:paraId="32BF1E19" w14:textId="770E8F59">
      <w:pPr>
        <w:pStyle w:val="7318"/>
        <w:rPr>
          <w:rtl/>
        </w:rPr>
      </w:pPr>
      <w:r w:rsidRPr="00D816B7">
        <w:rPr>
          <w:rFonts w:hint="eastAsia"/>
          <w:rtl/>
        </w:rPr>
        <w:t>בעקבות</w:t>
      </w:r>
      <w:r w:rsidRPr="00D816B7">
        <w:rPr>
          <w:rtl/>
        </w:rPr>
        <w:t xml:space="preserve"> הביקורת </w:t>
      </w:r>
      <w:r w:rsidRPr="00D816B7">
        <w:rPr>
          <w:rFonts w:hint="eastAsia"/>
          <w:rtl/>
        </w:rPr>
        <w:t>הנוכחית</w:t>
      </w:r>
      <w:r w:rsidRPr="00D816B7">
        <w:rPr>
          <w:rtl/>
        </w:rPr>
        <w:t xml:space="preserve"> </w:t>
      </w:r>
      <w:r w:rsidRPr="00D816B7">
        <w:rPr>
          <w:rFonts w:hint="eastAsia"/>
          <w:rtl/>
        </w:rPr>
        <w:t>ולאחר</w:t>
      </w:r>
      <w:r w:rsidRPr="00D816B7">
        <w:rPr>
          <w:rtl/>
        </w:rPr>
        <w:t xml:space="preserve"> </w:t>
      </w:r>
      <w:r w:rsidRPr="00D816B7">
        <w:rPr>
          <w:rFonts w:hint="eastAsia"/>
          <w:rtl/>
        </w:rPr>
        <w:t>סיומה</w:t>
      </w:r>
      <w:r w:rsidRPr="00D816B7">
        <w:rPr>
          <w:rtl/>
        </w:rPr>
        <w:t xml:space="preserve">, </w:t>
      </w:r>
      <w:r w:rsidRPr="00D816B7">
        <w:rPr>
          <w:rFonts w:hint="eastAsia"/>
          <w:rtl/>
        </w:rPr>
        <w:t>ביולי</w:t>
      </w:r>
      <w:r w:rsidRPr="00D816B7">
        <w:rPr>
          <w:rtl/>
        </w:rPr>
        <w:t xml:space="preserve"> 2024 </w:t>
      </w:r>
      <w:r w:rsidRPr="00D816B7">
        <w:rPr>
          <w:rFonts w:hint="eastAsia"/>
          <w:rtl/>
        </w:rPr>
        <w:t>משרד</w:t>
      </w:r>
      <w:r w:rsidRPr="00D816B7">
        <w:rPr>
          <w:rtl/>
        </w:rPr>
        <w:t xml:space="preserve"> </w:t>
      </w:r>
      <w:r w:rsidRPr="00D816B7">
        <w:rPr>
          <w:rtl/>
        </w:rPr>
        <w:t>האנרגייה</w:t>
      </w:r>
      <w:r w:rsidRPr="00D816B7">
        <w:rPr>
          <w:rtl/>
        </w:rPr>
        <w:t xml:space="preserve"> </w:t>
      </w:r>
      <w:r w:rsidRPr="00D816B7">
        <w:rPr>
          <w:rFonts w:hint="cs"/>
          <w:rtl/>
        </w:rPr>
        <w:t>קיים</w:t>
      </w:r>
      <w:r w:rsidRPr="00D816B7">
        <w:rPr>
          <w:rtl/>
        </w:rPr>
        <w:t xml:space="preserve"> </w:t>
      </w:r>
      <w:r w:rsidRPr="00D816B7">
        <w:rPr>
          <w:rFonts w:hint="eastAsia"/>
          <w:rtl/>
        </w:rPr>
        <w:t>לראשונה</w:t>
      </w:r>
      <w:r w:rsidRPr="00D816B7">
        <w:rPr>
          <w:rtl/>
        </w:rPr>
        <w:t xml:space="preserve"> </w:t>
      </w:r>
      <w:r w:rsidRPr="00D816B7">
        <w:rPr>
          <w:rFonts w:hint="eastAsia"/>
          <w:rtl/>
        </w:rPr>
        <w:t>סיור</w:t>
      </w:r>
      <w:r w:rsidRPr="00D816B7">
        <w:rPr>
          <w:rtl/>
        </w:rPr>
        <w:t xml:space="preserve"> </w:t>
      </w:r>
      <w:r w:rsidRPr="00D816B7">
        <w:rPr>
          <w:rFonts w:hint="eastAsia"/>
          <w:rtl/>
        </w:rPr>
        <w:t>פיקוח</w:t>
      </w:r>
      <w:r w:rsidRPr="00D816B7">
        <w:rPr>
          <w:rtl/>
        </w:rPr>
        <w:t xml:space="preserve"> </w:t>
      </w:r>
      <w:r w:rsidRPr="00D816B7">
        <w:rPr>
          <w:rFonts w:hint="eastAsia"/>
          <w:rtl/>
        </w:rPr>
        <w:t>באתרי</w:t>
      </w:r>
      <w:r w:rsidRPr="00D816B7">
        <w:rPr>
          <w:rtl/>
        </w:rPr>
        <w:t xml:space="preserve"> </w:t>
      </w:r>
      <w:r w:rsidRPr="00D816B7">
        <w:rPr>
          <w:rFonts w:hint="eastAsia"/>
          <w:rtl/>
        </w:rPr>
        <w:t>הכרייה</w:t>
      </w:r>
      <w:r w:rsidRPr="00D816B7">
        <w:rPr>
          <w:rtl/>
        </w:rPr>
        <w:t xml:space="preserve"> </w:t>
      </w:r>
      <w:r w:rsidRPr="00D816B7">
        <w:rPr>
          <w:rFonts w:hint="eastAsia"/>
          <w:rtl/>
        </w:rPr>
        <w:t>של</w:t>
      </w:r>
      <w:r w:rsidRPr="00D816B7">
        <w:rPr>
          <w:rtl/>
        </w:rPr>
        <w:t xml:space="preserve"> </w:t>
      </w:r>
      <w:r w:rsidRPr="00D816B7">
        <w:rPr>
          <w:rFonts w:hint="eastAsia"/>
          <w:rtl/>
        </w:rPr>
        <w:t>מי</w:t>
      </w:r>
      <w:r w:rsidRPr="00D816B7">
        <w:rPr>
          <w:rtl/>
        </w:rPr>
        <w:t>"ה</w:t>
      </w:r>
      <w:r w:rsidRPr="00D816B7">
        <w:rPr>
          <w:rtl/>
        </w:rPr>
        <w:t xml:space="preserve">, </w:t>
      </w:r>
      <w:r w:rsidRPr="00D816B7">
        <w:rPr>
          <w:rFonts w:hint="cs"/>
          <w:rtl/>
        </w:rPr>
        <w:t>ו</w:t>
      </w:r>
      <w:r w:rsidRPr="00D816B7">
        <w:rPr>
          <w:rFonts w:hint="eastAsia"/>
          <w:rtl/>
        </w:rPr>
        <w:t>במסגרתו</w:t>
      </w:r>
      <w:r w:rsidRPr="00D816B7">
        <w:rPr>
          <w:rtl/>
        </w:rPr>
        <w:t xml:space="preserve"> </w:t>
      </w:r>
      <w:r w:rsidRPr="00D816B7">
        <w:rPr>
          <w:rFonts w:hint="eastAsia"/>
          <w:rtl/>
        </w:rPr>
        <w:t>הוא</w:t>
      </w:r>
      <w:r w:rsidRPr="00D816B7">
        <w:rPr>
          <w:rtl/>
        </w:rPr>
        <w:t xml:space="preserve"> בדק </w:t>
      </w:r>
      <w:r w:rsidRPr="00D816B7">
        <w:rPr>
          <w:rFonts w:hint="eastAsia"/>
          <w:rtl/>
        </w:rPr>
        <w:t>את</w:t>
      </w:r>
      <w:r w:rsidRPr="00D816B7">
        <w:rPr>
          <w:rtl/>
        </w:rPr>
        <w:t xml:space="preserve"> </w:t>
      </w:r>
      <w:r w:rsidRPr="00D816B7">
        <w:rPr>
          <w:rFonts w:hint="cs"/>
          <w:rtl/>
        </w:rPr>
        <w:t xml:space="preserve">מידת </w:t>
      </w:r>
      <w:r w:rsidRPr="00D816B7">
        <w:rPr>
          <w:rFonts w:hint="eastAsia"/>
          <w:rtl/>
        </w:rPr>
        <w:t>עמידת</w:t>
      </w:r>
      <w:r w:rsidRPr="00D816B7">
        <w:rPr>
          <w:rFonts w:hint="cs"/>
          <w:rtl/>
        </w:rPr>
        <w:t>ה של</w:t>
      </w:r>
      <w:r w:rsidRPr="00D816B7">
        <w:rPr>
          <w:rtl/>
        </w:rPr>
        <w:t xml:space="preserve"> </w:t>
      </w:r>
      <w:r w:rsidRPr="00D816B7">
        <w:rPr>
          <w:rFonts w:hint="eastAsia"/>
          <w:rtl/>
        </w:rPr>
        <w:t>מי</w:t>
      </w:r>
      <w:r w:rsidRPr="00D816B7">
        <w:rPr>
          <w:rtl/>
        </w:rPr>
        <w:t>"ה</w:t>
      </w:r>
      <w:r w:rsidRPr="00D816B7">
        <w:rPr>
          <w:rtl/>
        </w:rPr>
        <w:t xml:space="preserve"> </w:t>
      </w:r>
      <w:r w:rsidRPr="00D816B7">
        <w:rPr>
          <w:rFonts w:hint="eastAsia"/>
          <w:rtl/>
        </w:rPr>
        <w:t>בהוראות</w:t>
      </w:r>
      <w:r w:rsidRPr="00D816B7">
        <w:rPr>
          <w:rtl/>
        </w:rPr>
        <w:t xml:space="preserve"> </w:t>
      </w:r>
      <w:r w:rsidRPr="00D816B7">
        <w:rPr>
          <w:rFonts w:hint="eastAsia"/>
          <w:rtl/>
        </w:rPr>
        <w:t>הת</w:t>
      </w:r>
      <w:r w:rsidRPr="00D816B7">
        <w:rPr>
          <w:rFonts w:hint="cs"/>
          <w:rtl/>
        </w:rPr>
        <w:t>ו</w:t>
      </w:r>
      <w:r w:rsidRPr="00D816B7">
        <w:rPr>
          <w:rFonts w:hint="eastAsia"/>
          <w:rtl/>
        </w:rPr>
        <w:t>כניות</w:t>
      </w:r>
      <w:r w:rsidRPr="00D816B7">
        <w:rPr>
          <w:rtl/>
        </w:rPr>
        <w:t xml:space="preserve"> </w:t>
      </w:r>
      <w:r w:rsidRPr="00D816B7">
        <w:rPr>
          <w:rFonts w:hint="eastAsia"/>
          <w:rtl/>
        </w:rPr>
        <w:t>הסטטוטוריות</w:t>
      </w:r>
      <w:r w:rsidRPr="00D816B7">
        <w:rPr>
          <w:rtl/>
        </w:rPr>
        <w:t xml:space="preserve"> </w:t>
      </w:r>
      <w:r w:rsidRPr="00D816B7">
        <w:rPr>
          <w:rFonts w:hint="eastAsia"/>
          <w:rtl/>
        </w:rPr>
        <w:t>וביקש</w:t>
      </w:r>
      <w:r w:rsidRPr="00D816B7">
        <w:rPr>
          <w:rtl/>
        </w:rPr>
        <w:t xml:space="preserve"> </w:t>
      </w:r>
      <w:r w:rsidRPr="00D816B7">
        <w:rPr>
          <w:rFonts w:hint="eastAsia"/>
          <w:rtl/>
        </w:rPr>
        <w:t>לקבל</w:t>
      </w:r>
      <w:r w:rsidRPr="00D816B7">
        <w:rPr>
          <w:rtl/>
        </w:rPr>
        <w:t xml:space="preserve"> </w:t>
      </w:r>
      <w:r w:rsidRPr="00D816B7">
        <w:rPr>
          <w:rFonts w:hint="eastAsia"/>
          <w:rtl/>
        </w:rPr>
        <w:t>אסמכתאות</w:t>
      </w:r>
      <w:r w:rsidRPr="00D816B7">
        <w:rPr>
          <w:rtl/>
        </w:rPr>
        <w:t xml:space="preserve"> </w:t>
      </w:r>
      <w:r w:rsidRPr="00D816B7">
        <w:rPr>
          <w:rFonts w:hint="eastAsia"/>
          <w:rtl/>
        </w:rPr>
        <w:t>בדבר</w:t>
      </w:r>
      <w:r w:rsidRPr="00D816B7">
        <w:rPr>
          <w:rtl/>
        </w:rPr>
        <w:t xml:space="preserve">. </w:t>
      </w:r>
    </w:p>
    <w:p w:rsidR="006734B0" w:rsidP="00D816B7" w14:paraId="68F277BA" w14:textId="7FC612DB">
      <w:pPr>
        <w:pStyle w:val="7392"/>
        <w:rPr>
          <w:highlight w:val="yellow"/>
          <w:rtl/>
        </w:rPr>
      </w:pPr>
      <w:r>
        <w:rPr>
          <w:rFonts w:hint="cs"/>
          <w:rtl/>
        </w:rPr>
        <w:t xml:space="preserve">למשל, לגבי מחצבת נחל </w:t>
      </w:r>
      <w:r>
        <w:rPr>
          <w:rFonts w:hint="cs"/>
          <w:rtl/>
        </w:rPr>
        <w:t>חימר</w:t>
      </w:r>
      <w:r>
        <w:rPr>
          <w:rFonts w:hint="cs"/>
          <w:rtl/>
        </w:rPr>
        <w:t xml:space="preserve"> משרד </w:t>
      </w:r>
      <w:r>
        <w:rPr>
          <w:rFonts w:hint="cs"/>
          <w:rtl/>
        </w:rPr>
        <w:t>האנרגייה</w:t>
      </w:r>
      <w:r>
        <w:rPr>
          <w:rFonts w:hint="cs"/>
          <w:rtl/>
        </w:rPr>
        <w:t xml:space="preserve"> ביקש לקבל אסמכתאות לתיאום עם </w:t>
      </w:r>
      <w:r>
        <w:rPr>
          <w:rFonts w:hint="cs"/>
          <w:rtl/>
        </w:rPr>
        <w:t>רט"ג</w:t>
      </w:r>
      <w:r>
        <w:rPr>
          <w:rFonts w:hint="cs"/>
          <w:rtl/>
        </w:rPr>
        <w:t xml:space="preserve"> והוועדה המקומית תמר לגבי מעבר בין שני תאי שטח וכן אישור על הכנת תוכנית שיקום מפורטת על ידי אדריכל נוף; לגבי מחצבת נחל צין </w:t>
      </w:r>
      <w:r w:rsidR="009A33AB">
        <w:rPr>
          <w:rFonts w:hint="cs"/>
          <w:rtl/>
        </w:rPr>
        <w:t>ה</w:t>
      </w:r>
      <w:r>
        <w:rPr>
          <w:rFonts w:hint="cs"/>
          <w:rtl/>
        </w:rPr>
        <w:t xml:space="preserve">משרד ביקש לקבל </w:t>
      </w:r>
      <w:r>
        <w:rPr>
          <w:rFonts w:hint="cs"/>
          <w:rtl/>
        </w:rPr>
        <w:t>מרט"ג</w:t>
      </w:r>
      <w:r>
        <w:rPr>
          <w:rFonts w:hint="cs"/>
          <w:rtl/>
        </w:rPr>
        <w:t xml:space="preserve"> או מהוועדה המקומית אישור על קידום תוכנית אב לשיקום, ולגבי נחל אשלים התבקש אישור הוועדה המקומית למעבר משלב ביצוע 1 לשלב ביצוע 2. </w:t>
      </w:r>
    </w:p>
    <w:p w:rsidR="006734B0" w:rsidRPr="00384E38" w:rsidP="00D816B7" w14:paraId="38E801D2" w14:textId="77777777">
      <w:pPr>
        <w:pStyle w:val="7392"/>
        <w:rPr>
          <w:rtl/>
        </w:rPr>
      </w:pPr>
      <w:r w:rsidRPr="005E2CB6">
        <w:rPr>
          <w:rFonts w:hint="eastAsia"/>
          <w:rtl/>
        </w:rPr>
        <w:t>משרד</w:t>
      </w:r>
      <w:r w:rsidRPr="005E2CB6">
        <w:rPr>
          <w:rtl/>
        </w:rPr>
        <w:t xml:space="preserve"> </w:t>
      </w:r>
      <w:r w:rsidRPr="005E2CB6">
        <w:rPr>
          <w:rtl/>
        </w:rPr>
        <w:t>האנרגייה</w:t>
      </w:r>
      <w:r w:rsidRPr="005E2CB6">
        <w:rPr>
          <w:rtl/>
        </w:rPr>
        <w:t xml:space="preserve"> מסר בתשובתו למשרד מבקר המדינה </w:t>
      </w:r>
      <w:r w:rsidRPr="00924DE4">
        <w:rPr>
          <w:rFonts w:hint="cs"/>
          <w:rtl/>
        </w:rPr>
        <w:t>מספטמבר 2024 כי</w:t>
      </w:r>
      <w:r w:rsidRPr="005E2CB6">
        <w:rPr>
          <w:rtl/>
        </w:rPr>
        <w:t xml:space="preserve"> </w:t>
      </w:r>
      <w:r w:rsidRPr="00924DE4">
        <w:rPr>
          <w:rFonts w:hint="cs"/>
          <w:rtl/>
        </w:rPr>
        <w:t>העתודות והתפוקות באתרי הכרייה בתחום הזיכיון הם משק סגור ועל כן איסוף נתונים לגביהן אינו קריטי למשק.</w:t>
      </w:r>
      <w:r>
        <w:rPr>
          <w:rFonts w:hint="cs"/>
          <w:rtl/>
        </w:rPr>
        <w:t xml:space="preserve"> </w:t>
      </w:r>
      <w:r w:rsidRPr="00930F89">
        <w:rPr>
          <w:rFonts w:hint="eastAsia"/>
          <w:rtl/>
        </w:rPr>
        <w:t>מי</w:t>
      </w:r>
      <w:r w:rsidRPr="00930F89">
        <w:rPr>
          <w:rtl/>
        </w:rPr>
        <w:t>"ה</w:t>
      </w:r>
      <w:r w:rsidRPr="00930F89">
        <w:rPr>
          <w:rtl/>
        </w:rPr>
        <w:t xml:space="preserve"> מסרה בתשובתה למשרד מבקר המדינה כי </w:t>
      </w:r>
      <w:r w:rsidRPr="00930F89">
        <w:rPr>
          <w:rFonts w:hint="eastAsia"/>
          <w:rtl/>
        </w:rPr>
        <w:t>השיקולים</w:t>
      </w:r>
      <w:r w:rsidRPr="00930F89">
        <w:rPr>
          <w:rtl/>
        </w:rPr>
        <w:t xml:space="preserve"> </w:t>
      </w:r>
      <w:r w:rsidRPr="00930F89">
        <w:rPr>
          <w:rFonts w:hint="eastAsia"/>
          <w:rtl/>
        </w:rPr>
        <w:t>הסביבתיים</w:t>
      </w:r>
      <w:r w:rsidRPr="00384E38">
        <w:rPr>
          <w:color w:val="0070C0"/>
          <w:szCs w:val="20"/>
          <w:rtl/>
        </w:rPr>
        <w:t xml:space="preserve"> </w:t>
      </w:r>
      <w:r w:rsidRPr="00930F89">
        <w:rPr>
          <w:rFonts w:hint="eastAsia"/>
          <w:rtl/>
        </w:rPr>
        <w:t>מוסדרים</w:t>
      </w:r>
      <w:r w:rsidRPr="00930F89">
        <w:rPr>
          <w:rtl/>
        </w:rPr>
        <w:t xml:space="preserve"> בתוכני</w:t>
      </w:r>
      <w:r w:rsidRPr="00930F89">
        <w:rPr>
          <w:rFonts w:hint="eastAsia"/>
          <w:rtl/>
        </w:rPr>
        <w:t>ו</w:t>
      </w:r>
      <w:r w:rsidRPr="00930F89">
        <w:rPr>
          <w:rtl/>
        </w:rPr>
        <w:t>ת לפי חוק התכנון והבנ</w:t>
      </w:r>
      <w:r>
        <w:rPr>
          <w:rFonts w:hint="cs"/>
          <w:rtl/>
        </w:rPr>
        <w:t>י</w:t>
      </w:r>
      <w:r w:rsidRPr="00930F89">
        <w:rPr>
          <w:rtl/>
        </w:rPr>
        <w:t xml:space="preserve">יה, </w:t>
      </w:r>
      <w:r w:rsidRPr="00930F89">
        <w:rPr>
          <w:rFonts w:hint="eastAsia"/>
          <w:rtl/>
        </w:rPr>
        <w:t>ו</w:t>
      </w:r>
      <w:r w:rsidRPr="00930F89">
        <w:rPr>
          <w:rFonts w:hint="cs"/>
          <w:rtl/>
        </w:rPr>
        <w:t xml:space="preserve">נושא </w:t>
      </w:r>
      <w:r w:rsidRPr="00930F89">
        <w:rPr>
          <w:rFonts w:hint="eastAsia"/>
          <w:rtl/>
        </w:rPr>
        <w:t>חלוקת</w:t>
      </w:r>
      <w:r w:rsidRPr="00930F89">
        <w:rPr>
          <w:rtl/>
        </w:rPr>
        <w:t xml:space="preserve"> </w:t>
      </w:r>
      <w:r w:rsidRPr="00930F89">
        <w:rPr>
          <w:rFonts w:hint="eastAsia"/>
          <w:rtl/>
        </w:rPr>
        <w:t>משאבי</w:t>
      </w:r>
      <w:r w:rsidRPr="00930F89">
        <w:rPr>
          <w:rtl/>
        </w:rPr>
        <w:t xml:space="preserve"> הכרייה </w:t>
      </w:r>
      <w:r>
        <w:rPr>
          <w:rFonts w:hint="cs"/>
          <w:rtl/>
        </w:rPr>
        <w:t>בתחום הזיכיון</w:t>
      </w:r>
      <w:r w:rsidRPr="00930F89">
        <w:rPr>
          <w:rFonts w:hint="cs"/>
          <w:rtl/>
        </w:rPr>
        <w:t xml:space="preserve"> </w:t>
      </w:r>
      <w:r w:rsidRPr="00930F89">
        <w:rPr>
          <w:rtl/>
        </w:rPr>
        <w:t>בין כלל הצרכים במשק כבר הובא בחשבון בעת קביעת תנאי חוק הזיכיון ו</w:t>
      </w:r>
      <w:r>
        <w:rPr>
          <w:rFonts w:hint="cs"/>
          <w:rtl/>
        </w:rPr>
        <w:t>אינו</w:t>
      </w:r>
      <w:r w:rsidRPr="00930F89">
        <w:rPr>
          <w:rtl/>
        </w:rPr>
        <w:t xml:space="preserve"> מצריך פיקוח נוסף של משרד </w:t>
      </w:r>
      <w:r w:rsidRPr="00930F89">
        <w:rPr>
          <w:rtl/>
        </w:rPr>
        <w:t>האנרגי</w:t>
      </w:r>
      <w:r>
        <w:rPr>
          <w:rFonts w:hint="cs"/>
          <w:rtl/>
        </w:rPr>
        <w:t>י</w:t>
      </w:r>
      <w:r w:rsidRPr="00930F89">
        <w:rPr>
          <w:rtl/>
        </w:rPr>
        <w:t>ה</w:t>
      </w:r>
      <w:r w:rsidRPr="00930F89">
        <w:rPr>
          <w:rtl/>
        </w:rPr>
        <w:t>.</w:t>
      </w:r>
    </w:p>
    <w:p w:rsidR="006734B0" w:rsidRPr="00D816B7" w:rsidP="00D816B7" w14:paraId="379ABAAB" w14:textId="76F0F49E">
      <w:pPr>
        <w:pStyle w:val="7318"/>
        <w:rPr>
          <w:rtl/>
        </w:rPr>
      </w:pPr>
      <w:r w:rsidRPr="00D816B7">
        <w:rPr>
          <w:rFonts w:hint="cs"/>
          <w:rtl/>
        </w:rPr>
        <w:t xml:space="preserve">משרד מבקר המדינה מציין כי בטיוטת מסקנות הצוות </w:t>
      </w:r>
      <w:bookmarkStart w:id="34" w:name="_Hlk185762984"/>
      <w:r w:rsidRPr="00D816B7">
        <w:rPr>
          <w:rFonts w:hint="cs"/>
          <w:rtl/>
        </w:rPr>
        <w:t xml:space="preserve">הבין-משרדי להיערכות לתום תקופת הזיכיון </w:t>
      </w:r>
      <w:bookmarkEnd w:id="34"/>
      <w:r w:rsidRPr="00D816B7">
        <w:rPr>
          <w:rFonts w:hint="cs"/>
          <w:rtl/>
        </w:rPr>
        <w:t>שפורסם בספטמבר 2024</w:t>
      </w:r>
      <w:r>
        <w:rPr>
          <w:vertAlign w:val="superscript"/>
          <w:rtl/>
        </w:rPr>
        <w:footnoteReference w:id="37"/>
      </w:r>
      <w:r w:rsidRPr="00D816B7">
        <w:rPr>
          <w:rFonts w:hint="cs"/>
          <w:rtl/>
        </w:rPr>
        <w:t xml:space="preserve">, שבו משרד </w:t>
      </w:r>
      <w:r w:rsidRPr="00D816B7">
        <w:rPr>
          <w:rFonts w:hint="cs"/>
          <w:rtl/>
        </w:rPr>
        <w:t>האנרגייה</w:t>
      </w:r>
      <w:r w:rsidRPr="00D816B7">
        <w:rPr>
          <w:rFonts w:hint="cs"/>
          <w:rtl/>
        </w:rPr>
        <w:t xml:space="preserve"> היה חבר, נקבע כי "עתודות חומר הגלם באתרים הקיימים [בשטח הזיכיון] המשמשים לצורך הפקת חומר ואדי צפויות להיגמר עד לתום הזיכיון הנוכחי בשנת 2030". הצוות המליץ לייעד את אתר נחל גורר (שטח טבעי שבו לא התבצעה בעבר כרייה, הנמצא מחוץ לתחום הזיכיון) </w:t>
      </w:r>
      <w:r w:rsidRPr="00BF2E27" w:rsidR="00BF2E27">
        <w:rPr>
          <w:rtl/>
        </w:rPr>
        <w:t>לשימוש</w:t>
      </w:r>
      <w:r w:rsidRPr="00D816B7">
        <w:rPr>
          <w:rFonts w:hint="cs"/>
          <w:rtl/>
        </w:rPr>
        <w:t xml:space="preserve"> בעל הזיכיון העתידי כמקור לחומר ואדי, ואם </w:t>
      </w:r>
      <w:r w:rsidRPr="00DC70B8" w:rsidR="00DC70B8">
        <w:rPr>
          <w:rtl/>
        </w:rPr>
        <w:t>יידרש</w:t>
      </w:r>
      <w:r w:rsidRPr="00D816B7">
        <w:rPr>
          <w:rFonts w:hint="cs"/>
          <w:rtl/>
        </w:rPr>
        <w:t xml:space="preserve"> גם את אתר מישור רותם</w:t>
      </w:r>
      <w:r>
        <w:rPr>
          <w:vertAlign w:val="superscript"/>
          <w:rtl/>
        </w:rPr>
        <w:footnoteReference w:id="38"/>
      </w:r>
      <w:r w:rsidRPr="00D816B7">
        <w:rPr>
          <w:rFonts w:hint="cs"/>
          <w:rtl/>
        </w:rPr>
        <w:t xml:space="preserve">. מכאן, שבניגוד לטענת משרד </w:t>
      </w:r>
      <w:r w:rsidRPr="00D816B7">
        <w:rPr>
          <w:rFonts w:hint="cs"/>
          <w:rtl/>
        </w:rPr>
        <w:t>האנרגייה</w:t>
      </w:r>
      <w:r w:rsidRPr="00D816B7">
        <w:rPr>
          <w:rFonts w:hint="cs"/>
          <w:rtl/>
        </w:rPr>
        <w:t xml:space="preserve"> פעולות הכרייה </w:t>
      </w:r>
      <w:r w:rsidRPr="00D816B7">
        <w:rPr>
          <w:rFonts w:hint="cs"/>
          <w:rtl/>
        </w:rPr>
        <w:t>שמי"ה</w:t>
      </w:r>
      <w:r w:rsidRPr="00D816B7">
        <w:rPr>
          <w:rFonts w:hint="cs"/>
          <w:rtl/>
        </w:rPr>
        <w:t xml:space="preserve"> מבצעת והיקף חומר הוואדי שהיא מפיקה אינו משק סגור, שכן הם מצריכים קביעת אתר כרייה חדש. זאת ועוד, גם כרייה של חומר המופק בתוך שטח הזיכיון ונעשה בו שימוש לצורך הנדסי של </w:t>
      </w:r>
      <w:r w:rsidRPr="00D816B7">
        <w:rPr>
          <w:rFonts w:hint="cs"/>
          <w:rtl/>
        </w:rPr>
        <w:t>מי"ה</w:t>
      </w:r>
      <w:r w:rsidRPr="00D816B7">
        <w:rPr>
          <w:rFonts w:hint="cs"/>
          <w:rtl/>
        </w:rPr>
        <w:t xml:space="preserve">, מן הראוי היה שתנוהל על ידי משרד </w:t>
      </w:r>
      <w:r w:rsidRPr="00D816B7">
        <w:rPr>
          <w:rFonts w:hint="cs"/>
          <w:rtl/>
        </w:rPr>
        <w:t>האנרגייה</w:t>
      </w:r>
      <w:r w:rsidRPr="00D816B7">
        <w:rPr>
          <w:rFonts w:hint="cs"/>
          <w:rtl/>
        </w:rPr>
        <w:t xml:space="preserve"> תוך ראייה כוללת של השפעת הכרייה על הסביבה ועל עתודות החומר הארציות, ותוך מתן הנחיות למזעור היקף הכרייה וניצול יעיל של החומר המופק. </w:t>
      </w:r>
      <w:r w:rsidRPr="00D816B7">
        <w:rPr>
          <w:rFonts w:hint="eastAsia"/>
          <w:rtl/>
        </w:rPr>
        <w:t>אשר</w:t>
      </w:r>
      <w:r w:rsidRPr="00D816B7">
        <w:rPr>
          <w:rtl/>
        </w:rPr>
        <w:t xml:space="preserve"> לתשובת </w:t>
      </w:r>
      <w:r w:rsidRPr="00D816B7">
        <w:rPr>
          <w:rFonts w:hint="eastAsia"/>
          <w:rtl/>
        </w:rPr>
        <w:t>מי</w:t>
      </w:r>
      <w:r w:rsidRPr="00D816B7">
        <w:rPr>
          <w:rtl/>
        </w:rPr>
        <w:t>"ה</w:t>
      </w:r>
      <w:r w:rsidRPr="00D816B7">
        <w:rPr>
          <w:rtl/>
        </w:rPr>
        <w:t xml:space="preserve">, משרד מבקר המדינה </w:t>
      </w:r>
      <w:r w:rsidRPr="00D816B7">
        <w:rPr>
          <w:rFonts w:hint="cs"/>
          <w:rtl/>
        </w:rPr>
        <w:t xml:space="preserve">מציין </w:t>
      </w:r>
      <w:r w:rsidRPr="00D816B7">
        <w:rPr>
          <w:rFonts w:hint="eastAsia"/>
          <w:rtl/>
        </w:rPr>
        <w:t>כי</w:t>
      </w:r>
      <w:r w:rsidRPr="00D816B7">
        <w:rPr>
          <w:rtl/>
        </w:rPr>
        <w:t xml:space="preserve"> </w:t>
      </w:r>
      <w:r w:rsidRPr="00D816B7">
        <w:rPr>
          <w:rFonts w:hint="eastAsia"/>
          <w:rtl/>
        </w:rPr>
        <w:t>כל</w:t>
      </w:r>
      <w:r w:rsidRPr="00D816B7">
        <w:rPr>
          <w:rtl/>
        </w:rPr>
        <w:t xml:space="preserve"> </w:t>
      </w:r>
      <w:r w:rsidRPr="00D816B7">
        <w:rPr>
          <w:rFonts w:hint="eastAsia"/>
          <w:rtl/>
        </w:rPr>
        <w:t>אתרי</w:t>
      </w:r>
      <w:r w:rsidRPr="00D816B7">
        <w:rPr>
          <w:rtl/>
        </w:rPr>
        <w:t xml:space="preserve"> </w:t>
      </w:r>
      <w:r w:rsidRPr="00D816B7">
        <w:rPr>
          <w:rFonts w:hint="eastAsia"/>
          <w:rtl/>
        </w:rPr>
        <w:t>הכרייה</w:t>
      </w:r>
      <w:r w:rsidRPr="00D816B7">
        <w:rPr>
          <w:rtl/>
        </w:rPr>
        <w:t xml:space="preserve"> </w:t>
      </w:r>
      <w:r w:rsidRPr="00D816B7">
        <w:rPr>
          <w:rFonts w:hint="cs"/>
          <w:rtl/>
        </w:rPr>
        <w:t>ש</w:t>
      </w:r>
      <w:r w:rsidRPr="00D816B7">
        <w:rPr>
          <w:rtl/>
        </w:rPr>
        <w:t xml:space="preserve">בהם מבצע משרד </w:t>
      </w:r>
      <w:r w:rsidRPr="00D816B7">
        <w:rPr>
          <w:rFonts w:hint="eastAsia"/>
          <w:rtl/>
        </w:rPr>
        <w:t>האנרגייה</w:t>
      </w:r>
      <w:r w:rsidRPr="00D816B7">
        <w:rPr>
          <w:rtl/>
        </w:rPr>
        <w:t xml:space="preserve"> פיקוח </w:t>
      </w:r>
      <w:r w:rsidRPr="00D816B7">
        <w:rPr>
          <w:rFonts w:hint="eastAsia"/>
          <w:rtl/>
        </w:rPr>
        <w:t>נדרשים</w:t>
      </w:r>
      <w:r w:rsidRPr="00D816B7">
        <w:rPr>
          <w:rtl/>
        </w:rPr>
        <w:t xml:space="preserve"> לפעול </w:t>
      </w:r>
      <w:r w:rsidRPr="00D816B7">
        <w:rPr>
          <w:rFonts w:hint="eastAsia"/>
          <w:rtl/>
        </w:rPr>
        <w:t>בהתאם</w:t>
      </w:r>
      <w:r w:rsidRPr="00D816B7">
        <w:rPr>
          <w:rtl/>
        </w:rPr>
        <w:t xml:space="preserve"> </w:t>
      </w:r>
      <w:r w:rsidRPr="00D816B7">
        <w:rPr>
          <w:rFonts w:hint="eastAsia"/>
          <w:rtl/>
        </w:rPr>
        <w:t>לתכניות</w:t>
      </w:r>
      <w:r w:rsidRPr="00D816B7">
        <w:rPr>
          <w:rtl/>
        </w:rPr>
        <w:t xml:space="preserve"> </w:t>
      </w:r>
      <w:r w:rsidRPr="00D816B7">
        <w:rPr>
          <w:rFonts w:hint="eastAsia"/>
          <w:rtl/>
        </w:rPr>
        <w:t>לפי</w:t>
      </w:r>
      <w:r w:rsidRPr="00D816B7">
        <w:rPr>
          <w:rtl/>
        </w:rPr>
        <w:t xml:space="preserve"> </w:t>
      </w:r>
      <w:r w:rsidRPr="00D816B7">
        <w:rPr>
          <w:rFonts w:hint="eastAsia"/>
          <w:rtl/>
        </w:rPr>
        <w:t>חוק</w:t>
      </w:r>
      <w:r w:rsidRPr="00D816B7">
        <w:rPr>
          <w:rtl/>
        </w:rPr>
        <w:t xml:space="preserve"> </w:t>
      </w:r>
      <w:r w:rsidRPr="00D816B7">
        <w:rPr>
          <w:rFonts w:hint="eastAsia"/>
          <w:rtl/>
        </w:rPr>
        <w:t>התכנון</w:t>
      </w:r>
      <w:r w:rsidRPr="00D816B7">
        <w:rPr>
          <w:rtl/>
        </w:rPr>
        <w:t xml:space="preserve"> </w:t>
      </w:r>
      <w:r w:rsidRPr="00D816B7">
        <w:rPr>
          <w:rFonts w:hint="eastAsia"/>
          <w:rtl/>
        </w:rPr>
        <w:t>והבנייה</w:t>
      </w:r>
      <w:r w:rsidRPr="00D816B7">
        <w:rPr>
          <w:rtl/>
        </w:rPr>
        <w:t>, וקיומה של ת</w:t>
      </w:r>
      <w:r w:rsidRPr="00D816B7">
        <w:rPr>
          <w:rFonts w:hint="cs"/>
          <w:rtl/>
        </w:rPr>
        <w:t>ו</w:t>
      </w:r>
      <w:r w:rsidRPr="00D816B7">
        <w:rPr>
          <w:rtl/>
        </w:rPr>
        <w:t xml:space="preserve">כנית אינה מייתר את הצורך </w:t>
      </w:r>
      <w:r w:rsidRPr="00D816B7">
        <w:rPr>
          <w:rFonts w:hint="eastAsia"/>
          <w:rtl/>
        </w:rPr>
        <w:t>בפיקוח</w:t>
      </w:r>
      <w:r w:rsidRPr="00D816B7">
        <w:rPr>
          <w:rtl/>
        </w:rPr>
        <w:t xml:space="preserve"> </w:t>
      </w:r>
      <w:r w:rsidRPr="00D816B7">
        <w:rPr>
          <w:rFonts w:hint="eastAsia"/>
          <w:rtl/>
        </w:rPr>
        <w:t>של</w:t>
      </w:r>
      <w:r w:rsidRPr="00D816B7">
        <w:rPr>
          <w:rtl/>
        </w:rPr>
        <w:t xml:space="preserve"> </w:t>
      </w:r>
      <w:r w:rsidRPr="00D816B7">
        <w:rPr>
          <w:rFonts w:hint="eastAsia"/>
          <w:rtl/>
        </w:rPr>
        <w:t>המשרד</w:t>
      </w:r>
      <w:r w:rsidRPr="00D816B7">
        <w:rPr>
          <w:rtl/>
        </w:rPr>
        <w:t xml:space="preserve"> </w:t>
      </w:r>
      <w:r w:rsidRPr="00D816B7">
        <w:rPr>
          <w:rFonts w:hint="eastAsia"/>
          <w:rtl/>
        </w:rPr>
        <w:t>ועל</w:t>
      </w:r>
      <w:r w:rsidRPr="00D816B7">
        <w:rPr>
          <w:rtl/>
        </w:rPr>
        <w:t xml:space="preserve"> כן טענת </w:t>
      </w:r>
      <w:r w:rsidRPr="00D816B7">
        <w:rPr>
          <w:rFonts w:hint="eastAsia"/>
          <w:rtl/>
        </w:rPr>
        <w:t>מי</w:t>
      </w:r>
      <w:r w:rsidRPr="00D816B7">
        <w:rPr>
          <w:rtl/>
        </w:rPr>
        <w:t>"ה</w:t>
      </w:r>
      <w:r w:rsidRPr="00D816B7">
        <w:rPr>
          <w:rtl/>
        </w:rPr>
        <w:t xml:space="preserve"> אינה מקובלת. גם טענתה </w:t>
      </w:r>
      <w:r w:rsidRPr="00D816B7">
        <w:rPr>
          <w:rFonts w:hint="eastAsia"/>
          <w:rtl/>
        </w:rPr>
        <w:t>של</w:t>
      </w:r>
      <w:r w:rsidRPr="00D816B7">
        <w:rPr>
          <w:rtl/>
        </w:rPr>
        <w:t xml:space="preserve"> </w:t>
      </w:r>
      <w:r w:rsidRPr="00D816B7">
        <w:rPr>
          <w:rFonts w:hint="eastAsia"/>
          <w:rtl/>
        </w:rPr>
        <w:t>מי</w:t>
      </w:r>
      <w:r w:rsidRPr="00D816B7">
        <w:rPr>
          <w:rtl/>
        </w:rPr>
        <w:t>"ה</w:t>
      </w:r>
      <w:r w:rsidRPr="00D816B7">
        <w:rPr>
          <w:rtl/>
        </w:rPr>
        <w:t xml:space="preserve"> </w:t>
      </w:r>
      <w:r w:rsidRPr="00D816B7">
        <w:rPr>
          <w:rFonts w:hint="cs"/>
          <w:rtl/>
        </w:rPr>
        <w:t>ו</w:t>
      </w:r>
      <w:r w:rsidRPr="00D816B7">
        <w:rPr>
          <w:rFonts w:hint="eastAsia"/>
          <w:rtl/>
        </w:rPr>
        <w:t>לפיה</w:t>
      </w:r>
      <w:r w:rsidRPr="00D816B7">
        <w:rPr>
          <w:rtl/>
        </w:rPr>
        <w:t xml:space="preserve"> </w:t>
      </w:r>
      <w:r w:rsidRPr="00D816B7">
        <w:rPr>
          <w:rFonts w:hint="eastAsia"/>
          <w:rtl/>
        </w:rPr>
        <w:t>חלוקת</w:t>
      </w:r>
      <w:r w:rsidRPr="00D816B7">
        <w:rPr>
          <w:rtl/>
        </w:rPr>
        <w:t xml:space="preserve"> </w:t>
      </w:r>
      <w:r w:rsidRPr="00D816B7">
        <w:rPr>
          <w:rFonts w:hint="eastAsia"/>
          <w:rtl/>
        </w:rPr>
        <w:t>משאבי</w:t>
      </w:r>
      <w:r w:rsidRPr="00D816B7">
        <w:rPr>
          <w:rtl/>
        </w:rPr>
        <w:t xml:space="preserve"> </w:t>
      </w:r>
      <w:r w:rsidRPr="00D816B7">
        <w:rPr>
          <w:rFonts w:hint="eastAsia"/>
          <w:rtl/>
        </w:rPr>
        <w:t>הכרייה</w:t>
      </w:r>
      <w:r w:rsidRPr="00D816B7">
        <w:rPr>
          <w:rtl/>
        </w:rPr>
        <w:t xml:space="preserve"> </w:t>
      </w:r>
      <w:r w:rsidRPr="00D816B7">
        <w:rPr>
          <w:rFonts w:hint="eastAsia"/>
          <w:rtl/>
        </w:rPr>
        <w:t>הובאה</w:t>
      </w:r>
      <w:r w:rsidRPr="00D816B7">
        <w:rPr>
          <w:rtl/>
        </w:rPr>
        <w:t xml:space="preserve"> </w:t>
      </w:r>
      <w:r w:rsidRPr="00D816B7">
        <w:rPr>
          <w:rFonts w:hint="eastAsia"/>
          <w:rtl/>
        </w:rPr>
        <w:t>כבר</w:t>
      </w:r>
      <w:r w:rsidRPr="00D816B7">
        <w:rPr>
          <w:rtl/>
        </w:rPr>
        <w:t xml:space="preserve"> </w:t>
      </w:r>
      <w:r w:rsidRPr="00D816B7">
        <w:rPr>
          <w:rFonts w:hint="eastAsia"/>
          <w:rtl/>
        </w:rPr>
        <w:t>בחשבון</w:t>
      </w:r>
      <w:r w:rsidRPr="00D816B7">
        <w:rPr>
          <w:rtl/>
        </w:rPr>
        <w:t xml:space="preserve"> </w:t>
      </w:r>
      <w:r w:rsidRPr="00D816B7">
        <w:rPr>
          <w:rFonts w:hint="eastAsia"/>
          <w:rtl/>
        </w:rPr>
        <w:t>בעת</w:t>
      </w:r>
      <w:r w:rsidRPr="00D816B7">
        <w:rPr>
          <w:rtl/>
        </w:rPr>
        <w:t xml:space="preserve"> </w:t>
      </w:r>
      <w:r w:rsidRPr="00D816B7">
        <w:rPr>
          <w:rFonts w:hint="eastAsia"/>
          <w:rtl/>
        </w:rPr>
        <w:t>קביעת</w:t>
      </w:r>
      <w:r w:rsidRPr="00D816B7">
        <w:rPr>
          <w:rtl/>
        </w:rPr>
        <w:t xml:space="preserve"> </w:t>
      </w:r>
      <w:r w:rsidRPr="00D816B7">
        <w:rPr>
          <w:rFonts w:hint="eastAsia"/>
          <w:rtl/>
        </w:rPr>
        <w:t>תנאי</w:t>
      </w:r>
      <w:r w:rsidRPr="00D816B7">
        <w:rPr>
          <w:rtl/>
        </w:rPr>
        <w:t xml:space="preserve"> </w:t>
      </w:r>
      <w:r w:rsidRPr="00D816B7">
        <w:rPr>
          <w:rFonts w:hint="eastAsia"/>
          <w:rtl/>
        </w:rPr>
        <w:t>הזיכיון</w:t>
      </w:r>
      <w:r w:rsidRPr="00D816B7">
        <w:rPr>
          <w:rtl/>
        </w:rPr>
        <w:t xml:space="preserve"> אינה מקובלת על משרד מבקר המדינה, שהרי </w:t>
      </w:r>
      <w:r w:rsidRPr="00D816B7">
        <w:rPr>
          <w:rFonts w:hint="cs"/>
          <w:rtl/>
        </w:rPr>
        <w:t>טענה</w:t>
      </w:r>
      <w:r w:rsidRPr="00D816B7">
        <w:rPr>
          <w:rtl/>
        </w:rPr>
        <w:t xml:space="preserve"> </w:t>
      </w:r>
      <w:r w:rsidRPr="00D816B7">
        <w:rPr>
          <w:rFonts w:hint="eastAsia"/>
          <w:rtl/>
        </w:rPr>
        <w:t>זו</w:t>
      </w:r>
      <w:r w:rsidRPr="00D816B7">
        <w:rPr>
          <w:rtl/>
        </w:rPr>
        <w:t xml:space="preserve"> </w:t>
      </w:r>
      <w:r w:rsidRPr="00D816B7">
        <w:rPr>
          <w:rFonts w:hint="eastAsia"/>
          <w:rtl/>
        </w:rPr>
        <w:t>מתעלמת</w:t>
      </w:r>
      <w:r w:rsidRPr="00D816B7">
        <w:rPr>
          <w:rtl/>
        </w:rPr>
        <w:t xml:space="preserve"> </w:t>
      </w:r>
      <w:r w:rsidRPr="00D816B7">
        <w:rPr>
          <w:rFonts w:hint="eastAsia"/>
          <w:rtl/>
        </w:rPr>
        <w:t>מכך</w:t>
      </w:r>
      <w:r w:rsidRPr="00D816B7">
        <w:rPr>
          <w:rtl/>
        </w:rPr>
        <w:t xml:space="preserve"> </w:t>
      </w:r>
      <w:r w:rsidRPr="00D816B7">
        <w:rPr>
          <w:rFonts w:hint="eastAsia"/>
          <w:rtl/>
        </w:rPr>
        <w:t>שחוק</w:t>
      </w:r>
      <w:r w:rsidRPr="00D816B7">
        <w:rPr>
          <w:rtl/>
        </w:rPr>
        <w:t xml:space="preserve"> הזיכיון </w:t>
      </w:r>
      <w:r w:rsidRPr="00D816B7">
        <w:rPr>
          <w:rFonts w:hint="eastAsia"/>
          <w:rtl/>
        </w:rPr>
        <w:t>מציין</w:t>
      </w:r>
      <w:r w:rsidRPr="00D816B7">
        <w:rPr>
          <w:rtl/>
        </w:rPr>
        <w:t xml:space="preserve"> כי זכותה של </w:t>
      </w:r>
      <w:r w:rsidRPr="00D816B7">
        <w:rPr>
          <w:rFonts w:hint="eastAsia"/>
          <w:rtl/>
        </w:rPr>
        <w:t>מי</w:t>
      </w:r>
      <w:r w:rsidRPr="00D816B7">
        <w:rPr>
          <w:rtl/>
        </w:rPr>
        <w:t>"ה</w:t>
      </w:r>
      <w:r w:rsidRPr="00D816B7">
        <w:rPr>
          <w:rtl/>
        </w:rPr>
        <w:t xml:space="preserve"> לבצע כרייה כפופה לאישור הרשות המוסמכת וכן מכך שחלוף השנים </w:t>
      </w:r>
      <w:r w:rsidRPr="00D816B7">
        <w:rPr>
          <w:rFonts w:hint="eastAsia"/>
          <w:rtl/>
        </w:rPr>
        <w:t>ממועד</w:t>
      </w:r>
      <w:r w:rsidRPr="00D816B7">
        <w:rPr>
          <w:rtl/>
        </w:rPr>
        <w:t xml:space="preserve"> חקיקת החוק (למעלה משישים שנה) </w:t>
      </w:r>
      <w:r w:rsidRPr="00D816B7">
        <w:rPr>
          <w:rFonts w:hint="eastAsia"/>
          <w:rtl/>
        </w:rPr>
        <w:t>והתמורות</w:t>
      </w:r>
      <w:r w:rsidRPr="00D816B7">
        <w:rPr>
          <w:rtl/>
        </w:rPr>
        <w:t xml:space="preserve"> </w:t>
      </w:r>
      <w:r w:rsidRPr="00D816B7">
        <w:rPr>
          <w:rFonts w:hint="eastAsia"/>
          <w:rtl/>
        </w:rPr>
        <w:t>שחלו</w:t>
      </w:r>
      <w:r w:rsidRPr="00D816B7">
        <w:rPr>
          <w:rtl/>
        </w:rPr>
        <w:t xml:space="preserve"> </w:t>
      </w:r>
      <w:r w:rsidRPr="00D816B7">
        <w:rPr>
          <w:rFonts w:hint="eastAsia"/>
          <w:rtl/>
        </w:rPr>
        <w:t>בהיקף</w:t>
      </w:r>
      <w:r w:rsidRPr="00D816B7">
        <w:rPr>
          <w:rtl/>
        </w:rPr>
        <w:t xml:space="preserve"> </w:t>
      </w:r>
      <w:r w:rsidRPr="00D816B7">
        <w:rPr>
          <w:rFonts w:hint="eastAsia"/>
          <w:rtl/>
        </w:rPr>
        <w:t>משאבי</w:t>
      </w:r>
      <w:r w:rsidRPr="00D816B7">
        <w:rPr>
          <w:rtl/>
        </w:rPr>
        <w:t xml:space="preserve"> </w:t>
      </w:r>
      <w:r w:rsidRPr="00D816B7">
        <w:rPr>
          <w:rFonts w:hint="eastAsia"/>
          <w:rtl/>
        </w:rPr>
        <w:t>הכרייה</w:t>
      </w:r>
      <w:r w:rsidRPr="00D816B7">
        <w:rPr>
          <w:rtl/>
        </w:rPr>
        <w:t xml:space="preserve"> </w:t>
      </w:r>
      <w:r w:rsidRPr="00D816B7">
        <w:rPr>
          <w:rFonts w:hint="eastAsia"/>
          <w:rtl/>
        </w:rPr>
        <w:t>ב</w:t>
      </w:r>
      <w:r w:rsidRPr="00D816B7">
        <w:rPr>
          <w:rFonts w:hint="cs"/>
          <w:rtl/>
        </w:rPr>
        <w:t>רחבי ה</w:t>
      </w:r>
      <w:r w:rsidRPr="00D816B7">
        <w:rPr>
          <w:rFonts w:hint="eastAsia"/>
          <w:rtl/>
        </w:rPr>
        <w:t>ארץ</w:t>
      </w:r>
      <w:r w:rsidRPr="00D816B7">
        <w:rPr>
          <w:rtl/>
        </w:rPr>
        <w:t xml:space="preserve"> </w:t>
      </w:r>
      <w:r w:rsidRPr="00D816B7">
        <w:rPr>
          <w:rFonts w:hint="eastAsia"/>
          <w:rtl/>
        </w:rPr>
        <w:t>ובתחום</w:t>
      </w:r>
      <w:r w:rsidRPr="00D816B7">
        <w:rPr>
          <w:rtl/>
        </w:rPr>
        <w:t xml:space="preserve"> </w:t>
      </w:r>
      <w:r w:rsidRPr="00D816B7">
        <w:rPr>
          <w:rFonts w:hint="eastAsia"/>
          <w:rtl/>
        </w:rPr>
        <w:t>הזיכיון</w:t>
      </w:r>
      <w:r w:rsidRPr="00D816B7">
        <w:rPr>
          <w:rtl/>
        </w:rPr>
        <w:t xml:space="preserve"> בפרט </w:t>
      </w:r>
      <w:r w:rsidRPr="00D816B7">
        <w:rPr>
          <w:rFonts w:hint="eastAsia"/>
          <w:rtl/>
        </w:rPr>
        <w:t>לכל</w:t>
      </w:r>
      <w:r w:rsidRPr="00D816B7">
        <w:rPr>
          <w:rtl/>
        </w:rPr>
        <w:t xml:space="preserve"> הפחות מצדיק פיקוח של משרד </w:t>
      </w:r>
      <w:r w:rsidRPr="00D816B7">
        <w:rPr>
          <w:rFonts w:hint="eastAsia"/>
          <w:rtl/>
        </w:rPr>
        <w:t>האנרגייה</w:t>
      </w:r>
      <w:r w:rsidRPr="00D816B7">
        <w:rPr>
          <w:rtl/>
        </w:rPr>
        <w:t xml:space="preserve">, כרשות המוסמכת, </w:t>
      </w:r>
      <w:r w:rsidRPr="00D816B7">
        <w:rPr>
          <w:rFonts w:hint="cs"/>
          <w:rtl/>
        </w:rPr>
        <w:t>שבמסגרתו הוא יאסוף מידע רלוונטי כמו תאי השטח שבהם התבצעה הכרייה, הכמות והסוג של החומרים שהופקו בתחום הזיכיון ומידת ניצולם, זאת כדי</w:t>
      </w:r>
      <w:r w:rsidRPr="00D816B7">
        <w:rPr>
          <w:rtl/>
        </w:rPr>
        <w:t xml:space="preserve"> </w:t>
      </w:r>
      <w:r w:rsidRPr="00D816B7">
        <w:rPr>
          <w:rFonts w:hint="eastAsia"/>
          <w:rtl/>
        </w:rPr>
        <w:t>לוודא</w:t>
      </w:r>
      <w:r w:rsidRPr="00D816B7">
        <w:rPr>
          <w:rtl/>
        </w:rPr>
        <w:t xml:space="preserve"> </w:t>
      </w:r>
      <w:r w:rsidRPr="00D816B7">
        <w:rPr>
          <w:rFonts w:hint="eastAsia"/>
          <w:rtl/>
        </w:rPr>
        <w:t>כי</w:t>
      </w:r>
      <w:r w:rsidRPr="00D816B7">
        <w:rPr>
          <w:rFonts w:hint="cs"/>
          <w:rtl/>
        </w:rPr>
        <w:t xml:space="preserve"> משאבי הטבע מנוצלים באופן יעיל ומבוקר. </w:t>
      </w:r>
    </w:p>
    <w:p w:rsidR="006734B0" w:rsidRPr="00D816B7" w:rsidP="00D816B7" w14:paraId="45F802BE" w14:textId="77777777">
      <w:pPr>
        <w:pStyle w:val="7318"/>
        <w:rPr>
          <w:rtl/>
        </w:rPr>
      </w:pPr>
      <w:r w:rsidRPr="00D816B7">
        <w:rPr>
          <w:rFonts w:hint="eastAsia"/>
          <w:rtl/>
        </w:rPr>
        <w:t>על</w:t>
      </w:r>
      <w:r w:rsidRPr="00D816B7">
        <w:rPr>
          <w:rtl/>
        </w:rPr>
        <w:t xml:space="preserve"> משרד </w:t>
      </w:r>
      <w:r w:rsidRPr="00D816B7">
        <w:rPr>
          <w:rFonts w:hint="eastAsia"/>
          <w:rtl/>
        </w:rPr>
        <w:t>האנרגייה</w:t>
      </w:r>
      <w:r w:rsidRPr="00D816B7">
        <w:rPr>
          <w:rtl/>
        </w:rPr>
        <w:t xml:space="preserve"> להקפיד לבצע פיקוח על פעולות ה</w:t>
      </w:r>
      <w:r w:rsidRPr="00D816B7">
        <w:rPr>
          <w:rFonts w:hint="cs"/>
          <w:rtl/>
        </w:rPr>
        <w:t>כרייה</w:t>
      </w:r>
      <w:r w:rsidRPr="00D816B7">
        <w:rPr>
          <w:rtl/>
        </w:rPr>
        <w:t xml:space="preserve"> המתקיימות בתחום הזיכיון, </w:t>
      </w:r>
      <w:r w:rsidRPr="00D816B7">
        <w:rPr>
          <w:rFonts w:hint="eastAsia"/>
          <w:rtl/>
        </w:rPr>
        <w:t>כפי</w:t>
      </w:r>
      <w:r w:rsidRPr="00D816B7">
        <w:rPr>
          <w:rtl/>
        </w:rPr>
        <w:t xml:space="preserve"> </w:t>
      </w:r>
      <w:r w:rsidRPr="00D816B7">
        <w:rPr>
          <w:rFonts w:hint="eastAsia"/>
          <w:rtl/>
        </w:rPr>
        <w:t>שהוא</w:t>
      </w:r>
      <w:r w:rsidRPr="00D816B7">
        <w:rPr>
          <w:rtl/>
        </w:rPr>
        <w:t xml:space="preserve"> </w:t>
      </w:r>
      <w:r w:rsidRPr="00D816B7">
        <w:rPr>
          <w:rFonts w:hint="eastAsia"/>
          <w:rtl/>
        </w:rPr>
        <w:t>מבצע</w:t>
      </w:r>
      <w:r w:rsidRPr="00D816B7">
        <w:rPr>
          <w:rtl/>
        </w:rPr>
        <w:t xml:space="preserve"> </w:t>
      </w:r>
      <w:r w:rsidRPr="00D816B7">
        <w:rPr>
          <w:rFonts w:hint="eastAsia"/>
          <w:rtl/>
        </w:rPr>
        <w:t>לגבי</w:t>
      </w:r>
      <w:r w:rsidRPr="00D816B7">
        <w:rPr>
          <w:rtl/>
        </w:rPr>
        <w:t xml:space="preserve"> </w:t>
      </w:r>
      <w:r w:rsidRPr="00D816B7">
        <w:rPr>
          <w:rFonts w:hint="eastAsia"/>
          <w:rtl/>
        </w:rPr>
        <w:t>שאר</w:t>
      </w:r>
      <w:r w:rsidRPr="00D816B7">
        <w:rPr>
          <w:rtl/>
        </w:rPr>
        <w:t xml:space="preserve"> </w:t>
      </w:r>
      <w:r w:rsidRPr="00D816B7">
        <w:rPr>
          <w:rFonts w:hint="eastAsia"/>
          <w:rtl/>
        </w:rPr>
        <w:t>אתרי</w:t>
      </w:r>
      <w:r w:rsidRPr="00D816B7">
        <w:rPr>
          <w:rtl/>
        </w:rPr>
        <w:t xml:space="preserve"> </w:t>
      </w:r>
      <w:r w:rsidRPr="00D816B7">
        <w:rPr>
          <w:rFonts w:hint="eastAsia"/>
          <w:rtl/>
        </w:rPr>
        <w:t>הכרייה</w:t>
      </w:r>
      <w:r w:rsidRPr="00D816B7">
        <w:rPr>
          <w:rtl/>
        </w:rPr>
        <w:t xml:space="preserve"> </w:t>
      </w:r>
      <w:r w:rsidRPr="00D816B7">
        <w:rPr>
          <w:rFonts w:hint="eastAsia"/>
          <w:rtl/>
        </w:rPr>
        <w:t>בארץ</w:t>
      </w:r>
      <w:r w:rsidRPr="00D816B7">
        <w:rPr>
          <w:rtl/>
        </w:rPr>
        <w:t xml:space="preserve">, </w:t>
      </w:r>
      <w:r w:rsidRPr="00D816B7">
        <w:rPr>
          <w:rFonts w:hint="eastAsia"/>
          <w:rtl/>
        </w:rPr>
        <w:t>ובכלל</w:t>
      </w:r>
      <w:r w:rsidRPr="00D816B7">
        <w:rPr>
          <w:rtl/>
        </w:rPr>
        <w:t xml:space="preserve"> </w:t>
      </w:r>
      <w:r w:rsidRPr="00D816B7">
        <w:rPr>
          <w:rFonts w:hint="eastAsia"/>
          <w:rtl/>
        </w:rPr>
        <w:t>זאת</w:t>
      </w:r>
      <w:r w:rsidRPr="00D816B7">
        <w:rPr>
          <w:rtl/>
        </w:rPr>
        <w:t xml:space="preserve"> </w:t>
      </w:r>
      <w:r w:rsidRPr="00D816B7">
        <w:rPr>
          <w:rFonts w:hint="eastAsia"/>
          <w:rtl/>
        </w:rPr>
        <w:t>לדרוש</w:t>
      </w:r>
      <w:r w:rsidRPr="00D816B7">
        <w:rPr>
          <w:rtl/>
        </w:rPr>
        <w:t xml:space="preserve"> </w:t>
      </w:r>
      <w:r w:rsidRPr="00D816B7">
        <w:rPr>
          <w:rFonts w:hint="eastAsia"/>
          <w:rtl/>
        </w:rPr>
        <w:t>קבלת</w:t>
      </w:r>
      <w:r w:rsidRPr="00D816B7">
        <w:rPr>
          <w:rtl/>
        </w:rPr>
        <w:t xml:space="preserve"> </w:t>
      </w:r>
      <w:r w:rsidRPr="00D816B7">
        <w:rPr>
          <w:rFonts w:hint="eastAsia"/>
          <w:rtl/>
        </w:rPr>
        <w:t>דיווחים</w:t>
      </w:r>
      <w:r w:rsidRPr="00D816B7">
        <w:rPr>
          <w:rtl/>
        </w:rPr>
        <w:t xml:space="preserve"> </w:t>
      </w:r>
      <w:r w:rsidRPr="00D816B7">
        <w:rPr>
          <w:rFonts w:hint="eastAsia"/>
          <w:rtl/>
        </w:rPr>
        <w:t>על</w:t>
      </w:r>
      <w:r w:rsidRPr="00D816B7">
        <w:rPr>
          <w:rtl/>
        </w:rPr>
        <w:t xml:space="preserve"> </w:t>
      </w:r>
      <w:r w:rsidRPr="00D816B7">
        <w:rPr>
          <w:rFonts w:hint="eastAsia"/>
          <w:rtl/>
        </w:rPr>
        <w:t>כמויות</w:t>
      </w:r>
      <w:r w:rsidRPr="00D816B7">
        <w:rPr>
          <w:rtl/>
        </w:rPr>
        <w:t xml:space="preserve"> </w:t>
      </w:r>
      <w:r w:rsidRPr="00D816B7">
        <w:rPr>
          <w:rFonts w:hint="eastAsia"/>
          <w:rtl/>
        </w:rPr>
        <w:t>חומרי</w:t>
      </w:r>
      <w:r w:rsidRPr="00D816B7">
        <w:rPr>
          <w:rtl/>
        </w:rPr>
        <w:t xml:space="preserve"> </w:t>
      </w:r>
      <w:r w:rsidRPr="00D816B7">
        <w:rPr>
          <w:rFonts w:hint="eastAsia"/>
          <w:rtl/>
        </w:rPr>
        <w:t>ה</w:t>
      </w:r>
      <w:r w:rsidRPr="00D816B7">
        <w:rPr>
          <w:rFonts w:hint="cs"/>
          <w:rtl/>
        </w:rPr>
        <w:t>כרייה</w:t>
      </w:r>
      <w:r w:rsidRPr="00D816B7">
        <w:rPr>
          <w:rtl/>
        </w:rPr>
        <w:t xml:space="preserve"> המופקים בתחום הזיכיון ונתונים לגבי הליך הפקת החומר ומידת הניצול שלו ולקיים סיורי פיקוח בשטח. </w:t>
      </w:r>
    </w:p>
    <w:p w:rsidR="006734B0" w:rsidRPr="008D2DC1" w:rsidP="008D2DC1" w14:paraId="251FAE79" w14:textId="77777777">
      <w:pPr>
        <w:pStyle w:val="733155"/>
        <w:rPr>
          <w:rtl/>
        </w:rPr>
      </w:pPr>
      <w:r w:rsidRPr="008D2DC1">
        <w:rPr>
          <w:rFonts w:hint="cs"/>
          <w:rtl/>
        </w:rPr>
        <w:t>אי-</w:t>
      </w:r>
      <w:r w:rsidRPr="008D2DC1">
        <w:rPr>
          <w:rFonts w:hint="cs"/>
          <w:rtl/>
        </w:rPr>
        <w:t>אסדרת</w:t>
      </w:r>
      <w:r w:rsidRPr="008D2DC1">
        <w:rPr>
          <w:rFonts w:hint="cs"/>
          <w:rtl/>
        </w:rPr>
        <w:t xml:space="preserve"> פעילות הכרייה של </w:t>
      </w:r>
      <w:r w:rsidRPr="008D2DC1">
        <w:rPr>
          <w:rFonts w:hint="cs"/>
          <w:rtl/>
        </w:rPr>
        <w:t>מי"ה</w:t>
      </w:r>
      <w:r w:rsidRPr="008D2DC1">
        <w:rPr>
          <w:rFonts w:hint="cs"/>
          <w:rtl/>
        </w:rPr>
        <w:t xml:space="preserve"> ברישיון חציבה</w:t>
      </w:r>
    </w:p>
    <w:p w:rsidR="006734B0" w:rsidP="00D816B7" w14:paraId="4B751E77" w14:textId="77777777">
      <w:pPr>
        <w:pStyle w:val="7392"/>
        <w:rPr>
          <w:b/>
          <w:bCs/>
          <w:rtl/>
        </w:rPr>
      </w:pPr>
      <w:r>
        <w:rPr>
          <w:rFonts w:hint="cs"/>
          <w:rtl/>
        </w:rPr>
        <w:t xml:space="preserve">אחת לשנה משרד </w:t>
      </w:r>
      <w:r>
        <w:rPr>
          <w:rFonts w:hint="cs"/>
          <w:rtl/>
        </w:rPr>
        <w:t>האנרגייה</w:t>
      </w:r>
      <w:r>
        <w:rPr>
          <w:rFonts w:hint="cs"/>
          <w:rtl/>
        </w:rPr>
        <w:t xml:space="preserve"> נותן לכל מחצבה רישיון חציבה. ברישיון נקבעים סוג החומר שייחצב והשטח המותר לחציבה, בהתאם </w:t>
      </w:r>
      <w:r>
        <w:rPr>
          <w:rFonts w:hint="cs"/>
          <w:rtl/>
        </w:rPr>
        <w:t>לתשריט</w:t>
      </w:r>
      <w:r>
        <w:rPr>
          <w:rFonts w:hint="cs"/>
          <w:rtl/>
        </w:rPr>
        <w:t xml:space="preserve">. לצורך חידוש הרישיון בין היתר על מפעיל המחצבה לעמוד בהוראות תוכנית מפורטת לכרייה ולשלם לקרן לשיקום מחצבות אשר הוקמה </w:t>
      </w:r>
      <w:r>
        <w:rPr>
          <w:rFonts w:hint="cs"/>
          <w:rtl/>
        </w:rPr>
        <w:t>מכוח פקודת המכרות</w:t>
      </w:r>
      <w:r>
        <w:rPr>
          <w:sz w:val="24"/>
          <w:vertAlign w:val="superscript"/>
          <w:rtl/>
        </w:rPr>
        <w:footnoteReference w:id="39"/>
      </w:r>
      <w:r>
        <w:rPr>
          <w:rFonts w:hint="cs"/>
          <w:rtl/>
        </w:rPr>
        <w:t xml:space="preserve">. מטרת התשלום לקרן היא להבטיח את שיקומן של כלל המחצבות הנטושות בישראל (לרבות מחצבות ששיקומן עתידי). לצד התשלום לקרן לשיקום מחצבות, בעל מחצבה הנמצאת על אדמה בניהול </w:t>
      </w:r>
      <w:r>
        <w:rPr>
          <w:rFonts w:hint="cs"/>
          <w:rtl/>
        </w:rPr>
        <w:t>רמ"י</w:t>
      </w:r>
      <w:r>
        <w:rPr>
          <w:rFonts w:hint="cs"/>
          <w:rtl/>
        </w:rPr>
        <w:t xml:space="preserve"> נדרש לשלם תגמולים </w:t>
      </w:r>
      <w:r>
        <w:rPr>
          <w:rFonts w:hint="cs"/>
          <w:rtl/>
        </w:rPr>
        <w:t>לרמ"י</w:t>
      </w:r>
      <w:r>
        <w:rPr>
          <w:rFonts w:hint="cs"/>
          <w:rtl/>
        </w:rPr>
        <w:t xml:space="preserve"> בגין השימוש שהוא עושה במשאבי הכרייה שהם אוצרות טבע ומשאב ציבורי</w:t>
      </w:r>
      <w:r>
        <w:rPr>
          <w:rStyle w:val="FootnoteReference1"/>
        </w:rPr>
        <w:footnoteReference w:id="40"/>
      </w:r>
      <w:r>
        <w:rPr>
          <w:rFonts w:hint="cs"/>
          <w:rtl/>
        </w:rPr>
        <w:t>.</w:t>
      </w:r>
    </w:p>
    <w:p w:rsidR="006734B0" w:rsidRPr="00D816B7" w:rsidP="00D816B7" w14:paraId="671E9225" w14:textId="77777777">
      <w:pPr>
        <w:pStyle w:val="735"/>
        <w:numPr>
          <w:ilvl w:val="0"/>
          <w:numId w:val="33"/>
        </w:numPr>
        <w:rPr>
          <w:rtl/>
        </w:rPr>
      </w:pPr>
      <w:r w:rsidRPr="00D816B7">
        <w:rPr>
          <w:rFonts w:hint="cs"/>
          <w:rtl/>
        </w:rPr>
        <w:t xml:space="preserve">הועלה כי ביוני 2018 פנתה </w:t>
      </w:r>
      <w:r w:rsidRPr="00D816B7">
        <w:rPr>
          <w:rFonts w:hint="cs"/>
          <w:rtl/>
        </w:rPr>
        <w:t>מי"ה</w:t>
      </w:r>
      <w:r w:rsidRPr="00D816B7">
        <w:rPr>
          <w:rFonts w:hint="cs"/>
          <w:rtl/>
        </w:rPr>
        <w:t xml:space="preserve"> למשרד </w:t>
      </w:r>
      <w:r w:rsidRPr="00D816B7">
        <w:rPr>
          <w:rFonts w:hint="cs"/>
          <w:rtl/>
        </w:rPr>
        <w:t>האנרגייה</w:t>
      </w:r>
      <w:r w:rsidRPr="00D816B7">
        <w:rPr>
          <w:rFonts w:hint="cs"/>
          <w:rtl/>
        </w:rPr>
        <w:t xml:space="preserve"> בבקשה לקבל רישיון חציבה לפי פקודת המכרות, וכי </w:t>
      </w:r>
      <w:r w:rsidRPr="00D816B7">
        <w:rPr>
          <w:rFonts w:hint="cs"/>
          <w:b/>
          <w:bCs/>
          <w:rtl/>
        </w:rPr>
        <w:t xml:space="preserve">בנובמבר 2018 השיב לה משרד </w:t>
      </w:r>
      <w:r w:rsidRPr="00D816B7">
        <w:rPr>
          <w:rFonts w:hint="cs"/>
          <w:b/>
          <w:bCs/>
          <w:rtl/>
        </w:rPr>
        <w:t>האנרגייה</w:t>
      </w:r>
      <w:r w:rsidRPr="00D816B7">
        <w:rPr>
          <w:rFonts w:hint="cs"/>
          <w:b/>
          <w:bCs/>
          <w:rtl/>
        </w:rPr>
        <w:t xml:space="preserve"> כי הוא סבור כי ראוי להסדיר את פעילות הכרייה שלה בשטח הזיכיון באמצעות מתן רישיון חציבה, </w:t>
      </w:r>
      <w:r w:rsidRPr="00D816B7">
        <w:rPr>
          <w:rFonts w:hint="cs"/>
          <w:rtl/>
        </w:rPr>
        <w:t xml:space="preserve">וכי "רישיון כאמור יינתן בשלמותו, בכפוף למילוי כל החובות והזכויות אשר מקנה רישיון החציבה, לרבות תשלום לקרן לשיקום מחצבות". עוד עלה כי </w:t>
      </w:r>
      <w:r w:rsidRPr="00D816B7">
        <w:rPr>
          <w:rFonts w:hint="cs"/>
          <w:rtl/>
        </w:rPr>
        <w:t>מי"ה</w:t>
      </w:r>
      <w:r w:rsidRPr="00D816B7">
        <w:rPr>
          <w:rFonts w:hint="cs"/>
          <w:rtl/>
        </w:rPr>
        <w:t xml:space="preserve"> ציינה בתגובה כי "אין </w:t>
      </w:r>
      <w:r w:rsidRPr="00D816B7">
        <w:rPr>
          <w:rFonts w:hint="cs"/>
          <w:rtl/>
        </w:rPr>
        <w:t>למי"ה</w:t>
      </w:r>
      <w:r w:rsidRPr="00D816B7">
        <w:rPr>
          <w:rFonts w:hint="cs"/>
          <w:rtl/>
        </w:rPr>
        <w:t xml:space="preserve"> התנגדות לכך שהקרן לשיקום מחצבות תקבל על עצמה את האחריות לשיקום שטחי הכרייה שלה כנגד תשלום לקרן לשיקום מחצבות לפי התעריפים החלים", אולם היא הציעה בתשובתה כי הקרן לשיקום מחצבות תבדוק תחילה את התחייבויות השיקום הקיימות בתוכניות המפורטות שלפיהן </w:t>
      </w:r>
      <w:r w:rsidRPr="00D816B7">
        <w:rPr>
          <w:rFonts w:hint="cs"/>
          <w:rtl/>
        </w:rPr>
        <w:t>מי"ה</w:t>
      </w:r>
      <w:r w:rsidRPr="00D816B7">
        <w:rPr>
          <w:rFonts w:hint="cs"/>
          <w:rtl/>
        </w:rPr>
        <w:t xml:space="preserve"> מבצעת את עבודות הכרייה, ותאשר שהיא מסוגלת לעמוד בהתחייבויות אלה. </w:t>
      </w:r>
    </w:p>
    <w:p w:rsidR="006734B0" w:rsidRPr="00D816B7" w:rsidP="00D816B7" w14:paraId="1AD98A42" w14:textId="77777777">
      <w:pPr>
        <w:pStyle w:val="7317"/>
        <w:rPr>
          <w:rtl/>
        </w:rPr>
      </w:pPr>
      <w:r w:rsidRPr="00D816B7">
        <w:rPr>
          <w:rFonts w:hint="cs"/>
          <w:rtl/>
        </w:rPr>
        <w:t xml:space="preserve">בינואר 2019, בעקבות פניית </w:t>
      </w:r>
      <w:r w:rsidRPr="00D816B7">
        <w:rPr>
          <w:rFonts w:hint="cs"/>
          <w:rtl/>
        </w:rPr>
        <w:t>מי"ה</w:t>
      </w:r>
      <w:r w:rsidRPr="00D816B7">
        <w:rPr>
          <w:rFonts w:hint="cs"/>
          <w:rtl/>
        </w:rPr>
        <w:t xml:space="preserve">, החל משרד </w:t>
      </w:r>
      <w:r w:rsidRPr="00D816B7">
        <w:rPr>
          <w:rFonts w:hint="cs"/>
          <w:rtl/>
        </w:rPr>
        <w:t>האנרגייה</w:t>
      </w:r>
      <w:r w:rsidRPr="00D816B7">
        <w:rPr>
          <w:rFonts w:hint="cs"/>
          <w:rtl/>
        </w:rPr>
        <w:t xml:space="preserve"> לברר את הנושא, ובתגובה לפנייתו אליה השיבה היועצת המשפטית של הקרן לשיקום מחצבות למשרד </w:t>
      </w:r>
      <w:r w:rsidRPr="00D816B7">
        <w:rPr>
          <w:rFonts w:hint="cs"/>
          <w:rtl/>
        </w:rPr>
        <w:t>האנרגייה</w:t>
      </w:r>
      <w:r w:rsidRPr="00D816B7">
        <w:rPr>
          <w:rFonts w:hint="cs"/>
          <w:rtl/>
        </w:rPr>
        <w:t xml:space="preserve"> כי לפי התרשמותה הראשונה, ובלי שראתה את הפנייה של </w:t>
      </w:r>
      <w:r w:rsidRPr="00D816B7">
        <w:rPr>
          <w:rFonts w:hint="cs"/>
          <w:rtl/>
        </w:rPr>
        <w:t>מי"ה</w:t>
      </w:r>
      <w:r w:rsidRPr="00D816B7">
        <w:rPr>
          <w:rFonts w:hint="cs"/>
          <w:rtl/>
        </w:rPr>
        <w:t xml:space="preserve"> למשרד </w:t>
      </w:r>
      <w:r w:rsidRPr="00D816B7">
        <w:rPr>
          <w:rFonts w:hint="cs"/>
          <w:rtl/>
        </w:rPr>
        <w:t>האנרגייה</w:t>
      </w:r>
      <w:r w:rsidRPr="00D816B7">
        <w:rPr>
          <w:rFonts w:hint="cs"/>
          <w:rtl/>
        </w:rPr>
        <w:t xml:space="preserve"> ואת תשובותיו של משרד </w:t>
      </w:r>
      <w:r w:rsidRPr="00D816B7">
        <w:rPr>
          <w:rFonts w:hint="cs"/>
          <w:rtl/>
        </w:rPr>
        <w:t>האנרגייה</w:t>
      </w:r>
      <w:r w:rsidRPr="00D816B7">
        <w:rPr>
          <w:rFonts w:hint="cs"/>
          <w:rtl/>
        </w:rPr>
        <w:t xml:space="preserve">, ועוד בטרם הציגה את הפנייה להנהלת הקרן, לדעתה אין להטיל על הקרן את האחריות לשיקום אתרי החציבה, שכן אחריות זו מוטלת על בעל הזיכיון. </w:t>
      </w:r>
    </w:p>
    <w:p w:rsidR="006734B0" w:rsidRPr="00D816B7" w:rsidP="00D816B7" w14:paraId="2699C046" w14:textId="77777777">
      <w:pPr>
        <w:pStyle w:val="7317"/>
        <w:rPr>
          <w:rtl/>
        </w:rPr>
      </w:pPr>
      <w:r w:rsidRPr="00D816B7">
        <w:rPr>
          <w:rFonts w:hint="cs"/>
          <w:rtl/>
        </w:rPr>
        <w:t xml:space="preserve">נמצא כי משרד </w:t>
      </w:r>
      <w:r w:rsidRPr="00D816B7">
        <w:rPr>
          <w:rFonts w:hint="cs"/>
          <w:rtl/>
        </w:rPr>
        <w:t>האנרגייה</w:t>
      </w:r>
      <w:r w:rsidRPr="00D816B7">
        <w:rPr>
          <w:rFonts w:hint="cs"/>
          <w:rtl/>
        </w:rPr>
        <w:t xml:space="preserve"> החל לקיים התייעצות פנימית לגבי פתרונות אפשריים, אך לא גיבש עמדה בנושא ולא המשיך בבחינה, וכי הוא לא מיצה את הבירור מול הקרן לשיקום מחצבות שכן פנייה בעניין לא הגיעה להנהלת הקרן, כך שבסופו של דבר </w:t>
      </w:r>
      <w:r w:rsidRPr="00D816B7">
        <w:rPr>
          <w:rFonts w:hint="cs"/>
          <w:rtl/>
        </w:rPr>
        <w:t>מי"ה</w:t>
      </w:r>
      <w:r w:rsidRPr="00D816B7">
        <w:rPr>
          <w:rFonts w:hint="cs"/>
          <w:rtl/>
        </w:rPr>
        <w:t xml:space="preserve"> לא קיבלה רישיון חציבה לפי הפקודה ולא נדרשה לשלם לקרן. </w:t>
      </w:r>
    </w:p>
    <w:p w:rsidR="006734B0" w:rsidRPr="00D816B7" w:rsidP="00D816B7" w14:paraId="7371FD0A" w14:textId="6CCE4A13">
      <w:pPr>
        <w:pStyle w:val="735"/>
        <w:numPr>
          <w:ilvl w:val="0"/>
          <w:numId w:val="33"/>
        </w:numPr>
        <w:rPr>
          <w:rtl/>
        </w:rPr>
      </w:pPr>
      <w:r w:rsidRPr="00D816B7">
        <w:rPr>
          <w:rFonts w:hint="cs"/>
          <w:rtl/>
        </w:rPr>
        <w:t xml:space="preserve">בשנת 2023 שאלת הצורך ברישיון חציבה </w:t>
      </w:r>
      <w:r w:rsidRPr="00D816B7">
        <w:rPr>
          <w:rFonts w:hint="cs"/>
          <w:rtl/>
        </w:rPr>
        <w:t>למי"ה</w:t>
      </w:r>
      <w:r w:rsidRPr="00D816B7">
        <w:rPr>
          <w:rFonts w:hint="cs"/>
          <w:rtl/>
        </w:rPr>
        <w:t xml:space="preserve"> עלתה לדיון מחדש במשרד </w:t>
      </w:r>
      <w:r w:rsidRPr="00D816B7">
        <w:rPr>
          <w:rFonts w:hint="cs"/>
          <w:rtl/>
        </w:rPr>
        <w:t>האנרגייה</w:t>
      </w:r>
      <w:r w:rsidRPr="00D816B7">
        <w:rPr>
          <w:rFonts w:hint="cs"/>
          <w:rtl/>
        </w:rPr>
        <w:t>. בחוות דעת של הלשכה המשפטית של המשרד ממרץ 2023 נקבע כי "ככל הנראה לא נדרש רישיון לפי הפקודה", זאת מאחר שנראה כי מתקיימים שלושת התנאים לפטור מרישיון הקבועים בסעיף 109 לפקודת המכרות: (א) המחצבה היא באדמתו של אותו אדם; (ב) החומרים כלולים ברשימה סגורה המנויה בסעיף;</w:t>
      </w:r>
      <w:r w:rsidR="009A33AB">
        <w:rPr>
          <w:rFonts w:hint="cs"/>
          <w:rtl/>
        </w:rPr>
        <w:t xml:space="preserve"> </w:t>
      </w:r>
      <w:r w:rsidRPr="00D816B7">
        <w:rPr>
          <w:rFonts w:hint="cs"/>
          <w:rtl/>
        </w:rPr>
        <w:t xml:space="preserve">(ג) תוצרי החציבה אינם נמכרים והם מיועדים לשימוש עצמי. </w:t>
      </w:r>
    </w:p>
    <w:p w:rsidR="006734B0" w:rsidRPr="000658BF" w:rsidP="00D816B7" w14:paraId="77057100" w14:textId="77777777">
      <w:pPr>
        <w:pStyle w:val="7317"/>
        <w:rPr>
          <w:sz w:val="28"/>
          <w:rtl/>
        </w:rPr>
      </w:pPr>
      <w:r w:rsidRPr="000658BF">
        <w:rPr>
          <w:rFonts w:hint="cs"/>
          <w:sz w:val="28"/>
          <w:rtl/>
        </w:rPr>
        <w:t>הקביעה בחוו</w:t>
      </w:r>
      <w:r>
        <w:rPr>
          <w:rFonts w:hint="cs"/>
          <w:sz w:val="28"/>
          <w:rtl/>
        </w:rPr>
        <w:t xml:space="preserve">ת הדעת </w:t>
      </w:r>
      <w:r w:rsidRPr="000658BF">
        <w:rPr>
          <w:rFonts w:hint="cs"/>
          <w:sz w:val="28"/>
          <w:rtl/>
        </w:rPr>
        <w:t xml:space="preserve">האמורה משנת 2023 </w:t>
      </w:r>
      <w:r>
        <w:rPr>
          <w:rFonts w:hint="cs"/>
          <w:sz w:val="28"/>
          <w:rtl/>
        </w:rPr>
        <w:t>ו</w:t>
      </w:r>
      <w:r w:rsidRPr="000658BF">
        <w:rPr>
          <w:rFonts w:hint="cs"/>
          <w:sz w:val="28"/>
          <w:rtl/>
        </w:rPr>
        <w:t xml:space="preserve">לפיה </w:t>
      </w:r>
      <w:r w:rsidRPr="000658BF">
        <w:rPr>
          <w:rFonts w:hint="cs"/>
          <w:sz w:val="28"/>
          <w:rtl/>
        </w:rPr>
        <w:t>מי"ה</w:t>
      </w:r>
      <w:r w:rsidRPr="000658BF">
        <w:rPr>
          <w:rFonts w:hint="cs"/>
          <w:sz w:val="28"/>
          <w:rtl/>
        </w:rPr>
        <w:t xml:space="preserve"> עומדת בתנאי הראשון התבססה על הנחה ולפיה אתרי הכרייה של </w:t>
      </w:r>
      <w:r w:rsidRPr="000658BF">
        <w:rPr>
          <w:rFonts w:hint="cs"/>
          <w:sz w:val="28"/>
          <w:rtl/>
        </w:rPr>
        <w:t>מי"ה</w:t>
      </w:r>
      <w:r w:rsidRPr="000658BF">
        <w:rPr>
          <w:rFonts w:hint="cs"/>
          <w:sz w:val="28"/>
          <w:rtl/>
        </w:rPr>
        <w:t xml:space="preserve"> </w:t>
      </w:r>
      <w:r>
        <w:rPr>
          <w:rFonts w:hint="cs"/>
          <w:sz w:val="28"/>
          <w:rtl/>
        </w:rPr>
        <w:t xml:space="preserve">נמצאים </w:t>
      </w:r>
      <w:r w:rsidRPr="000658BF">
        <w:rPr>
          <w:rFonts w:hint="cs"/>
          <w:sz w:val="28"/>
          <w:rtl/>
        </w:rPr>
        <w:t xml:space="preserve">על קרקע שהמדינה החכירה לבעל הזיכיון, </w:t>
      </w:r>
      <w:r w:rsidRPr="00D816B7">
        <w:rPr>
          <w:rFonts w:hint="cs"/>
          <w:rtl/>
        </w:rPr>
        <w:t>בהתאם</w:t>
      </w:r>
      <w:r w:rsidRPr="000658BF">
        <w:rPr>
          <w:rFonts w:hint="cs"/>
          <w:sz w:val="28"/>
          <w:rtl/>
        </w:rPr>
        <w:t xml:space="preserve"> למפה שצורפה לשטר הזיכיון. ואולם בבדיקת משרד מבקר המדינה נמצא כי חלק מאתרי הכרייה של </w:t>
      </w:r>
      <w:r w:rsidRPr="000658BF">
        <w:rPr>
          <w:rFonts w:hint="cs"/>
          <w:sz w:val="28"/>
          <w:rtl/>
        </w:rPr>
        <w:t>מי"ה</w:t>
      </w:r>
      <w:r w:rsidRPr="000658BF">
        <w:rPr>
          <w:rFonts w:hint="cs"/>
          <w:sz w:val="28"/>
          <w:rtl/>
        </w:rPr>
        <w:t xml:space="preserve"> אינם </w:t>
      </w:r>
      <w:r>
        <w:rPr>
          <w:rFonts w:hint="cs"/>
          <w:sz w:val="28"/>
          <w:rtl/>
        </w:rPr>
        <w:t>נמצאים</w:t>
      </w:r>
      <w:r w:rsidRPr="000658BF">
        <w:rPr>
          <w:rFonts w:hint="cs"/>
          <w:sz w:val="28"/>
          <w:rtl/>
        </w:rPr>
        <w:t xml:space="preserve"> בתחום הקרקעות החכורות, כי אם בתחום הקרקעות השמורות </w:t>
      </w:r>
      <w:r>
        <w:rPr>
          <w:rFonts w:hint="cs"/>
          <w:sz w:val="28"/>
          <w:rtl/>
        </w:rPr>
        <w:t>ש</w:t>
      </w:r>
      <w:r w:rsidRPr="000658BF">
        <w:rPr>
          <w:rFonts w:hint="cs"/>
          <w:sz w:val="28"/>
          <w:rtl/>
        </w:rPr>
        <w:t>מי"ה</w:t>
      </w:r>
      <w:r w:rsidRPr="000658BF">
        <w:rPr>
          <w:rFonts w:hint="cs"/>
          <w:sz w:val="28"/>
          <w:rtl/>
        </w:rPr>
        <w:t xml:space="preserve"> אינה נדרשת לשלם דמי חכירה</w:t>
      </w:r>
      <w:r>
        <w:rPr>
          <w:rFonts w:hint="cs"/>
          <w:sz w:val="28"/>
          <w:rtl/>
        </w:rPr>
        <w:t xml:space="preserve"> בגינן</w:t>
      </w:r>
      <w:r w:rsidRPr="000658BF">
        <w:rPr>
          <w:rFonts w:hint="cs"/>
          <w:sz w:val="28"/>
          <w:rtl/>
        </w:rPr>
        <w:t xml:space="preserve"> (רא</w:t>
      </w:r>
      <w:r>
        <w:rPr>
          <w:rFonts w:hint="cs"/>
          <w:sz w:val="28"/>
          <w:rtl/>
        </w:rPr>
        <w:t>ו</w:t>
      </w:r>
      <w:r w:rsidRPr="000658BF">
        <w:rPr>
          <w:rFonts w:hint="cs"/>
          <w:sz w:val="28"/>
          <w:rtl/>
        </w:rPr>
        <w:t xml:space="preserve"> נושא זה בהרחבה בפרק</w:t>
      </w:r>
      <w:r>
        <w:rPr>
          <w:rFonts w:cs="David" w:hint="cs"/>
          <w:sz w:val="28"/>
          <w:rtl/>
        </w:rPr>
        <w:t xml:space="preserve"> </w:t>
      </w:r>
      <w:r w:rsidRPr="000658BF">
        <w:rPr>
          <w:sz w:val="28"/>
          <w:rtl/>
        </w:rPr>
        <w:t xml:space="preserve">האסדרה והפיקוח של </w:t>
      </w:r>
      <w:r w:rsidRPr="000658BF">
        <w:rPr>
          <w:sz w:val="28"/>
          <w:rtl/>
        </w:rPr>
        <w:t>רמ"י</w:t>
      </w:r>
      <w:r w:rsidRPr="000658BF">
        <w:rPr>
          <w:sz w:val="28"/>
          <w:rtl/>
        </w:rPr>
        <w:t xml:space="preserve"> על השימושים </w:t>
      </w:r>
      <w:r w:rsidRPr="000658BF">
        <w:rPr>
          <w:sz w:val="28"/>
          <w:rtl/>
        </w:rPr>
        <w:t>שמי"ה</w:t>
      </w:r>
      <w:r w:rsidRPr="000658BF">
        <w:rPr>
          <w:sz w:val="28"/>
          <w:rtl/>
        </w:rPr>
        <w:t xml:space="preserve"> מבצעת ב</w:t>
      </w:r>
      <w:r w:rsidRPr="000658BF">
        <w:rPr>
          <w:rFonts w:hint="cs"/>
          <w:sz w:val="28"/>
          <w:rtl/>
        </w:rPr>
        <w:t>שטח</w:t>
      </w:r>
      <w:r w:rsidRPr="000658BF">
        <w:rPr>
          <w:sz w:val="28"/>
          <w:rtl/>
        </w:rPr>
        <w:t xml:space="preserve"> הזיכיון</w:t>
      </w:r>
      <w:r w:rsidRPr="000658BF">
        <w:rPr>
          <w:rFonts w:hint="cs"/>
          <w:sz w:val="28"/>
          <w:rtl/>
        </w:rPr>
        <w:t xml:space="preserve"> להלן). צוות הביקורת הפנה את תשומת </w:t>
      </w:r>
      <w:r>
        <w:rPr>
          <w:rFonts w:hint="cs"/>
          <w:sz w:val="28"/>
          <w:rtl/>
        </w:rPr>
        <w:t>ה</w:t>
      </w:r>
      <w:r w:rsidRPr="000658BF">
        <w:rPr>
          <w:rFonts w:hint="cs"/>
          <w:sz w:val="28"/>
          <w:rtl/>
        </w:rPr>
        <w:t xml:space="preserve">לב </w:t>
      </w:r>
      <w:r>
        <w:rPr>
          <w:rFonts w:hint="cs"/>
          <w:sz w:val="28"/>
          <w:rtl/>
        </w:rPr>
        <w:t xml:space="preserve">של </w:t>
      </w:r>
      <w:r w:rsidRPr="000658BF">
        <w:rPr>
          <w:rFonts w:hint="cs"/>
          <w:sz w:val="28"/>
          <w:rtl/>
        </w:rPr>
        <w:t xml:space="preserve">משרד </w:t>
      </w:r>
      <w:r w:rsidRPr="000658BF">
        <w:rPr>
          <w:rFonts w:hint="cs"/>
          <w:sz w:val="28"/>
          <w:rtl/>
        </w:rPr>
        <w:t>האנרגייה</w:t>
      </w:r>
      <w:r w:rsidRPr="000658BF">
        <w:rPr>
          <w:rFonts w:hint="cs"/>
          <w:sz w:val="28"/>
          <w:rtl/>
        </w:rPr>
        <w:t xml:space="preserve"> לעובדה זו, ו</w:t>
      </w:r>
      <w:r>
        <w:rPr>
          <w:rFonts w:hint="cs"/>
          <w:sz w:val="28"/>
          <w:rtl/>
        </w:rPr>
        <w:t>כן</w:t>
      </w:r>
      <w:r w:rsidRPr="000658BF">
        <w:rPr>
          <w:rFonts w:hint="cs"/>
          <w:sz w:val="28"/>
          <w:rtl/>
        </w:rPr>
        <w:t xml:space="preserve"> לכך שקיימים מקרים </w:t>
      </w:r>
      <w:r>
        <w:rPr>
          <w:rFonts w:hint="cs"/>
          <w:sz w:val="28"/>
          <w:rtl/>
        </w:rPr>
        <w:t>ש</w:t>
      </w:r>
      <w:r w:rsidRPr="000658BF">
        <w:rPr>
          <w:rFonts w:hint="cs"/>
          <w:sz w:val="28"/>
          <w:rtl/>
        </w:rPr>
        <w:t xml:space="preserve">בהם בעלי מחצבה השתמשו בתוצרי חציבה שכרו לצורכי המפעל שבבעלותם ועל אף זאת הם נדרשו להחזיק רישיון חציבה. עוד ביקש צוות הביקורת לדעת אם במסגרת בחינת המונח "שימוש עצמי" נלקחו בחשבון היקפי חומרי הכרייה </w:t>
      </w:r>
      <w:r w:rsidRPr="000658BF">
        <w:rPr>
          <w:rFonts w:hint="cs"/>
          <w:sz w:val="28"/>
          <w:rtl/>
        </w:rPr>
        <w:t>שמי"ה</w:t>
      </w:r>
      <w:r w:rsidRPr="000658BF">
        <w:rPr>
          <w:rFonts w:hint="cs"/>
          <w:sz w:val="28"/>
          <w:rtl/>
        </w:rPr>
        <w:t xml:space="preserve"> מפיקה. </w:t>
      </w:r>
    </w:p>
    <w:p w:rsidR="006734B0" w:rsidRPr="000833EF" w:rsidP="00D816B7" w14:paraId="26CCFD52" w14:textId="77777777">
      <w:pPr>
        <w:pStyle w:val="7317"/>
        <w:rPr>
          <w:rtl/>
        </w:rPr>
      </w:pPr>
      <w:r w:rsidRPr="000833EF">
        <w:rPr>
          <w:rFonts w:hint="eastAsia"/>
          <w:rtl/>
        </w:rPr>
        <w:t>בעקבות</w:t>
      </w:r>
      <w:r w:rsidRPr="000833EF">
        <w:rPr>
          <w:rtl/>
        </w:rPr>
        <w:t xml:space="preserve"> </w:t>
      </w:r>
      <w:r w:rsidRPr="000833EF">
        <w:rPr>
          <w:rFonts w:hint="eastAsia"/>
          <w:rtl/>
        </w:rPr>
        <w:t>הביקורת</w:t>
      </w:r>
      <w:r w:rsidRPr="000833EF">
        <w:rPr>
          <w:rtl/>
        </w:rPr>
        <w:t xml:space="preserve"> </w:t>
      </w:r>
      <w:r w:rsidRPr="000833EF">
        <w:rPr>
          <w:rFonts w:hint="eastAsia"/>
          <w:rtl/>
        </w:rPr>
        <w:t>הנוכחית</w:t>
      </w:r>
      <w:r w:rsidRPr="000833EF">
        <w:rPr>
          <w:rtl/>
        </w:rPr>
        <w:t xml:space="preserve"> </w:t>
      </w:r>
      <w:r w:rsidRPr="000833EF">
        <w:rPr>
          <w:rFonts w:hint="eastAsia"/>
          <w:rtl/>
        </w:rPr>
        <w:t>של</w:t>
      </w:r>
      <w:r w:rsidRPr="000833EF">
        <w:rPr>
          <w:rtl/>
        </w:rPr>
        <w:t xml:space="preserve"> </w:t>
      </w:r>
      <w:r w:rsidRPr="000833EF">
        <w:rPr>
          <w:rFonts w:hint="eastAsia"/>
          <w:rtl/>
        </w:rPr>
        <w:t>משרד</w:t>
      </w:r>
      <w:r w:rsidRPr="000833EF">
        <w:rPr>
          <w:rtl/>
        </w:rPr>
        <w:t xml:space="preserve"> </w:t>
      </w:r>
      <w:r w:rsidRPr="000833EF">
        <w:rPr>
          <w:rFonts w:hint="eastAsia"/>
          <w:rtl/>
        </w:rPr>
        <w:t>מבקר</w:t>
      </w:r>
      <w:r w:rsidRPr="000833EF">
        <w:rPr>
          <w:rtl/>
        </w:rPr>
        <w:t xml:space="preserve"> </w:t>
      </w:r>
      <w:r w:rsidRPr="000833EF">
        <w:rPr>
          <w:rFonts w:hint="eastAsia"/>
          <w:rtl/>
        </w:rPr>
        <w:t>המדינה</w:t>
      </w:r>
      <w:r w:rsidRPr="000833EF">
        <w:rPr>
          <w:rtl/>
        </w:rPr>
        <w:t xml:space="preserve"> </w:t>
      </w:r>
      <w:r w:rsidRPr="000833EF">
        <w:rPr>
          <w:rFonts w:hint="eastAsia"/>
          <w:rtl/>
        </w:rPr>
        <w:t>והשאלות</w:t>
      </w:r>
      <w:r>
        <w:rPr>
          <w:rFonts w:hint="cs"/>
          <w:rtl/>
        </w:rPr>
        <w:t xml:space="preserve"> האמורות</w:t>
      </w:r>
      <w:r w:rsidRPr="000833EF">
        <w:rPr>
          <w:rtl/>
        </w:rPr>
        <w:t xml:space="preserve"> </w:t>
      </w:r>
      <w:r w:rsidRPr="000833EF">
        <w:rPr>
          <w:rFonts w:hint="eastAsia"/>
          <w:rtl/>
        </w:rPr>
        <w:t>שעלו</w:t>
      </w:r>
      <w:r w:rsidRPr="000833EF">
        <w:rPr>
          <w:rtl/>
        </w:rPr>
        <w:t xml:space="preserve"> </w:t>
      </w:r>
      <w:r w:rsidRPr="000833EF">
        <w:rPr>
          <w:rFonts w:hint="eastAsia"/>
          <w:rtl/>
        </w:rPr>
        <w:t>במסגרתה</w:t>
      </w:r>
      <w:r w:rsidRPr="000833EF">
        <w:rPr>
          <w:rtl/>
        </w:rPr>
        <w:t xml:space="preserve">, </w:t>
      </w:r>
      <w:r w:rsidRPr="000833EF">
        <w:rPr>
          <w:rFonts w:hint="eastAsia"/>
          <w:rtl/>
        </w:rPr>
        <w:t>משרד</w:t>
      </w:r>
      <w:r w:rsidRPr="000833EF">
        <w:rPr>
          <w:rtl/>
        </w:rPr>
        <w:t xml:space="preserve"> </w:t>
      </w:r>
      <w:r w:rsidRPr="000833EF">
        <w:rPr>
          <w:rFonts w:hint="eastAsia"/>
          <w:rtl/>
        </w:rPr>
        <w:t>האנרגייה</w:t>
      </w:r>
      <w:r w:rsidRPr="000833EF">
        <w:rPr>
          <w:rtl/>
        </w:rPr>
        <w:t xml:space="preserve"> </w:t>
      </w:r>
      <w:r w:rsidRPr="000833EF">
        <w:rPr>
          <w:rFonts w:hint="eastAsia"/>
          <w:rtl/>
        </w:rPr>
        <w:t>החל</w:t>
      </w:r>
      <w:r w:rsidRPr="000833EF">
        <w:rPr>
          <w:rtl/>
        </w:rPr>
        <w:t xml:space="preserve"> </w:t>
      </w:r>
      <w:r w:rsidRPr="000833EF">
        <w:rPr>
          <w:rFonts w:hint="eastAsia"/>
          <w:rtl/>
        </w:rPr>
        <w:t>לבחון</w:t>
      </w:r>
      <w:r w:rsidRPr="000833EF">
        <w:rPr>
          <w:rtl/>
        </w:rPr>
        <w:t xml:space="preserve"> </w:t>
      </w:r>
      <w:r w:rsidRPr="000833EF">
        <w:rPr>
          <w:rFonts w:hint="eastAsia"/>
          <w:rtl/>
        </w:rPr>
        <w:t>שוב</w:t>
      </w:r>
      <w:r w:rsidRPr="000833EF">
        <w:rPr>
          <w:rtl/>
        </w:rPr>
        <w:t xml:space="preserve"> </w:t>
      </w:r>
      <w:r w:rsidRPr="000833EF">
        <w:rPr>
          <w:rFonts w:hint="eastAsia"/>
          <w:rtl/>
        </w:rPr>
        <w:t>את</w:t>
      </w:r>
      <w:r w:rsidRPr="000833EF">
        <w:rPr>
          <w:rtl/>
        </w:rPr>
        <w:t xml:space="preserve"> </w:t>
      </w:r>
      <w:r w:rsidRPr="000833EF">
        <w:rPr>
          <w:rFonts w:hint="eastAsia"/>
          <w:rtl/>
        </w:rPr>
        <w:t>עמדתו</w:t>
      </w:r>
      <w:r w:rsidRPr="004C5DAC">
        <w:rPr>
          <w:b/>
          <w:bCs/>
          <w:rtl/>
        </w:rPr>
        <w:t xml:space="preserve"> </w:t>
      </w:r>
      <w:r w:rsidRPr="000833EF">
        <w:rPr>
          <w:rFonts w:hint="eastAsia"/>
          <w:rtl/>
        </w:rPr>
        <w:t>בנושא</w:t>
      </w:r>
      <w:r w:rsidRPr="000833EF">
        <w:rPr>
          <w:rtl/>
        </w:rPr>
        <w:t xml:space="preserve">, </w:t>
      </w:r>
      <w:r w:rsidRPr="000833EF">
        <w:rPr>
          <w:rFonts w:hint="eastAsia"/>
          <w:rtl/>
        </w:rPr>
        <w:t>ובפגישה</w:t>
      </w:r>
      <w:r w:rsidRPr="000833EF">
        <w:rPr>
          <w:rtl/>
        </w:rPr>
        <w:t xml:space="preserve"> </w:t>
      </w:r>
      <w:r w:rsidRPr="000833EF">
        <w:rPr>
          <w:rFonts w:hint="eastAsia"/>
          <w:rtl/>
        </w:rPr>
        <w:t>שקיים</w:t>
      </w:r>
      <w:r w:rsidRPr="000833EF">
        <w:rPr>
          <w:rtl/>
        </w:rPr>
        <w:t xml:space="preserve"> </w:t>
      </w:r>
      <w:r w:rsidRPr="000833EF">
        <w:rPr>
          <w:rFonts w:hint="eastAsia"/>
          <w:rtl/>
        </w:rPr>
        <w:t>עם</w:t>
      </w:r>
      <w:r w:rsidRPr="000833EF">
        <w:rPr>
          <w:rtl/>
        </w:rPr>
        <w:t xml:space="preserve"> </w:t>
      </w:r>
      <w:r w:rsidRPr="000833EF">
        <w:rPr>
          <w:rFonts w:hint="eastAsia"/>
          <w:rtl/>
        </w:rPr>
        <w:t>צוות</w:t>
      </w:r>
      <w:r w:rsidRPr="000833EF">
        <w:rPr>
          <w:rtl/>
        </w:rPr>
        <w:t xml:space="preserve"> </w:t>
      </w:r>
      <w:r w:rsidRPr="000833EF">
        <w:rPr>
          <w:rFonts w:hint="eastAsia"/>
          <w:rtl/>
        </w:rPr>
        <w:t>הביקורת</w:t>
      </w:r>
      <w:r w:rsidRPr="000833EF">
        <w:rPr>
          <w:rtl/>
        </w:rPr>
        <w:t xml:space="preserve"> </w:t>
      </w:r>
      <w:r w:rsidRPr="000833EF">
        <w:rPr>
          <w:rFonts w:hint="eastAsia"/>
          <w:rtl/>
        </w:rPr>
        <w:t>באפריל</w:t>
      </w:r>
      <w:r w:rsidRPr="000833EF">
        <w:rPr>
          <w:rtl/>
        </w:rPr>
        <w:t xml:space="preserve"> 2024 </w:t>
      </w:r>
      <w:r w:rsidRPr="000833EF">
        <w:rPr>
          <w:rFonts w:hint="eastAsia"/>
          <w:rtl/>
        </w:rPr>
        <w:t>ציינו</w:t>
      </w:r>
      <w:r w:rsidRPr="000833EF">
        <w:rPr>
          <w:rtl/>
        </w:rPr>
        <w:t xml:space="preserve"> </w:t>
      </w:r>
      <w:r w:rsidRPr="000833EF">
        <w:rPr>
          <w:rFonts w:hint="eastAsia"/>
          <w:rtl/>
        </w:rPr>
        <w:t>נציגי</w:t>
      </w:r>
      <w:r w:rsidRPr="000833EF">
        <w:rPr>
          <w:rtl/>
        </w:rPr>
        <w:t xml:space="preserve"> </w:t>
      </w:r>
      <w:r w:rsidRPr="000833EF">
        <w:rPr>
          <w:rFonts w:hint="eastAsia"/>
          <w:rtl/>
        </w:rPr>
        <w:t>משרד</w:t>
      </w:r>
      <w:r w:rsidRPr="000833EF">
        <w:rPr>
          <w:rtl/>
        </w:rPr>
        <w:t xml:space="preserve"> </w:t>
      </w:r>
      <w:r>
        <w:rPr>
          <w:rFonts w:hint="cs"/>
          <w:rtl/>
        </w:rPr>
        <w:t>האנרגייה</w:t>
      </w:r>
      <w:r>
        <w:rPr>
          <w:rFonts w:hint="cs"/>
          <w:rtl/>
        </w:rPr>
        <w:t xml:space="preserve"> </w:t>
      </w:r>
      <w:r w:rsidRPr="000833EF">
        <w:rPr>
          <w:rFonts w:hint="eastAsia"/>
          <w:rtl/>
        </w:rPr>
        <w:t>כי</w:t>
      </w:r>
      <w:r w:rsidRPr="000833EF">
        <w:rPr>
          <w:rtl/>
        </w:rPr>
        <w:t xml:space="preserve"> </w:t>
      </w:r>
      <w:r w:rsidRPr="000833EF">
        <w:rPr>
          <w:rFonts w:hint="eastAsia"/>
          <w:rtl/>
        </w:rPr>
        <w:t>המשרד</w:t>
      </w:r>
      <w:r w:rsidRPr="000833EF">
        <w:rPr>
          <w:rtl/>
        </w:rPr>
        <w:t xml:space="preserve"> </w:t>
      </w:r>
      <w:r w:rsidRPr="000833EF">
        <w:rPr>
          <w:rFonts w:hint="eastAsia"/>
          <w:rtl/>
        </w:rPr>
        <w:t>שוקל</w:t>
      </w:r>
      <w:r w:rsidRPr="000833EF">
        <w:rPr>
          <w:rtl/>
        </w:rPr>
        <w:t xml:space="preserve"> </w:t>
      </w:r>
      <w:r w:rsidRPr="000833EF">
        <w:rPr>
          <w:rFonts w:hint="eastAsia"/>
          <w:rtl/>
        </w:rPr>
        <w:t>לדרוש</w:t>
      </w:r>
      <w:r w:rsidRPr="000833EF">
        <w:rPr>
          <w:rtl/>
        </w:rPr>
        <w:t xml:space="preserve"> </w:t>
      </w:r>
      <w:r w:rsidRPr="000833EF">
        <w:rPr>
          <w:rFonts w:hint="eastAsia"/>
          <w:rtl/>
        </w:rPr>
        <w:t>רישיון</w:t>
      </w:r>
      <w:r w:rsidRPr="000833EF">
        <w:rPr>
          <w:rtl/>
        </w:rPr>
        <w:t xml:space="preserve"> </w:t>
      </w:r>
      <w:r>
        <w:rPr>
          <w:rFonts w:hint="cs"/>
          <w:rtl/>
        </w:rPr>
        <w:t>חציבה</w:t>
      </w:r>
      <w:r w:rsidRPr="000833EF">
        <w:rPr>
          <w:rtl/>
        </w:rPr>
        <w:t xml:space="preserve"> </w:t>
      </w:r>
      <w:r w:rsidRPr="000833EF">
        <w:rPr>
          <w:rFonts w:hint="eastAsia"/>
          <w:rtl/>
        </w:rPr>
        <w:t>מ</w:t>
      </w:r>
      <w:r>
        <w:rPr>
          <w:rFonts w:hint="cs"/>
          <w:rtl/>
        </w:rPr>
        <w:t>מי"ה</w:t>
      </w:r>
      <w:r w:rsidRPr="000833EF">
        <w:rPr>
          <w:rtl/>
        </w:rPr>
        <w:t>.</w:t>
      </w:r>
    </w:p>
    <w:p w:rsidR="006734B0" w:rsidRPr="00D816B7" w:rsidP="00D816B7" w14:paraId="211EF10F" w14:textId="36340989">
      <w:pPr>
        <w:pStyle w:val="735"/>
        <w:numPr>
          <w:ilvl w:val="0"/>
          <w:numId w:val="33"/>
        </w:numPr>
      </w:pPr>
      <w:r w:rsidRPr="00D816B7">
        <w:rPr>
          <w:rFonts w:hint="cs"/>
          <w:rtl/>
        </w:rPr>
        <w:t xml:space="preserve">בתשובתו למשרד מבקר המדינה מספטמבר 2024 מסר </w:t>
      </w:r>
      <w:r w:rsidRPr="00D816B7">
        <w:rPr>
          <w:rFonts w:hint="eastAsia"/>
          <w:rtl/>
        </w:rPr>
        <w:t>משרד</w:t>
      </w:r>
      <w:r w:rsidRPr="00D816B7">
        <w:rPr>
          <w:rtl/>
        </w:rPr>
        <w:t xml:space="preserve"> </w:t>
      </w:r>
      <w:r w:rsidRPr="00D816B7">
        <w:rPr>
          <w:rtl/>
        </w:rPr>
        <w:t>האנרגייה</w:t>
      </w:r>
      <w:r w:rsidRPr="00D816B7">
        <w:rPr>
          <w:rtl/>
        </w:rPr>
        <w:t xml:space="preserve"> </w:t>
      </w:r>
      <w:r w:rsidRPr="00D816B7">
        <w:rPr>
          <w:rFonts w:hint="cs"/>
          <w:rtl/>
        </w:rPr>
        <w:t xml:space="preserve">כי עמדתו הנוכחית היא שהוא אינו תומך בתשלום של </w:t>
      </w:r>
      <w:r w:rsidRPr="00D816B7">
        <w:rPr>
          <w:rFonts w:hint="cs"/>
          <w:rtl/>
        </w:rPr>
        <w:t>מי"ה</w:t>
      </w:r>
      <w:r w:rsidRPr="00D816B7">
        <w:rPr>
          <w:rFonts w:hint="cs"/>
          <w:rtl/>
        </w:rPr>
        <w:t xml:space="preserve"> </w:t>
      </w:r>
      <w:r w:rsidRPr="00D816B7">
        <w:rPr>
          <w:rFonts w:hint="cs"/>
          <w:rtl/>
        </w:rPr>
        <w:t>לקש"ם</w:t>
      </w:r>
      <w:r w:rsidRPr="00D816B7">
        <w:rPr>
          <w:rFonts w:hint="cs"/>
          <w:rtl/>
        </w:rPr>
        <w:t xml:space="preserve"> ובכך שיוטלו על הקרן חובות השיקום החלות על </w:t>
      </w:r>
      <w:r w:rsidRPr="00D816B7">
        <w:rPr>
          <w:rFonts w:hint="cs"/>
          <w:rtl/>
        </w:rPr>
        <w:t>מי"ה</w:t>
      </w:r>
      <w:r w:rsidRPr="00D816B7">
        <w:rPr>
          <w:rFonts w:hint="cs"/>
          <w:rtl/>
        </w:rPr>
        <w:t xml:space="preserve">, בייחוד </w:t>
      </w:r>
      <w:r w:rsidRPr="00D816B7">
        <w:rPr>
          <w:rFonts w:hint="cs"/>
          <w:rtl/>
        </w:rPr>
        <w:t>כשמי"ה</w:t>
      </w:r>
      <w:r w:rsidRPr="00D816B7">
        <w:rPr>
          <w:rFonts w:hint="cs"/>
          <w:rtl/>
        </w:rPr>
        <w:t xml:space="preserve"> אינה מתכחשת להן; וכי מדובר בנושא מורכב שסביר כי יחייב תיקון חקיקה או מציאת פתרונות מוסכמים אחרים. כמו כן המשרד </w:t>
      </w:r>
      <w:r w:rsidRPr="00332288" w:rsidR="00332288">
        <w:rPr>
          <w:rtl/>
        </w:rPr>
        <w:t>ציין</w:t>
      </w:r>
      <w:r w:rsidRPr="00D816B7">
        <w:rPr>
          <w:rFonts w:hint="cs"/>
          <w:rtl/>
        </w:rPr>
        <w:t xml:space="preserve"> בתשובתו כי במקרה של </w:t>
      </w:r>
      <w:r w:rsidRPr="00D816B7">
        <w:rPr>
          <w:rFonts w:hint="cs"/>
          <w:rtl/>
        </w:rPr>
        <w:t>מי"ה</w:t>
      </w:r>
      <w:r w:rsidRPr="00D816B7">
        <w:rPr>
          <w:rFonts w:hint="cs"/>
          <w:rtl/>
        </w:rPr>
        <w:t xml:space="preserve"> החשיבות של רישיון פחותה מאחר שאין מדובר במחצבות מסחריות גדולות והן רחוקות ממיצוי עתודות, ומאחר שהחציבה נעשית בהתאם לתוכניות מאושרות.</w:t>
      </w:r>
    </w:p>
    <w:p w:rsidR="006734B0" w:rsidRPr="00747DE1" w:rsidP="00D816B7" w14:paraId="3B127DC1" w14:textId="19D23746">
      <w:pPr>
        <w:pStyle w:val="7317"/>
        <w:rPr>
          <w:sz w:val="24"/>
          <w:rtl/>
        </w:rPr>
      </w:pPr>
      <w:r>
        <w:rPr>
          <w:rFonts w:hint="cs"/>
          <w:rtl/>
        </w:rPr>
        <w:t xml:space="preserve">משרד מבקר המדינה מציין כי תשובת משרד </w:t>
      </w:r>
      <w:r>
        <w:rPr>
          <w:rFonts w:hint="cs"/>
          <w:rtl/>
        </w:rPr>
        <w:t>האנרגייה</w:t>
      </w:r>
      <w:r>
        <w:rPr>
          <w:rFonts w:hint="cs"/>
          <w:rtl/>
        </w:rPr>
        <w:t xml:space="preserve"> מעוררת כמה קשיים. ראשית, העברת תשלום לקרן לשיקום מחצבות אינה בהכרח מעבירה את כל האחריות לשיקום אתרי הכרייה בתחום הזיכיון לקרן, בפרט לנוכח העובדה שבמשך כל השנים </w:t>
      </w:r>
      <w:r>
        <w:rPr>
          <w:rFonts w:hint="cs"/>
          <w:rtl/>
        </w:rPr>
        <w:t>מי"ה</w:t>
      </w:r>
      <w:r>
        <w:rPr>
          <w:rFonts w:hint="cs"/>
          <w:rtl/>
        </w:rPr>
        <w:t xml:space="preserve"> ביצעה את עבודות הכרייה מבלי להפריש כספים </w:t>
      </w:r>
      <w:r>
        <w:rPr>
          <w:rFonts w:hint="cs"/>
          <w:rtl/>
        </w:rPr>
        <w:t>לקש"ם</w:t>
      </w:r>
      <w:r>
        <w:rPr>
          <w:rStyle w:val="FootnoteReference1"/>
          <w:rtl/>
        </w:rPr>
        <w:footnoteReference w:id="41"/>
      </w:r>
      <w:r>
        <w:rPr>
          <w:rFonts w:hint="cs"/>
          <w:rtl/>
        </w:rPr>
        <w:t xml:space="preserve">. בביקורת הועלה כי מלבד תשובה ראשונית של היועצת המשפטית של </w:t>
      </w:r>
      <w:r w:rsidR="009A33AB">
        <w:rPr>
          <w:rFonts w:hint="cs"/>
          <w:rtl/>
        </w:rPr>
        <w:t>הקש</w:t>
      </w:r>
      <w:r w:rsidRPr="00D816B7" w:rsidR="009A33AB">
        <w:rPr>
          <w:rFonts w:hint="cs"/>
          <w:rtl/>
        </w:rPr>
        <w:t>"</w:t>
      </w:r>
      <w:r w:rsidR="009A33AB">
        <w:rPr>
          <w:rFonts w:hint="cs"/>
          <w:rtl/>
        </w:rPr>
        <w:t>ם</w:t>
      </w:r>
      <w:r>
        <w:rPr>
          <w:rFonts w:hint="cs"/>
          <w:rtl/>
        </w:rPr>
        <w:t xml:space="preserve"> בנושא, לא נערכה בחינה של הדברים. שנית, כאמור לעיל, תשובת משרד </w:t>
      </w:r>
      <w:r>
        <w:rPr>
          <w:rFonts w:hint="cs"/>
          <w:rtl/>
        </w:rPr>
        <w:t>האנרגייה</w:t>
      </w:r>
      <w:r>
        <w:rPr>
          <w:rFonts w:hint="cs"/>
          <w:rtl/>
        </w:rPr>
        <w:t xml:space="preserve"> ולפיה המחצבות בשטח הזיכיון רחוקות </w:t>
      </w:r>
      <w:r w:rsidRPr="003732A4">
        <w:rPr>
          <w:rFonts w:hint="cs"/>
          <w:rtl/>
        </w:rPr>
        <w:t>ממיצוי עתודות עומדת בסתירה לטיוטת מסקנות הצוות הבי</w:t>
      </w:r>
      <w:r>
        <w:rPr>
          <w:rFonts w:hint="cs"/>
          <w:rtl/>
        </w:rPr>
        <w:t>ן-</w:t>
      </w:r>
      <w:r w:rsidRPr="003732A4">
        <w:rPr>
          <w:rFonts w:hint="cs"/>
          <w:rtl/>
        </w:rPr>
        <w:t xml:space="preserve">משרדי להיערכות לתום </w:t>
      </w:r>
      <w:r>
        <w:rPr>
          <w:rFonts w:hint="cs"/>
          <w:rtl/>
        </w:rPr>
        <w:t xml:space="preserve">תקופת </w:t>
      </w:r>
      <w:r w:rsidRPr="003732A4">
        <w:rPr>
          <w:rFonts w:hint="cs"/>
          <w:rtl/>
        </w:rPr>
        <w:t>הזיכיון</w:t>
      </w:r>
      <w:r>
        <w:rPr>
          <w:rFonts w:hint="cs"/>
          <w:rtl/>
        </w:rPr>
        <w:t>, בו הוא חבר</w:t>
      </w:r>
      <w:r w:rsidRPr="003732A4">
        <w:rPr>
          <w:rFonts w:hint="cs"/>
          <w:rtl/>
        </w:rPr>
        <w:t xml:space="preserve">. כמו כן, ככל הידוע לצוות הביקורת קיימות מחצבות בהיקפים קטנים יותר מאלו המופקים בידי </w:t>
      </w:r>
      <w:r w:rsidRPr="003732A4">
        <w:rPr>
          <w:rFonts w:hint="cs"/>
          <w:rtl/>
        </w:rPr>
        <w:t>מי"ה</w:t>
      </w:r>
      <w:r w:rsidRPr="003732A4">
        <w:rPr>
          <w:rFonts w:hint="cs"/>
          <w:rtl/>
        </w:rPr>
        <w:t xml:space="preserve"> המחויבות ברישיון חציבה, כך לדוגמה מחצבות בשטח של</w:t>
      </w:r>
      <w:r>
        <w:rPr>
          <w:rFonts w:hint="cs"/>
          <w:rtl/>
        </w:rPr>
        <w:t xml:space="preserve"> פחות מ-10 </w:t>
      </w:r>
      <w:r w:rsidRPr="003732A4">
        <w:rPr>
          <w:rFonts w:hint="cs"/>
          <w:rtl/>
        </w:rPr>
        <w:t>דונ</w:t>
      </w:r>
      <w:r>
        <w:rPr>
          <w:rFonts w:hint="cs"/>
          <w:rtl/>
        </w:rPr>
        <w:t>מי</w:t>
      </w:r>
      <w:r w:rsidRPr="003732A4">
        <w:rPr>
          <w:rFonts w:hint="cs"/>
          <w:rtl/>
        </w:rPr>
        <w:t>ם (</w:t>
      </w:r>
      <w:r>
        <w:rPr>
          <w:rFonts w:hint="cs"/>
          <w:rtl/>
        </w:rPr>
        <w:t xml:space="preserve">לעומת </w:t>
      </w:r>
      <w:r w:rsidRPr="003732A4">
        <w:rPr>
          <w:rFonts w:hint="cs"/>
          <w:rtl/>
        </w:rPr>
        <w:t xml:space="preserve">מחצבת נחל צין </w:t>
      </w:r>
      <w:r>
        <w:rPr>
          <w:rFonts w:hint="cs"/>
          <w:rtl/>
        </w:rPr>
        <w:t>ש</w:t>
      </w:r>
      <w:r w:rsidRPr="003732A4">
        <w:rPr>
          <w:rFonts w:hint="cs"/>
          <w:rtl/>
        </w:rPr>
        <w:t>שטח</w:t>
      </w:r>
      <w:r>
        <w:rPr>
          <w:rFonts w:hint="cs"/>
          <w:rtl/>
        </w:rPr>
        <w:t>ה</w:t>
      </w:r>
      <w:r w:rsidRPr="003732A4">
        <w:rPr>
          <w:rFonts w:hint="cs"/>
          <w:rtl/>
        </w:rPr>
        <w:t xml:space="preserve"> 550 דונם) </w:t>
      </w:r>
      <w:r>
        <w:rPr>
          <w:rFonts w:hint="cs"/>
          <w:rtl/>
        </w:rPr>
        <w:t>ומכאן</w:t>
      </w:r>
      <w:r w:rsidRPr="003732A4">
        <w:rPr>
          <w:rFonts w:hint="cs"/>
          <w:rtl/>
        </w:rPr>
        <w:t xml:space="preserve"> שהיקף התפוקות אינו </w:t>
      </w:r>
      <w:r>
        <w:rPr>
          <w:rFonts w:hint="cs"/>
          <w:rtl/>
        </w:rPr>
        <w:t>העילה</w:t>
      </w:r>
      <w:r w:rsidRPr="003732A4">
        <w:rPr>
          <w:rFonts w:hint="cs"/>
          <w:rtl/>
        </w:rPr>
        <w:t xml:space="preserve"> לאי-דרישת רישיון חציבה.</w:t>
      </w:r>
      <w:r>
        <w:rPr>
          <w:rFonts w:hint="cs"/>
          <w:rtl/>
        </w:rPr>
        <w:t xml:space="preserve"> </w:t>
      </w:r>
      <w:r>
        <w:rPr>
          <w:rFonts w:hint="cs"/>
          <w:sz w:val="24"/>
          <w:rtl/>
        </w:rPr>
        <w:t xml:space="preserve">לבסוף, </w:t>
      </w:r>
      <w:r w:rsidRPr="003732A4">
        <w:rPr>
          <w:rFonts w:hint="cs"/>
          <w:rtl/>
        </w:rPr>
        <w:t>העובדה שמחצבה פועלת לפי ת</w:t>
      </w:r>
      <w:r>
        <w:rPr>
          <w:rFonts w:hint="cs"/>
          <w:rtl/>
        </w:rPr>
        <w:t>ו</w:t>
      </w:r>
      <w:r w:rsidRPr="003732A4">
        <w:rPr>
          <w:rFonts w:hint="cs"/>
          <w:rtl/>
        </w:rPr>
        <w:t xml:space="preserve">כנית מפורטת אינה מייתרת את הצורך בקבלת רישיון חציבה, שהוא </w:t>
      </w:r>
      <w:r w:rsidRPr="003732A4">
        <w:rPr>
          <w:rtl/>
        </w:rPr>
        <w:t xml:space="preserve">כלי מרכזי </w:t>
      </w:r>
      <w:r w:rsidRPr="003732A4">
        <w:rPr>
          <w:rFonts w:hint="cs"/>
          <w:rtl/>
        </w:rPr>
        <w:t xml:space="preserve">של משרד </w:t>
      </w:r>
      <w:r w:rsidRPr="003732A4">
        <w:rPr>
          <w:rFonts w:hint="cs"/>
          <w:rtl/>
        </w:rPr>
        <w:t>האנרגייה</w:t>
      </w:r>
      <w:r w:rsidRPr="003732A4">
        <w:rPr>
          <w:rtl/>
        </w:rPr>
        <w:t xml:space="preserve"> למעקב ולפיקוח </w:t>
      </w:r>
      <w:r>
        <w:rPr>
          <w:rFonts w:hint="cs"/>
          <w:rtl/>
        </w:rPr>
        <w:t>בעניין</w:t>
      </w:r>
      <w:r w:rsidRPr="003732A4">
        <w:rPr>
          <w:rtl/>
        </w:rPr>
        <w:t xml:space="preserve"> פעילות </w:t>
      </w:r>
      <w:r w:rsidRPr="003732A4">
        <w:rPr>
          <w:rFonts w:hint="cs"/>
          <w:rtl/>
        </w:rPr>
        <w:t xml:space="preserve">מחצבות, שהרי </w:t>
      </w:r>
      <w:r>
        <w:rPr>
          <w:rFonts w:hint="cs"/>
          <w:rtl/>
        </w:rPr>
        <w:t>קיומה של תוכנית מפורטת היא</w:t>
      </w:r>
      <w:r w:rsidRPr="003732A4">
        <w:rPr>
          <w:rFonts w:hint="cs"/>
          <w:rtl/>
        </w:rPr>
        <w:t xml:space="preserve"> אח</w:t>
      </w:r>
      <w:r>
        <w:rPr>
          <w:rFonts w:hint="cs"/>
          <w:rtl/>
        </w:rPr>
        <w:t>ד</w:t>
      </w:r>
      <w:r w:rsidRPr="003732A4">
        <w:rPr>
          <w:rFonts w:hint="cs"/>
          <w:rtl/>
        </w:rPr>
        <w:t xml:space="preserve"> התנאים </w:t>
      </w:r>
      <w:r>
        <w:rPr>
          <w:rFonts w:hint="cs"/>
          <w:rtl/>
        </w:rPr>
        <w:t>הנדרשים</w:t>
      </w:r>
      <w:r w:rsidRPr="003732A4">
        <w:rPr>
          <w:rFonts w:hint="cs"/>
          <w:rtl/>
        </w:rPr>
        <w:t xml:space="preserve"> לקבלת רישיון חציבה.</w:t>
      </w:r>
    </w:p>
    <w:p w:rsidR="006734B0" w:rsidRPr="00D816B7" w:rsidP="00D816B7" w14:paraId="4F6F1C85" w14:textId="77777777">
      <w:pPr>
        <w:pStyle w:val="735"/>
        <w:numPr>
          <w:ilvl w:val="0"/>
          <w:numId w:val="33"/>
        </w:numPr>
        <w:rPr>
          <w:rtl/>
        </w:rPr>
      </w:pPr>
      <w:r w:rsidRPr="00D816B7">
        <w:rPr>
          <w:rFonts w:hint="cs"/>
          <w:rtl/>
        </w:rPr>
        <w:t>מי"ה</w:t>
      </w:r>
      <w:r w:rsidRPr="00D816B7">
        <w:rPr>
          <w:rFonts w:hint="cs"/>
          <w:rtl/>
        </w:rPr>
        <w:t xml:space="preserve"> מסרה בתשובתה למשרד מבקר המדינה כי עמדתה היא שאין תחולה מלאה של </w:t>
      </w:r>
      <w:r w:rsidRPr="00D816B7">
        <w:rPr>
          <w:rFonts w:hint="eastAsia"/>
          <w:rtl/>
        </w:rPr>
        <w:t>פקודת</w:t>
      </w:r>
      <w:r w:rsidRPr="00D816B7">
        <w:rPr>
          <w:rtl/>
        </w:rPr>
        <w:t xml:space="preserve"> </w:t>
      </w:r>
      <w:r w:rsidRPr="00D816B7">
        <w:rPr>
          <w:rFonts w:hint="eastAsia"/>
          <w:rtl/>
        </w:rPr>
        <w:t>המכרות</w:t>
      </w:r>
      <w:r w:rsidRPr="00D816B7">
        <w:rPr>
          <w:rtl/>
        </w:rPr>
        <w:t xml:space="preserve"> </w:t>
      </w:r>
      <w:r w:rsidRPr="00D816B7">
        <w:rPr>
          <w:rFonts w:hint="eastAsia"/>
          <w:rtl/>
        </w:rPr>
        <w:t>והתקנות</w:t>
      </w:r>
      <w:r w:rsidRPr="00D816B7">
        <w:rPr>
          <w:rtl/>
        </w:rPr>
        <w:t xml:space="preserve"> </w:t>
      </w:r>
      <w:r w:rsidRPr="00D816B7">
        <w:rPr>
          <w:rFonts w:hint="eastAsia"/>
          <w:rtl/>
        </w:rPr>
        <w:t>מכוחה</w:t>
      </w:r>
      <w:r w:rsidRPr="00D816B7">
        <w:rPr>
          <w:rtl/>
        </w:rPr>
        <w:t xml:space="preserve"> </w:t>
      </w:r>
      <w:r w:rsidRPr="00D816B7">
        <w:rPr>
          <w:rFonts w:hint="cs"/>
          <w:rtl/>
        </w:rPr>
        <w:t>על</w:t>
      </w:r>
      <w:r w:rsidRPr="00D816B7">
        <w:rPr>
          <w:rtl/>
        </w:rPr>
        <w:t xml:space="preserve"> הכרייה של </w:t>
      </w:r>
      <w:r w:rsidRPr="00D816B7">
        <w:rPr>
          <w:rFonts w:hint="eastAsia"/>
          <w:rtl/>
        </w:rPr>
        <w:t>מי</w:t>
      </w:r>
      <w:r w:rsidRPr="00D816B7">
        <w:rPr>
          <w:rtl/>
        </w:rPr>
        <w:t>"ה</w:t>
      </w:r>
      <w:r w:rsidRPr="00D816B7">
        <w:rPr>
          <w:rtl/>
        </w:rPr>
        <w:t xml:space="preserve"> בשטח הזיכיון</w:t>
      </w:r>
      <w:r w:rsidRPr="00D816B7">
        <w:rPr>
          <w:rFonts w:hint="cs"/>
          <w:rtl/>
        </w:rPr>
        <w:t xml:space="preserve">, משום שהזכות לשימוש בשטח הזיכיון ולהפקת מחצבים וחומרי חציבה ממנו הוקנתה </w:t>
      </w:r>
      <w:r w:rsidRPr="00D816B7">
        <w:rPr>
          <w:rFonts w:hint="cs"/>
          <w:rtl/>
        </w:rPr>
        <w:t>למי"ה</w:t>
      </w:r>
      <w:r w:rsidRPr="00D816B7">
        <w:rPr>
          <w:rFonts w:hint="cs"/>
          <w:rtl/>
        </w:rPr>
        <w:t xml:space="preserve"> בחוק הזיכיון, ובסעיף 1 לחוק הזיכיון נקבע כי הוראותיו גוברות על כל דין אחר</w:t>
      </w:r>
      <w:r w:rsidRPr="00D816B7">
        <w:rPr>
          <w:rtl/>
        </w:rPr>
        <w:t>.</w:t>
      </w:r>
      <w:r w:rsidRPr="00D816B7">
        <w:rPr>
          <w:rFonts w:hint="cs"/>
          <w:rtl/>
        </w:rPr>
        <w:t xml:space="preserve"> לפי עמדת </w:t>
      </w:r>
      <w:r w:rsidRPr="00D816B7">
        <w:rPr>
          <w:rFonts w:hint="cs"/>
          <w:rtl/>
        </w:rPr>
        <w:t>מי"ה</w:t>
      </w:r>
      <w:r w:rsidRPr="00D816B7">
        <w:rPr>
          <w:rFonts w:hint="cs"/>
          <w:rtl/>
        </w:rPr>
        <w:t xml:space="preserve">, אישור </w:t>
      </w:r>
      <w:r w:rsidRPr="00D816B7">
        <w:rPr>
          <w:rFonts w:hint="cs"/>
          <w:rtl/>
        </w:rPr>
        <w:t xml:space="preserve">הרשות המוסמכת (לענייננו משרד </w:t>
      </w:r>
      <w:r w:rsidRPr="00D816B7">
        <w:rPr>
          <w:rFonts w:hint="cs"/>
          <w:rtl/>
        </w:rPr>
        <w:t>האנרגייה</w:t>
      </w:r>
      <w:r w:rsidRPr="00D816B7">
        <w:rPr>
          <w:rFonts w:hint="cs"/>
          <w:rtl/>
        </w:rPr>
        <w:t>) שנדרש לפי סעיף 2(ד)</w:t>
      </w:r>
      <w:r w:rsidRPr="00D816B7">
        <w:rPr>
          <w:rFonts w:hint="cs"/>
        </w:rPr>
        <w:t xml:space="preserve"> </w:t>
      </w:r>
      <w:r w:rsidRPr="00D816B7">
        <w:rPr>
          <w:rFonts w:hint="cs"/>
          <w:rtl/>
        </w:rPr>
        <w:t xml:space="preserve">לחוק הזיכיון לביצוע פעילות החציבה בידי </w:t>
      </w:r>
      <w:r w:rsidRPr="00D816B7">
        <w:rPr>
          <w:rFonts w:hint="cs"/>
          <w:rtl/>
        </w:rPr>
        <w:t>מי"ה</w:t>
      </w:r>
      <w:r w:rsidRPr="00D816B7">
        <w:rPr>
          <w:rFonts w:hint="cs"/>
          <w:rtl/>
        </w:rPr>
        <w:t xml:space="preserve">, תוך 30 יום מעת שהתבקש, הוא בעיקר עניין פורמלי.   </w:t>
      </w:r>
    </w:p>
    <w:p w:rsidR="006734B0" w:rsidP="00D816B7" w14:paraId="74A5F820" w14:textId="77777777">
      <w:pPr>
        <w:pStyle w:val="7317"/>
        <w:rPr>
          <w:rtl/>
        </w:rPr>
      </w:pPr>
      <w:r>
        <w:rPr>
          <w:rFonts w:hint="cs"/>
          <w:rtl/>
        </w:rPr>
        <w:t xml:space="preserve">לעניין זה מציין משרד מבקר המדינה כי במסגרת עתירה לחיוב </w:t>
      </w:r>
      <w:r>
        <w:rPr>
          <w:rFonts w:hint="cs"/>
          <w:rtl/>
        </w:rPr>
        <w:t>מי"ה</w:t>
      </w:r>
      <w:r>
        <w:rPr>
          <w:rFonts w:hint="cs"/>
          <w:rtl/>
        </w:rPr>
        <w:t xml:space="preserve"> בקבלת רישיון הפקה מרשות המים קבע בשנת 2019 </w:t>
      </w:r>
      <w:r w:rsidRPr="00EA58D2">
        <w:rPr>
          <w:rFonts w:hint="cs"/>
          <w:rtl/>
        </w:rPr>
        <w:t>בית המשפט המחוזי</w:t>
      </w:r>
      <w:r>
        <w:rPr>
          <w:rStyle w:val="FootnoteReference1"/>
          <w:rtl/>
        </w:rPr>
        <w:footnoteReference w:id="42"/>
      </w:r>
      <w:r>
        <w:rPr>
          <w:rFonts w:hint="cs"/>
          <w:rtl/>
        </w:rPr>
        <w:t xml:space="preserve"> כי "תכלית הזיכיון היא למנוע תחרות. משמע, הענקת הזיכיון משחררת את בעל הזיכיון מכבלי התחרות אולם אינה משחררת אותו, כשלעצמה, מכבלי החקיקה ומדרישות הרישוי הנדרשות לפעילותו... הענקת הזיכיון והתניית פעילות ברישוי נועדו לתכליות שונות. תכלית הענקת הזיכיון היא מתן בלעדיות לבעל הזיכיון ובכך לתמרץ אותו ולעודד אותו לפעול בתחום מוגדר שבו ניתן הזיכיון. הזיכיון יינתן באותם תחומים שבהם קיים חשש שמא התחרות החופשית תרתיע משקיעים ותמנע פעילות חיונית למשק. לעומת זאת, תכלית משטר הרישוי היא להבטיח שמירה על אינטרסים ציבוריים, לפקח על הפעילות, ולקבוע תנאים שיבטיחו שמירה על אישורים כמו בטיחות, ביטחון, הגנה על הסביבה, מניעת זיהומים וכדומה</w:t>
      </w:r>
      <w:r w:rsidRPr="00BD78FF">
        <w:rPr>
          <w:rFonts w:hint="cs"/>
          <w:rtl/>
        </w:rPr>
        <w:t xml:space="preserve">". מכאן שעצם קיומו של זיכיון אינו מייתר את הצורך בקבלת רישיון לביצוע פעולות שנדרש לקבל לגביהם רישיון לפי החוק. </w:t>
      </w:r>
    </w:p>
    <w:p w:rsidR="006734B0" w:rsidRPr="00D816B7" w:rsidP="00D816B7" w14:paraId="1E2CCD5A" w14:textId="77777777">
      <w:pPr>
        <w:pStyle w:val="7317"/>
        <w:rPr>
          <w:rtl/>
        </w:rPr>
      </w:pPr>
      <w:r w:rsidRPr="00D816B7">
        <w:rPr>
          <w:rFonts w:hint="eastAsia"/>
          <w:rtl/>
        </w:rPr>
        <w:t>מי</w:t>
      </w:r>
      <w:r w:rsidRPr="00D816B7">
        <w:rPr>
          <w:rtl/>
        </w:rPr>
        <w:t>"ה</w:t>
      </w:r>
      <w:r w:rsidRPr="00D816B7">
        <w:rPr>
          <w:rtl/>
        </w:rPr>
        <w:t xml:space="preserve"> </w:t>
      </w:r>
      <w:r w:rsidRPr="00D816B7">
        <w:rPr>
          <w:rFonts w:hint="eastAsia"/>
          <w:rtl/>
        </w:rPr>
        <w:t>מסרה</w:t>
      </w:r>
      <w:r w:rsidRPr="00D816B7">
        <w:rPr>
          <w:rtl/>
        </w:rPr>
        <w:t xml:space="preserve"> </w:t>
      </w:r>
      <w:r w:rsidRPr="00D816B7">
        <w:rPr>
          <w:rFonts w:hint="eastAsia"/>
          <w:rtl/>
        </w:rPr>
        <w:t>בתשובתה</w:t>
      </w:r>
      <w:r w:rsidRPr="00D816B7">
        <w:rPr>
          <w:rtl/>
        </w:rPr>
        <w:t xml:space="preserve"> </w:t>
      </w:r>
      <w:r w:rsidRPr="00D816B7">
        <w:rPr>
          <w:rFonts w:hint="eastAsia"/>
          <w:rtl/>
        </w:rPr>
        <w:t>למשרד</w:t>
      </w:r>
      <w:r w:rsidRPr="00D816B7">
        <w:rPr>
          <w:rtl/>
        </w:rPr>
        <w:t xml:space="preserve"> </w:t>
      </w:r>
      <w:r w:rsidRPr="00D816B7">
        <w:rPr>
          <w:rFonts w:hint="eastAsia"/>
          <w:rtl/>
        </w:rPr>
        <w:t>מבקר</w:t>
      </w:r>
      <w:r w:rsidRPr="00D816B7">
        <w:rPr>
          <w:rtl/>
        </w:rPr>
        <w:t xml:space="preserve"> </w:t>
      </w:r>
      <w:r w:rsidRPr="00D816B7">
        <w:rPr>
          <w:rFonts w:hint="eastAsia"/>
          <w:rtl/>
        </w:rPr>
        <w:t>המדינה</w:t>
      </w:r>
      <w:r w:rsidRPr="00D816B7">
        <w:rPr>
          <w:rtl/>
        </w:rPr>
        <w:t xml:space="preserve"> </w:t>
      </w:r>
      <w:r w:rsidRPr="00D816B7">
        <w:rPr>
          <w:rFonts w:hint="eastAsia"/>
          <w:rtl/>
        </w:rPr>
        <w:t>כי</w:t>
      </w:r>
      <w:r w:rsidRPr="00D816B7">
        <w:rPr>
          <w:rtl/>
        </w:rPr>
        <w:t xml:space="preserve"> </w:t>
      </w:r>
      <w:r w:rsidRPr="00D816B7">
        <w:rPr>
          <w:rFonts w:hint="eastAsia"/>
          <w:rtl/>
        </w:rPr>
        <w:t>ה</w:t>
      </w:r>
      <w:r w:rsidRPr="00D816B7">
        <w:rPr>
          <w:rFonts w:hint="cs"/>
          <w:rtl/>
        </w:rPr>
        <w:t>ה</w:t>
      </w:r>
      <w:r w:rsidRPr="00D816B7">
        <w:rPr>
          <w:rFonts w:hint="eastAsia"/>
          <w:rtl/>
        </w:rPr>
        <w:t>קבלה</w:t>
      </w:r>
      <w:r w:rsidRPr="00D816B7">
        <w:rPr>
          <w:rtl/>
        </w:rPr>
        <w:t xml:space="preserve"> </w:t>
      </w:r>
      <w:r w:rsidRPr="00D816B7">
        <w:rPr>
          <w:rFonts w:hint="eastAsia"/>
          <w:rtl/>
        </w:rPr>
        <w:t>לפסיקת</w:t>
      </w:r>
      <w:r w:rsidRPr="00D816B7">
        <w:rPr>
          <w:rtl/>
        </w:rPr>
        <w:t xml:space="preserve"> </w:t>
      </w:r>
      <w:r w:rsidRPr="00D816B7">
        <w:rPr>
          <w:rFonts w:hint="eastAsia"/>
          <w:rtl/>
        </w:rPr>
        <w:t>בית</w:t>
      </w:r>
      <w:r w:rsidRPr="00D816B7">
        <w:rPr>
          <w:rtl/>
        </w:rPr>
        <w:t xml:space="preserve"> </w:t>
      </w:r>
      <w:r w:rsidRPr="00D816B7">
        <w:rPr>
          <w:rFonts w:hint="eastAsia"/>
          <w:rtl/>
        </w:rPr>
        <w:t>הדין</w:t>
      </w:r>
      <w:r w:rsidRPr="00D816B7">
        <w:rPr>
          <w:rtl/>
        </w:rPr>
        <w:t xml:space="preserve"> </w:t>
      </w:r>
      <w:r w:rsidRPr="00D816B7">
        <w:rPr>
          <w:rFonts w:hint="eastAsia"/>
          <w:rtl/>
        </w:rPr>
        <w:t>למים</w:t>
      </w:r>
      <w:r w:rsidRPr="00D816B7">
        <w:rPr>
          <w:rtl/>
        </w:rPr>
        <w:t xml:space="preserve"> </w:t>
      </w:r>
      <w:r w:rsidRPr="00D816B7">
        <w:rPr>
          <w:rFonts w:hint="eastAsia"/>
          <w:rtl/>
        </w:rPr>
        <w:t>שגויה</w:t>
      </w:r>
      <w:r w:rsidRPr="00D816B7">
        <w:rPr>
          <w:rtl/>
        </w:rPr>
        <w:t xml:space="preserve">, </w:t>
      </w:r>
      <w:r w:rsidRPr="00D816B7">
        <w:rPr>
          <w:rFonts w:hint="eastAsia"/>
          <w:rtl/>
        </w:rPr>
        <w:t>בשל</w:t>
      </w:r>
      <w:r w:rsidRPr="00D816B7">
        <w:rPr>
          <w:rtl/>
        </w:rPr>
        <w:t xml:space="preserve"> </w:t>
      </w:r>
      <w:r w:rsidRPr="00D816B7">
        <w:rPr>
          <w:rFonts w:hint="eastAsia"/>
          <w:rtl/>
        </w:rPr>
        <w:t>שוני</w:t>
      </w:r>
      <w:r w:rsidRPr="00D816B7">
        <w:rPr>
          <w:rtl/>
        </w:rPr>
        <w:t xml:space="preserve"> </w:t>
      </w:r>
      <w:r w:rsidRPr="00D816B7">
        <w:rPr>
          <w:rFonts w:hint="eastAsia"/>
          <w:rtl/>
        </w:rPr>
        <w:t>מהותי</w:t>
      </w:r>
      <w:r w:rsidRPr="00D816B7">
        <w:rPr>
          <w:rtl/>
        </w:rPr>
        <w:t xml:space="preserve"> </w:t>
      </w:r>
      <w:r w:rsidRPr="00D816B7">
        <w:rPr>
          <w:rFonts w:hint="eastAsia"/>
          <w:rtl/>
        </w:rPr>
        <w:t>בין</w:t>
      </w:r>
      <w:r w:rsidRPr="00D816B7">
        <w:rPr>
          <w:rtl/>
        </w:rPr>
        <w:t xml:space="preserve"> </w:t>
      </w:r>
      <w:r w:rsidRPr="00D816B7">
        <w:rPr>
          <w:rFonts w:hint="eastAsia"/>
          <w:rtl/>
        </w:rPr>
        <w:t>הוראות</w:t>
      </w:r>
      <w:r w:rsidRPr="00D816B7">
        <w:rPr>
          <w:rtl/>
        </w:rPr>
        <w:t xml:space="preserve"> </w:t>
      </w:r>
      <w:r w:rsidRPr="00D816B7">
        <w:rPr>
          <w:rFonts w:hint="eastAsia"/>
          <w:rtl/>
        </w:rPr>
        <w:t>חוק</w:t>
      </w:r>
      <w:r w:rsidRPr="00D816B7">
        <w:rPr>
          <w:rtl/>
        </w:rPr>
        <w:t xml:space="preserve"> </w:t>
      </w:r>
      <w:r w:rsidRPr="00D816B7">
        <w:rPr>
          <w:rFonts w:hint="eastAsia"/>
          <w:rtl/>
        </w:rPr>
        <w:t>הזיכיון</w:t>
      </w:r>
      <w:r w:rsidRPr="00D816B7">
        <w:rPr>
          <w:rtl/>
        </w:rPr>
        <w:t xml:space="preserve"> </w:t>
      </w:r>
      <w:r w:rsidRPr="00D816B7">
        <w:rPr>
          <w:rFonts w:hint="eastAsia"/>
          <w:rtl/>
        </w:rPr>
        <w:t>לעניין</w:t>
      </w:r>
      <w:r w:rsidRPr="00D816B7">
        <w:rPr>
          <w:rtl/>
        </w:rPr>
        <w:t xml:space="preserve"> </w:t>
      </w:r>
      <w:r w:rsidRPr="00D816B7">
        <w:rPr>
          <w:rFonts w:hint="eastAsia"/>
          <w:rtl/>
        </w:rPr>
        <w:t>הזכות</w:t>
      </w:r>
      <w:r w:rsidRPr="00D816B7">
        <w:rPr>
          <w:rtl/>
        </w:rPr>
        <w:t xml:space="preserve"> </w:t>
      </w:r>
      <w:r w:rsidRPr="00D816B7">
        <w:rPr>
          <w:rFonts w:hint="eastAsia"/>
          <w:rtl/>
        </w:rPr>
        <w:t>להפיק</w:t>
      </w:r>
      <w:r w:rsidRPr="00D816B7">
        <w:rPr>
          <w:rtl/>
        </w:rPr>
        <w:t xml:space="preserve"> </w:t>
      </w:r>
      <w:r w:rsidRPr="00D816B7">
        <w:rPr>
          <w:rFonts w:hint="eastAsia"/>
          <w:rtl/>
        </w:rPr>
        <w:t>מים</w:t>
      </w:r>
      <w:r w:rsidRPr="00D816B7">
        <w:rPr>
          <w:rtl/>
        </w:rPr>
        <w:t xml:space="preserve"> </w:t>
      </w:r>
      <w:r w:rsidRPr="00D816B7">
        <w:rPr>
          <w:rFonts w:hint="eastAsia"/>
          <w:rtl/>
        </w:rPr>
        <w:t>לבין</w:t>
      </w:r>
      <w:r w:rsidRPr="00D816B7">
        <w:rPr>
          <w:rtl/>
        </w:rPr>
        <w:t xml:space="preserve"> </w:t>
      </w:r>
      <w:r w:rsidRPr="00D816B7">
        <w:rPr>
          <w:rFonts w:hint="eastAsia"/>
          <w:rtl/>
        </w:rPr>
        <w:t>הוראותיו</w:t>
      </w:r>
      <w:r w:rsidRPr="00D816B7">
        <w:rPr>
          <w:rtl/>
        </w:rPr>
        <w:t xml:space="preserve"> </w:t>
      </w:r>
      <w:r w:rsidRPr="00D816B7">
        <w:rPr>
          <w:rFonts w:hint="eastAsia"/>
          <w:rtl/>
        </w:rPr>
        <w:t>לעניין</w:t>
      </w:r>
      <w:r w:rsidRPr="00D816B7">
        <w:rPr>
          <w:rtl/>
        </w:rPr>
        <w:t xml:space="preserve"> </w:t>
      </w:r>
      <w:r w:rsidRPr="00D816B7">
        <w:rPr>
          <w:rFonts w:hint="eastAsia"/>
          <w:rtl/>
        </w:rPr>
        <w:t>הזכות</w:t>
      </w:r>
      <w:r w:rsidRPr="00D816B7">
        <w:rPr>
          <w:rtl/>
        </w:rPr>
        <w:t xml:space="preserve"> </w:t>
      </w:r>
      <w:r w:rsidRPr="00D816B7">
        <w:rPr>
          <w:rFonts w:hint="eastAsia"/>
          <w:rtl/>
        </w:rPr>
        <w:t>לחצוב</w:t>
      </w:r>
      <w:r w:rsidRPr="00D816B7">
        <w:rPr>
          <w:rtl/>
        </w:rPr>
        <w:t xml:space="preserve">, </w:t>
      </w:r>
      <w:r w:rsidRPr="00D816B7">
        <w:rPr>
          <w:rFonts w:hint="cs"/>
          <w:rtl/>
        </w:rPr>
        <w:t>וכן</w:t>
      </w:r>
      <w:r w:rsidRPr="00D816B7">
        <w:rPr>
          <w:rtl/>
        </w:rPr>
        <w:t xml:space="preserve"> </w:t>
      </w:r>
      <w:r w:rsidRPr="00D816B7">
        <w:rPr>
          <w:rFonts w:hint="eastAsia"/>
          <w:rtl/>
        </w:rPr>
        <w:t>בשל</w:t>
      </w:r>
      <w:r w:rsidRPr="00D816B7">
        <w:rPr>
          <w:rtl/>
        </w:rPr>
        <w:t xml:space="preserve"> </w:t>
      </w:r>
      <w:r w:rsidRPr="00D816B7">
        <w:rPr>
          <w:rFonts w:hint="eastAsia"/>
          <w:rtl/>
        </w:rPr>
        <w:t>שוני</w:t>
      </w:r>
      <w:r w:rsidRPr="00D816B7">
        <w:rPr>
          <w:rtl/>
        </w:rPr>
        <w:t xml:space="preserve"> </w:t>
      </w:r>
      <w:r w:rsidRPr="00D816B7">
        <w:rPr>
          <w:rFonts w:hint="eastAsia"/>
          <w:rtl/>
        </w:rPr>
        <w:t>מהותי</w:t>
      </w:r>
      <w:r w:rsidRPr="00D816B7">
        <w:rPr>
          <w:rtl/>
        </w:rPr>
        <w:t xml:space="preserve"> </w:t>
      </w:r>
      <w:r w:rsidRPr="00D816B7">
        <w:rPr>
          <w:rFonts w:hint="eastAsia"/>
          <w:rtl/>
        </w:rPr>
        <w:t>בין</w:t>
      </w:r>
      <w:r w:rsidRPr="00D816B7">
        <w:rPr>
          <w:rtl/>
        </w:rPr>
        <w:t xml:space="preserve"> </w:t>
      </w:r>
      <w:r w:rsidRPr="00D816B7">
        <w:rPr>
          <w:rFonts w:hint="eastAsia"/>
          <w:rtl/>
        </w:rPr>
        <w:t>הוראות</w:t>
      </w:r>
      <w:r w:rsidRPr="00D816B7">
        <w:rPr>
          <w:rtl/>
        </w:rPr>
        <w:t xml:space="preserve"> </w:t>
      </w:r>
      <w:r w:rsidRPr="00D816B7">
        <w:rPr>
          <w:rFonts w:hint="eastAsia"/>
          <w:rtl/>
        </w:rPr>
        <w:t>חוק</w:t>
      </w:r>
      <w:r w:rsidRPr="00D816B7">
        <w:rPr>
          <w:rtl/>
        </w:rPr>
        <w:t xml:space="preserve"> </w:t>
      </w:r>
      <w:r w:rsidRPr="00D816B7">
        <w:rPr>
          <w:rFonts w:hint="eastAsia"/>
          <w:rtl/>
        </w:rPr>
        <w:t>המים</w:t>
      </w:r>
      <w:r w:rsidRPr="00D816B7">
        <w:rPr>
          <w:rtl/>
        </w:rPr>
        <w:t xml:space="preserve"> </w:t>
      </w:r>
      <w:r w:rsidRPr="00D816B7">
        <w:rPr>
          <w:rFonts w:hint="cs"/>
          <w:rtl/>
        </w:rPr>
        <w:t xml:space="preserve">האוסר על הפקת מים אלא בהתאם לרישיון </w:t>
      </w:r>
      <w:r w:rsidRPr="00D816B7">
        <w:rPr>
          <w:rFonts w:hint="eastAsia"/>
          <w:rtl/>
        </w:rPr>
        <w:t>ל</w:t>
      </w:r>
      <w:r w:rsidRPr="00D816B7">
        <w:rPr>
          <w:rFonts w:hint="cs"/>
          <w:rtl/>
        </w:rPr>
        <w:t xml:space="preserve">בין </w:t>
      </w:r>
      <w:r w:rsidRPr="00D816B7">
        <w:rPr>
          <w:rFonts w:hint="eastAsia"/>
          <w:rtl/>
        </w:rPr>
        <w:t>הוראות</w:t>
      </w:r>
      <w:r w:rsidRPr="00D816B7">
        <w:rPr>
          <w:rtl/>
        </w:rPr>
        <w:t xml:space="preserve"> </w:t>
      </w:r>
      <w:r w:rsidRPr="00D816B7">
        <w:rPr>
          <w:rFonts w:hint="eastAsia"/>
          <w:rtl/>
        </w:rPr>
        <w:t>פקודת</w:t>
      </w:r>
      <w:r w:rsidRPr="00D816B7">
        <w:rPr>
          <w:rtl/>
        </w:rPr>
        <w:t xml:space="preserve"> </w:t>
      </w:r>
      <w:r w:rsidRPr="00D816B7">
        <w:rPr>
          <w:rFonts w:hint="eastAsia"/>
          <w:rtl/>
        </w:rPr>
        <w:t>המכרות</w:t>
      </w:r>
      <w:r w:rsidRPr="00D816B7">
        <w:rPr>
          <w:rFonts w:hint="cs"/>
          <w:rtl/>
        </w:rPr>
        <w:t xml:space="preserve"> </w:t>
      </w:r>
      <w:r w:rsidRPr="00D816B7">
        <w:rPr>
          <w:rFonts w:hint="cs"/>
          <w:rtl/>
        </w:rPr>
        <w:t>המחריגה</w:t>
      </w:r>
      <w:r w:rsidRPr="00D816B7">
        <w:rPr>
          <w:rFonts w:hint="cs"/>
          <w:rtl/>
        </w:rPr>
        <w:t xml:space="preserve"> הפקה של אדם על אדמתו לצריכה עצמית ולא למכירה מחובת קבלת רישיון.</w:t>
      </w:r>
    </w:p>
    <w:p w:rsidR="006734B0" w:rsidP="00D816B7" w14:paraId="37CEB490" w14:textId="77777777">
      <w:pPr>
        <w:pStyle w:val="7318"/>
        <w:rPr>
          <w:rtl/>
        </w:rPr>
      </w:pPr>
      <w:r w:rsidRPr="00721AE9">
        <w:rPr>
          <w:rFonts w:hint="cs"/>
          <w:rtl/>
        </w:rPr>
        <w:t xml:space="preserve">רישיון חציבה הוא כלי </w:t>
      </w:r>
      <w:r w:rsidRPr="00721AE9">
        <w:rPr>
          <w:rFonts w:hint="cs"/>
          <w:rtl/>
        </w:rPr>
        <w:t>אסדרתי</w:t>
      </w:r>
      <w:r w:rsidRPr="00721AE9">
        <w:rPr>
          <w:rFonts w:hint="cs"/>
          <w:rtl/>
        </w:rPr>
        <w:t xml:space="preserve"> חשוב </w:t>
      </w:r>
      <w:r>
        <w:rPr>
          <w:rFonts w:hint="cs"/>
          <w:rtl/>
        </w:rPr>
        <w:t xml:space="preserve">של משרד </w:t>
      </w:r>
      <w:r>
        <w:rPr>
          <w:rFonts w:hint="cs"/>
          <w:rtl/>
        </w:rPr>
        <w:t>האנרגייה</w:t>
      </w:r>
      <w:r w:rsidRPr="00721AE9">
        <w:rPr>
          <w:rFonts w:hint="cs"/>
          <w:rtl/>
        </w:rPr>
        <w:t xml:space="preserve"> שנועד להבטיח</w:t>
      </w:r>
      <w:r>
        <w:rPr>
          <w:rFonts w:hint="cs"/>
          <w:rtl/>
        </w:rPr>
        <w:t xml:space="preserve"> </w:t>
      </w:r>
      <w:r>
        <w:rPr>
          <w:rFonts w:hint="cs"/>
          <w:sz w:val="24"/>
          <w:rtl/>
        </w:rPr>
        <w:t xml:space="preserve">כי ייעשה </w:t>
      </w:r>
      <w:r w:rsidRPr="007001EE">
        <w:rPr>
          <w:rFonts w:hint="cs"/>
          <w:sz w:val="24"/>
          <w:rtl/>
        </w:rPr>
        <w:t>שימוש נכון ומושכל במשאבי הטבע</w:t>
      </w:r>
      <w:r>
        <w:rPr>
          <w:rFonts w:hint="cs"/>
          <w:sz w:val="24"/>
          <w:rtl/>
        </w:rPr>
        <w:t>,</w:t>
      </w:r>
      <w:r w:rsidRPr="00721AE9">
        <w:rPr>
          <w:rFonts w:hint="cs"/>
          <w:rtl/>
        </w:rPr>
        <w:t xml:space="preserve"> </w:t>
      </w:r>
      <w:r>
        <w:rPr>
          <w:rFonts w:hint="cs"/>
          <w:rtl/>
        </w:rPr>
        <w:t>כי יתקיים</w:t>
      </w:r>
      <w:r w:rsidRPr="00721AE9">
        <w:rPr>
          <w:rFonts w:hint="cs"/>
          <w:rtl/>
        </w:rPr>
        <w:t xml:space="preserve"> משק מחצבים יעיל ואחראי וכי פעולות </w:t>
      </w:r>
      <w:r>
        <w:rPr>
          <w:rFonts w:hint="cs"/>
          <w:rtl/>
        </w:rPr>
        <w:t>ה</w:t>
      </w:r>
      <w:r w:rsidRPr="00721AE9">
        <w:rPr>
          <w:rFonts w:hint="cs"/>
          <w:rtl/>
        </w:rPr>
        <w:t>כרייה ו</w:t>
      </w:r>
      <w:r>
        <w:rPr>
          <w:rFonts w:hint="cs"/>
          <w:rtl/>
        </w:rPr>
        <w:t>ה</w:t>
      </w:r>
      <w:r w:rsidRPr="00721AE9">
        <w:rPr>
          <w:rFonts w:hint="cs"/>
          <w:rtl/>
        </w:rPr>
        <w:t xml:space="preserve">חציבה נעשות בהתאם לדין. </w:t>
      </w:r>
      <w:r>
        <w:rPr>
          <w:rFonts w:hint="cs"/>
          <w:rtl/>
        </w:rPr>
        <w:t xml:space="preserve">נמצא שהאסדרה </w:t>
      </w:r>
      <w:r>
        <w:rPr>
          <w:rFonts w:hint="cs"/>
          <w:rtl/>
        </w:rPr>
        <w:t>המינהלית</w:t>
      </w:r>
      <w:r>
        <w:rPr>
          <w:rFonts w:hint="cs"/>
          <w:rtl/>
        </w:rPr>
        <w:t xml:space="preserve"> באמצעות רישיון חציבה שמיושמת על ידי משרד </w:t>
      </w:r>
      <w:r>
        <w:rPr>
          <w:rFonts w:hint="cs"/>
          <w:rtl/>
        </w:rPr>
        <w:t>האנרגייה</w:t>
      </w:r>
      <w:r>
        <w:rPr>
          <w:rFonts w:hint="cs"/>
          <w:rtl/>
        </w:rPr>
        <w:t xml:space="preserve"> למול עשרות גורמים שמקיימים פעולות חציבה ברחבי הארץ, לא יושמה למול פעילות הכרייה של </w:t>
      </w:r>
      <w:r>
        <w:rPr>
          <w:rFonts w:hint="cs"/>
          <w:rtl/>
        </w:rPr>
        <w:t>מי"ה</w:t>
      </w:r>
      <w:r>
        <w:rPr>
          <w:rFonts w:hint="cs"/>
          <w:rtl/>
        </w:rPr>
        <w:t xml:space="preserve"> עד מועד סיום הביקורת (יוני 2024) ובמשך עשרות שנים מאז שהאחריות למשק הכרייה והחציבה בארץ הוטלה על משרד </w:t>
      </w:r>
      <w:r>
        <w:rPr>
          <w:rFonts w:hint="cs"/>
          <w:rtl/>
        </w:rPr>
        <w:t>האנרגייה</w:t>
      </w:r>
      <w:r>
        <w:rPr>
          <w:rFonts w:hint="cs"/>
          <w:rtl/>
        </w:rPr>
        <w:t xml:space="preserve"> (1996). הועלה כי גם לאחר שבשנת 2018 הביע משרד </w:t>
      </w:r>
      <w:r>
        <w:rPr>
          <w:rFonts w:hint="cs"/>
          <w:rtl/>
        </w:rPr>
        <w:t>האנרגייה</w:t>
      </w:r>
      <w:r>
        <w:rPr>
          <w:rFonts w:hint="cs"/>
          <w:rtl/>
        </w:rPr>
        <w:t xml:space="preserve"> את עמדתו ולפיה ראוי שפעילות הכרייה של </w:t>
      </w:r>
      <w:r>
        <w:rPr>
          <w:rFonts w:hint="cs"/>
          <w:rtl/>
        </w:rPr>
        <w:t>מי"ה</w:t>
      </w:r>
      <w:r>
        <w:rPr>
          <w:rFonts w:hint="cs"/>
          <w:rtl/>
        </w:rPr>
        <w:t xml:space="preserve"> בשטח הזיכיון תוסדר ברישיון חציבה - הוא לא נקט פעולות להסדרת רישיון זה, וכאשר שאלת הצורך ברישיון חציבה הועלתה פעם נוספת בשנת 2023 הוא הסתפק בחוות דעת משפטית ולפיה "ככל </w:t>
      </w:r>
      <w:r w:rsidRPr="005B1EB7">
        <w:rPr>
          <w:rFonts w:hint="eastAsia"/>
          <w:rtl/>
        </w:rPr>
        <w:t>הנראה</w:t>
      </w:r>
      <w:r w:rsidRPr="005B1EB7">
        <w:rPr>
          <w:rtl/>
        </w:rPr>
        <w:t xml:space="preserve"> לא נדרש רישיון </w:t>
      </w:r>
      <w:r w:rsidRPr="005B1EB7">
        <w:rPr>
          <w:rFonts w:hint="cs"/>
          <w:rtl/>
        </w:rPr>
        <w:t xml:space="preserve">לפי הפקודה", בלי לבחון לעומק את ההנחות </w:t>
      </w:r>
      <w:r>
        <w:rPr>
          <w:rFonts w:hint="cs"/>
          <w:rtl/>
        </w:rPr>
        <w:t>ש</w:t>
      </w:r>
      <w:r w:rsidRPr="005B1EB7">
        <w:rPr>
          <w:rFonts w:hint="cs"/>
          <w:rtl/>
        </w:rPr>
        <w:t>עליהן נשענה חוות הדעת.</w:t>
      </w:r>
    </w:p>
    <w:p w:rsidR="006734B0" w:rsidRPr="00521BB7" w:rsidP="00D816B7" w14:paraId="0FF1BB00" w14:textId="77777777">
      <w:pPr>
        <w:pStyle w:val="7318"/>
        <w:rPr>
          <w:rtl/>
        </w:rPr>
      </w:pPr>
      <w:r>
        <w:rPr>
          <w:rFonts w:hint="cs"/>
          <w:rtl/>
        </w:rPr>
        <w:t xml:space="preserve">על משרד </w:t>
      </w:r>
      <w:r>
        <w:rPr>
          <w:rFonts w:hint="cs"/>
          <w:rtl/>
        </w:rPr>
        <w:t>האנרגייה</w:t>
      </w:r>
      <w:r>
        <w:rPr>
          <w:rFonts w:hint="cs"/>
          <w:rtl/>
        </w:rPr>
        <w:t xml:space="preserve"> לשוב ולבחון את עמדתו בנוגע למתן רישיון חציבה לאתרי הכרייה בתחום הזיכיון ולגבש עמדה סדורה ומלאה </w:t>
      </w:r>
      <w:r w:rsidRPr="00521BB7">
        <w:rPr>
          <w:rFonts w:hint="cs"/>
          <w:rtl/>
        </w:rPr>
        <w:t>בנושא</w:t>
      </w:r>
      <w:r w:rsidRPr="00521BB7">
        <w:rPr>
          <w:rtl/>
        </w:rPr>
        <w:t>.</w:t>
      </w:r>
      <w:r w:rsidRPr="00521BB7">
        <w:rPr>
          <w:rFonts w:hint="cs"/>
          <w:rtl/>
        </w:rPr>
        <w:t xml:space="preserve"> </w:t>
      </w:r>
    </w:p>
    <w:p w:rsidR="006734B0" w:rsidRPr="008D2DC1" w:rsidP="008D2DC1" w14:paraId="55F48847" w14:textId="77777777">
      <w:pPr>
        <w:pStyle w:val="733155"/>
        <w:rPr>
          <w:rtl/>
        </w:rPr>
      </w:pPr>
      <w:r w:rsidRPr="008D2DC1">
        <w:rPr>
          <w:rFonts w:hint="cs"/>
          <w:rtl/>
        </w:rPr>
        <w:t xml:space="preserve">אי-גביית תשלום </w:t>
      </w:r>
      <w:r w:rsidRPr="008D2DC1">
        <w:rPr>
          <w:rFonts w:hint="cs"/>
          <w:rtl/>
        </w:rPr>
        <w:t>ממי"ה</w:t>
      </w:r>
      <w:r w:rsidRPr="008D2DC1">
        <w:rPr>
          <w:rFonts w:hint="cs"/>
          <w:rtl/>
        </w:rPr>
        <w:t xml:space="preserve"> בגין פעילות הכרייה שלה</w:t>
      </w:r>
    </w:p>
    <w:p w:rsidR="006734B0" w:rsidRPr="00BD2DE6" w:rsidP="007726D3" w14:paraId="211CFFB6" w14:textId="4DD06AD0">
      <w:pPr>
        <w:pStyle w:val="719"/>
        <w:spacing w:line="312" w:lineRule="auto"/>
        <w:ind w:left="397" w:right="397"/>
      </w:pPr>
      <w:r>
        <w:rPr>
          <w:rFonts w:hint="cs"/>
          <w:rtl/>
        </w:rPr>
        <w:t xml:space="preserve">כאמור, בעל מחצבה נדרש לשלם תשלומים </w:t>
      </w:r>
      <w:r w:rsidR="009A33AB">
        <w:rPr>
          <w:rFonts w:hint="cs"/>
          <w:rtl/>
        </w:rPr>
        <w:t>לקש</w:t>
      </w:r>
      <w:r w:rsidRPr="00D816B7" w:rsidR="009A33AB">
        <w:rPr>
          <w:rFonts w:hint="cs"/>
          <w:rtl/>
        </w:rPr>
        <w:t>"</w:t>
      </w:r>
      <w:r w:rsidR="009A33AB">
        <w:rPr>
          <w:rFonts w:hint="cs"/>
          <w:rtl/>
        </w:rPr>
        <w:t>ם</w:t>
      </w:r>
      <w:r w:rsidR="009A33AB">
        <w:rPr>
          <w:rFonts w:hint="cs"/>
          <w:rtl/>
        </w:rPr>
        <w:t xml:space="preserve"> </w:t>
      </w:r>
      <w:r>
        <w:rPr>
          <w:rFonts w:hint="cs"/>
          <w:rtl/>
        </w:rPr>
        <w:t xml:space="preserve">אשר הוקמה מכוח פקודת המכרות, וכן עליו לשלם תמלוגים </w:t>
      </w:r>
      <w:r>
        <w:rPr>
          <w:rFonts w:hint="cs"/>
          <w:rtl/>
        </w:rPr>
        <w:t>לרמ"י</w:t>
      </w:r>
      <w:r>
        <w:rPr>
          <w:rFonts w:hint="cs"/>
          <w:rtl/>
        </w:rPr>
        <w:t xml:space="preserve"> כאשר המחצבה נמצאת על אדמה בניהולה, בגין חומרי הכרייה שהוא מפיק, בהתאם לסוג החומר ולכמות החומר שנחצב. התמלוגים המשולמים </w:t>
      </w:r>
      <w:r>
        <w:rPr>
          <w:rFonts w:hint="cs"/>
          <w:rtl/>
        </w:rPr>
        <w:t>לרמ"י</w:t>
      </w:r>
      <w:r>
        <w:rPr>
          <w:rFonts w:hint="cs"/>
          <w:rtl/>
        </w:rPr>
        <w:t xml:space="preserve"> בעבור כריית חומרי חציבה הם הכלי המשמעותי ביותר לניהול בר קיימה של מחצבים והם אמורים לשקף את זכות הקניין של הציבור והדורות הבאים על המשאבים ואת העלויות הסביבתיות הנגרמות בגין כרייתם</w:t>
      </w:r>
      <w:r>
        <w:t>.</w:t>
      </w:r>
      <w:r>
        <w:footnoteReference w:id="43"/>
      </w:r>
      <w:r>
        <w:rPr>
          <w:rFonts w:hint="cs"/>
          <w:rtl/>
        </w:rPr>
        <w:t xml:space="preserve"> </w:t>
      </w:r>
    </w:p>
    <w:p w:rsidR="006734B0" w:rsidP="00D816B7" w14:paraId="708A9C84" w14:textId="33BC5BED">
      <w:pPr>
        <w:pStyle w:val="7392"/>
        <w:rPr>
          <w:rtl/>
        </w:rPr>
      </w:pPr>
      <w:r>
        <w:rPr>
          <w:rFonts w:hint="cs"/>
          <w:rtl/>
        </w:rPr>
        <w:t xml:space="preserve">בשנת 1994, ונוכח ההבנה כי דיני התכנון והבנייה חלים בתחום הזיכיון, ויש לתת לבעל הזיכיון תקופת התארגנות לאסדרה </w:t>
      </w:r>
      <w:r>
        <w:rPr>
          <w:rFonts w:hint="cs"/>
          <w:rtl/>
        </w:rPr>
        <w:t>סטוטוטורית</w:t>
      </w:r>
      <w:r>
        <w:rPr>
          <w:rFonts w:hint="cs"/>
          <w:rtl/>
        </w:rPr>
        <w:t xml:space="preserve"> של העבודות המתקיימות כדי שלא לפגוע בפעילות השוטפת של המפעלים, חוקק כאמור חוק הוראות השעה. במסגרת זאת הוקמה קרן ייעודית לשיקום אתרים בשטח הזיכיון (להלן - הקרן לשיקום אתרי ים המלח) שבהם ביצע בעל הזיכיון עבודות של כרייה וחציבה, ונקבע כי בכל אחת מהשנים </w:t>
      </w:r>
      <w:r>
        <w:rPr>
          <w:rFonts w:hint="cs"/>
          <w:rtl/>
        </w:rPr>
        <w:t>התשנ"ד</w:t>
      </w:r>
      <w:r>
        <w:rPr>
          <w:rFonts w:hint="cs"/>
          <w:rtl/>
        </w:rPr>
        <w:t xml:space="preserve">, </w:t>
      </w:r>
      <w:r>
        <w:rPr>
          <w:rFonts w:hint="cs"/>
          <w:rtl/>
        </w:rPr>
        <w:t>התשנ"ה</w:t>
      </w:r>
      <w:r>
        <w:rPr>
          <w:rFonts w:hint="cs"/>
          <w:rtl/>
        </w:rPr>
        <w:t xml:space="preserve"> </w:t>
      </w:r>
      <w:r>
        <w:rPr>
          <w:rFonts w:hint="cs"/>
          <w:rtl/>
        </w:rPr>
        <w:t>והתשנ"ו</w:t>
      </w:r>
      <w:r>
        <w:rPr>
          <w:rFonts w:hint="cs"/>
          <w:rtl/>
        </w:rPr>
        <w:t xml:space="preserve"> ישלם בעל הזיכיון תשלומים לפי תקנות פקודת המכרות או סכום של 500,000 ש"ח, </w:t>
      </w:r>
      <w:r w:rsidRPr="006449C3">
        <w:rPr>
          <w:rFonts w:hint="eastAsia"/>
          <w:rtl/>
        </w:rPr>
        <w:t>לפי</w:t>
      </w:r>
      <w:r w:rsidRPr="006449C3">
        <w:rPr>
          <w:rtl/>
        </w:rPr>
        <w:t xml:space="preserve"> </w:t>
      </w:r>
      <w:r w:rsidRPr="006449C3">
        <w:rPr>
          <w:rFonts w:hint="eastAsia"/>
          <w:rtl/>
        </w:rPr>
        <w:t>הגבוה</w:t>
      </w:r>
      <w:r w:rsidRPr="006449C3">
        <w:rPr>
          <w:rtl/>
        </w:rPr>
        <w:t xml:space="preserve"> </w:t>
      </w:r>
      <w:r w:rsidRPr="006449C3">
        <w:rPr>
          <w:rFonts w:hint="eastAsia"/>
          <w:rtl/>
        </w:rPr>
        <w:t>ביותר</w:t>
      </w:r>
      <w:r>
        <w:rPr>
          <w:rFonts w:hint="cs"/>
          <w:rtl/>
        </w:rPr>
        <w:t xml:space="preserve">. </w:t>
      </w:r>
      <w:r w:rsidRPr="00DC70B8" w:rsidR="00DC70B8">
        <w:rPr>
          <w:rtl/>
        </w:rPr>
        <w:t xml:space="preserve">בהתאם להוראות השעה, </w:t>
      </w:r>
      <w:r w:rsidRPr="00DC70B8" w:rsidR="00DC70B8">
        <w:rPr>
          <w:rtl/>
        </w:rPr>
        <w:t>מי"ה</w:t>
      </w:r>
      <w:r w:rsidRPr="00DC70B8" w:rsidR="00DC70B8">
        <w:rPr>
          <w:rtl/>
        </w:rPr>
        <w:t xml:space="preserve"> העבירה לקרן לשיקום אתרי ים המלח את התשלום הנדרש בגין השנים האמורות</w:t>
      </w:r>
      <w:r w:rsidR="00DC70B8">
        <w:rPr>
          <w:rFonts w:hint="cs"/>
          <w:rtl/>
        </w:rPr>
        <w:t>.</w:t>
      </w:r>
    </w:p>
    <w:p w:rsidR="006734B0" w:rsidRPr="00D816B7" w:rsidP="00D816B7" w14:paraId="10A36506" w14:textId="1C4192CE">
      <w:pPr>
        <w:pStyle w:val="7318"/>
      </w:pPr>
      <w:r w:rsidRPr="00D816B7">
        <w:rPr>
          <w:rFonts w:hint="cs"/>
          <w:rtl/>
        </w:rPr>
        <w:t xml:space="preserve">בשנת 1994 נקבע בהוראות שעה כי </w:t>
      </w:r>
      <w:r w:rsidRPr="00D816B7">
        <w:rPr>
          <w:rFonts w:hint="cs"/>
          <w:rtl/>
        </w:rPr>
        <w:t>מי"ה</w:t>
      </w:r>
      <w:r w:rsidRPr="00D816B7">
        <w:rPr>
          <w:rFonts w:hint="cs"/>
          <w:rtl/>
        </w:rPr>
        <w:t xml:space="preserve"> תשלם במשך שלוש השנים העוקבות בגין הכרייה שהיא מבצעת סכום של </w:t>
      </w:r>
      <w:r w:rsidRPr="00D816B7">
        <w:rPr>
          <w:rtl/>
        </w:rPr>
        <w:t xml:space="preserve">500,000 ש"ח </w:t>
      </w:r>
      <w:r w:rsidRPr="00D816B7">
        <w:rPr>
          <w:rFonts w:hint="cs"/>
          <w:rtl/>
        </w:rPr>
        <w:t xml:space="preserve">לשנה </w:t>
      </w:r>
      <w:r w:rsidRPr="00D816B7">
        <w:rPr>
          <w:rtl/>
        </w:rPr>
        <w:t xml:space="preserve">או לפי הקבוע בפקודת המכרות, לפי </w:t>
      </w:r>
      <w:r w:rsidRPr="00DC70B8" w:rsidR="00DC70B8">
        <w:rPr>
          <w:rtl/>
        </w:rPr>
        <w:t>הגבוה, לקרן</w:t>
      </w:r>
      <w:r w:rsidR="00DC70B8">
        <w:rPr>
          <w:rFonts w:hint="cs"/>
          <w:rtl/>
        </w:rPr>
        <w:t xml:space="preserve"> </w:t>
      </w:r>
      <w:r w:rsidRPr="00332288" w:rsidR="00332288">
        <w:rPr>
          <w:rtl/>
        </w:rPr>
        <w:t>לשיקום אתרי ים המלח</w:t>
      </w:r>
      <w:r w:rsidRPr="00D816B7">
        <w:rPr>
          <w:rFonts w:hint="cs"/>
          <w:rtl/>
        </w:rPr>
        <w:t>.</w:t>
      </w:r>
      <w:r w:rsidRPr="00D816B7">
        <w:rPr>
          <w:rtl/>
        </w:rPr>
        <w:t xml:space="preserve"> </w:t>
      </w:r>
      <w:r w:rsidRPr="00D816B7">
        <w:rPr>
          <w:rFonts w:hint="eastAsia"/>
          <w:rtl/>
        </w:rPr>
        <w:t>זאת</w:t>
      </w:r>
      <w:r w:rsidRPr="00D816B7">
        <w:rPr>
          <w:rtl/>
        </w:rPr>
        <w:t xml:space="preserve">, </w:t>
      </w:r>
      <w:r w:rsidRPr="00D816B7">
        <w:rPr>
          <w:rFonts w:hint="cs"/>
          <w:rtl/>
        </w:rPr>
        <w:t>כדי</w:t>
      </w:r>
      <w:r w:rsidRPr="00D816B7">
        <w:rPr>
          <w:rtl/>
        </w:rPr>
        <w:t xml:space="preserve"> </w:t>
      </w:r>
      <w:r w:rsidRPr="00D816B7">
        <w:rPr>
          <w:rFonts w:hint="eastAsia"/>
          <w:rtl/>
        </w:rPr>
        <w:t>שהקרן</w:t>
      </w:r>
      <w:r w:rsidRPr="00D816B7">
        <w:rPr>
          <w:rtl/>
        </w:rPr>
        <w:t xml:space="preserve"> </w:t>
      </w:r>
      <w:r w:rsidRPr="00D816B7">
        <w:rPr>
          <w:rFonts w:hint="eastAsia"/>
          <w:rtl/>
        </w:rPr>
        <w:t>תוכל</w:t>
      </w:r>
      <w:r w:rsidRPr="00D816B7">
        <w:rPr>
          <w:rtl/>
        </w:rPr>
        <w:t xml:space="preserve"> </w:t>
      </w:r>
      <w:r w:rsidRPr="00D816B7">
        <w:rPr>
          <w:rFonts w:hint="eastAsia"/>
          <w:rtl/>
        </w:rPr>
        <w:t>לשמש</w:t>
      </w:r>
      <w:r w:rsidRPr="00D816B7">
        <w:rPr>
          <w:rtl/>
        </w:rPr>
        <w:t xml:space="preserve"> מקור מימוני ייעודי לשיקום אתרי</w:t>
      </w:r>
      <w:r w:rsidRPr="00D816B7">
        <w:rPr>
          <w:rFonts w:hint="eastAsia"/>
          <w:rtl/>
        </w:rPr>
        <w:t>ם</w:t>
      </w:r>
      <w:r w:rsidRPr="00D816B7">
        <w:rPr>
          <w:rtl/>
        </w:rPr>
        <w:t xml:space="preserve"> בשטח הזיכיון </w:t>
      </w:r>
      <w:r w:rsidRPr="00D816B7">
        <w:rPr>
          <w:rFonts w:hint="cs"/>
          <w:rtl/>
        </w:rPr>
        <w:t>ש</w:t>
      </w:r>
      <w:r w:rsidRPr="00D816B7">
        <w:rPr>
          <w:rtl/>
        </w:rPr>
        <w:t xml:space="preserve">בהם </w:t>
      </w:r>
      <w:r w:rsidRPr="00D816B7">
        <w:rPr>
          <w:rFonts w:hint="eastAsia"/>
          <w:rtl/>
        </w:rPr>
        <w:t>מי</w:t>
      </w:r>
      <w:r w:rsidRPr="00D816B7">
        <w:rPr>
          <w:rtl/>
        </w:rPr>
        <w:t>"ה</w:t>
      </w:r>
      <w:r w:rsidRPr="00D816B7">
        <w:rPr>
          <w:rtl/>
        </w:rPr>
        <w:t xml:space="preserve"> </w:t>
      </w:r>
      <w:r w:rsidRPr="00D816B7">
        <w:rPr>
          <w:rFonts w:hint="eastAsia"/>
          <w:rtl/>
        </w:rPr>
        <w:t>ביצעה</w:t>
      </w:r>
      <w:r w:rsidRPr="00D816B7">
        <w:rPr>
          <w:rtl/>
        </w:rPr>
        <w:t xml:space="preserve"> </w:t>
      </w:r>
      <w:r w:rsidRPr="00D816B7">
        <w:rPr>
          <w:rFonts w:hint="eastAsia"/>
          <w:rtl/>
        </w:rPr>
        <w:t>כרייה</w:t>
      </w:r>
      <w:r w:rsidRPr="00D816B7">
        <w:rPr>
          <w:rtl/>
        </w:rPr>
        <w:t xml:space="preserve"> </w:t>
      </w:r>
      <w:r w:rsidRPr="00D816B7">
        <w:rPr>
          <w:rFonts w:hint="eastAsia"/>
          <w:rtl/>
        </w:rPr>
        <w:t>עד</w:t>
      </w:r>
      <w:r w:rsidRPr="00D816B7">
        <w:rPr>
          <w:rtl/>
        </w:rPr>
        <w:t xml:space="preserve"> </w:t>
      </w:r>
      <w:r w:rsidRPr="00D816B7">
        <w:rPr>
          <w:rFonts w:hint="eastAsia"/>
          <w:rtl/>
        </w:rPr>
        <w:t>אותו</w:t>
      </w:r>
      <w:r w:rsidRPr="00D816B7">
        <w:rPr>
          <w:rtl/>
        </w:rPr>
        <w:t xml:space="preserve"> </w:t>
      </w:r>
      <w:r w:rsidRPr="00D816B7">
        <w:rPr>
          <w:rFonts w:hint="eastAsia"/>
          <w:rtl/>
        </w:rPr>
        <w:t>המועד</w:t>
      </w:r>
      <w:r w:rsidRPr="00D816B7">
        <w:rPr>
          <w:rtl/>
        </w:rPr>
        <w:t xml:space="preserve"> </w:t>
      </w:r>
      <w:r w:rsidRPr="00D816B7">
        <w:rPr>
          <w:rFonts w:hint="eastAsia"/>
          <w:rtl/>
        </w:rPr>
        <w:t>ולא</w:t>
      </w:r>
      <w:r w:rsidRPr="00D816B7">
        <w:rPr>
          <w:rtl/>
        </w:rPr>
        <w:t xml:space="preserve"> </w:t>
      </w:r>
      <w:r w:rsidRPr="00D816B7">
        <w:rPr>
          <w:rFonts w:hint="eastAsia"/>
          <w:rtl/>
        </w:rPr>
        <w:t>נגבו</w:t>
      </w:r>
      <w:r w:rsidRPr="00D816B7">
        <w:rPr>
          <w:rtl/>
        </w:rPr>
        <w:t xml:space="preserve"> </w:t>
      </w:r>
      <w:r w:rsidRPr="00D816B7">
        <w:rPr>
          <w:rFonts w:hint="eastAsia"/>
          <w:rtl/>
        </w:rPr>
        <w:t>בגינם</w:t>
      </w:r>
      <w:r w:rsidRPr="00D816B7">
        <w:rPr>
          <w:rtl/>
        </w:rPr>
        <w:t xml:space="preserve"> </w:t>
      </w:r>
      <w:r w:rsidRPr="00D816B7">
        <w:rPr>
          <w:rFonts w:hint="eastAsia"/>
          <w:rtl/>
        </w:rPr>
        <w:t>כספים</w:t>
      </w:r>
      <w:r w:rsidRPr="00D816B7">
        <w:rPr>
          <w:rtl/>
        </w:rPr>
        <w:t xml:space="preserve">, </w:t>
      </w:r>
      <w:r w:rsidRPr="00D816B7">
        <w:rPr>
          <w:rFonts w:hint="eastAsia"/>
          <w:rtl/>
        </w:rPr>
        <w:t>על</w:t>
      </w:r>
      <w:r w:rsidRPr="00D816B7">
        <w:rPr>
          <w:rtl/>
        </w:rPr>
        <w:t xml:space="preserve"> </w:t>
      </w:r>
      <w:r w:rsidRPr="00D816B7">
        <w:rPr>
          <w:rFonts w:hint="eastAsia"/>
          <w:rtl/>
        </w:rPr>
        <w:t>רקע</w:t>
      </w:r>
      <w:r w:rsidRPr="00D816B7">
        <w:rPr>
          <w:rtl/>
        </w:rPr>
        <w:t xml:space="preserve"> </w:t>
      </w:r>
      <w:r w:rsidRPr="00D816B7">
        <w:rPr>
          <w:rFonts w:hint="eastAsia"/>
          <w:rtl/>
        </w:rPr>
        <w:t>חוסר</w:t>
      </w:r>
      <w:r w:rsidRPr="00D816B7">
        <w:rPr>
          <w:rtl/>
        </w:rPr>
        <w:t xml:space="preserve"> ההבנה </w:t>
      </w:r>
      <w:r w:rsidRPr="00D816B7">
        <w:rPr>
          <w:rFonts w:hint="eastAsia"/>
          <w:rtl/>
        </w:rPr>
        <w:t>שהי</w:t>
      </w:r>
      <w:r w:rsidRPr="00D816B7">
        <w:rPr>
          <w:rFonts w:hint="cs"/>
          <w:rtl/>
        </w:rPr>
        <w:t>י</w:t>
      </w:r>
      <w:r w:rsidRPr="00D816B7">
        <w:rPr>
          <w:rFonts w:hint="eastAsia"/>
          <w:rtl/>
        </w:rPr>
        <w:t>תה</w:t>
      </w:r>
      <w:r w:rsidRPr="00D816B7">
        <w:rPr>
          <w:rtl/>
        </w:rPr>
        <w:t xml:space="preserve"> עד אותו מועד לגבי תחולת דיני התכנון והבנייה ודינים אחרים בתחום הזיכיון</w:t>
      </w:r>
      <w:r w:rsidRPr="00D816B7">
        <w:rPr>
          <w:rFonts w:hint="cs"/>
          <w:rtl/>
        </w:rPr>
        <w:t xml:space="preserve">, ואכן </w:t>
      </w:r>
      <w:r w:rsidRPr="00D816B7">
        <w:rPr>
          <w:rFonts w:hint="cs"/>
          <w:rtl/>
        </w:rPr>
        <w:t>מי"ה</w:t>
      </w:r>
      <w:r w:rsidRPr="00D816B7">
        <w:rPr>
          <w:rFonts w:hint="cs"/>
          <w:rtl/>
        </w:rPr>
        <w:t xml:space="preserve"> שילמה את התשלום שנקבע לגבי השנים 199</w:t>
      </w:r>
      <w:r w:rsidR="00B846BB">
        <w:rPr>
          <w:rFonts w:hint="cs"/>
          <w:rtl/>
        </w:rPr>
        <w:t>4</w:t>
      </w:r>
      <w:r w:rsidR="008B018D">
        <w:rPr>
          <w:rFonts w:hint="cs"/>
          <w:rtl/>
        </w:rPr>
        <w:t xml:space="preserve"> </w:t>
      </w:r>
      <w:r w:rsidRPr="00D816B7">
        <w:rPr>
          <w:rFonts w:hint="cs"/>
          <w:rtl/>
        </w:rPr>
        <w:t>-199</w:t>
      </w:r>
      <w:r w:rsidR="00B846BB">
        <w:rPr>
          <w:rFonts w:hint="cs"/>
          <w:rtl/>
        </w:rPr>
        <w:t>6</w:t>
      </w:r>
      <w:r w:rsidRPr="00D816B7">
        <w:rPr>
          <w:rtl/>
        </w:rPr>
        <w:t xml:space="preserve">. </w:t>
      </w:r>
      <w:r w:rsidRPr="00D816B7">
        <w:rPr>
          <w:rFonts w:hint="eastAsia"/>
          <w:rtl/>
        </w:rPr>
        <w:t>בביקורת</w:t>
      </w:r>
      <w:r w:rsidRPr="00D816B7">
        <w:rPr>
          <w:rtl/>
        </w:rPr>
        <w:t xml:space="preserve"> </w:t>
      </w:r>
      <w:r w:rsidRPr="00D816B7">
        <w:rPr>
          <w:rFonts w:hint="eastAsia"/>
          <w:rtl/>
        </w:rPr>
        <w:t>נמצא</w:t>
      </w:r>
      <w:r w:rsidRPr="00D816B7">
        <w:rPr>
          <w:rtl/>
        </w:rPr>
        <w:t xml:space="preserve"> כי </w:t>
      </w:r>
      <w:r w:rsidRPr="00D816B7">
        <w:rPr>
          <w:rFonts w:hint="cs"/>
          <w:rtl/>
        </w:rPr>
        <w:t xml:space="preserve">משנת 1996, כאשר האחריות על תחום החציבה והכרייה הועברה למשרד </w:t>
      </w:r>
      <w:r w:rsidRPr="00D816B7">
        <w:rPr>
          <w:rFonts w:hint="cs"/>
          <w:rtl/>
        </w:rPr>
        <w:t>האנרגייה</w:t>
      </w:r>
      <w:r w:rsidRPr="00D816B7">
        <w:rPr>
          <w:rFonts w:hint="cs"/>
          <w:rtl/>
        </w:rPr>
        <w:t xml:space="preserve"> והסתיימה תחולת הוראות השעה, </w:t>
      </w:r>
      <w:r w:rsidRPr="00D816B7">
        <w:rPr>
          <w:rFonts w:hint="eastAsia"/>
          <w:rtl/>
        </w:rPr>
        <w:t>משרד</w:t>
      </w:r>
      <w:r w:rsidRPr="00D816B7">
        <w:rPr>
          <w:rtl/>
        </w:rPr>
        <w:t xml:space="preserve"> </w:t>
      </w:r>
      <w:r w:rsidRPr="00D816B7">
        <w:rPr>
          <w:rtl/>
        </w:rPr>
        <w:t>האנרגייה</w:t>
      </w:r>
      <w:r w:rsidRPr="00D816B7">
        <w:rPr>
          <w:rtl/>
        </w:rPr>
        <w:t xml:space="preserve"> </w:t>
      </w:r>
      <w:r w:rsidRPr="00D816B7">
        <w:rPr>
          <w:rFonts w:hint="cs"/>
          <w:rtl/>
        </w:rPr>
        <w:t>לא בחן את תחולת ההסדר הקבוע בפקודת המכרות ולפיו יש לשלם לקרן לשיקום מחצבות ו</w:t>
      </w:r>
      <w:r w:rsidRPr="00D816B7">
        <w:rPr>
          <w:rFonts w:hint="eastAsia"/>
          <w:rtl/>
        </w:rPr>
        <w:t>לא</w:t>
      </w:r>
      <w:r w:rsidRPr="00D816B7">
        <w:rPr>
          <w:rtl/>
        </w:rPr>
        <w:t xml:space="preserve"> </w:t>
      </w:r>
      <w:r w:rsidRPr="00D816B7">
        <w:rPr>
          <w:rFonts w:hint="eastAsia"/>
          <w:rtl/>
        </w:rPr>
        <w:t>קבע</w:t>
      </w:r>
      <w:r w:rsidRPr="00D816B7">
        <w:rPr>
          <w:rtl/>
        </w:rPr>
        <w:t xml:space="preserve"> </w:t>
      </w:r>
      <w:r w:rsidRPr="00D816B7">
        <w:rPr>
          <w:rFonts w:hint="eastAsia"/>
          <w:rtl/>
        </w:rPr>
        <w:t>הסדרי</w:t>
      </w:r>
      <w:r w:rsidRPr="00D816B7">
        <w:rPr>
          <w:rtl/>
        </w:rPr>
        <w:t xml:space="preserve"> תשלום </w:t>
      </w:r>
      <w:r w:rsidRPr="00D816B7">
        <w:rPr>
          <w:rFonts w:hint="eastAsia"/>
          <w:rtl/>
        </w:rPr>
        <w:t>בגין</w:t>
      </w:r>
      <w:r w:rsidRPr="00D816B7">
        <w:rPr>
          <w:rtl/>
        </w:rPr>
        <w:t xml:space="preserve"> </w:t>
      </w:r>
      <w:r w:rsidRPr="00D816B7">
        <w:rPr>
          <w:rFonts w:hint="eastAsia"/>
          <w:rtl/>
        </w:rPr>
        <w:t>פעילות</w:t>
      </w:r>
      <w:r w:rsidRPr="00D816B7">
        <w:rPr>
          <w:rtl/>
        </w:rPr>
        <w:t xml:space="preserve"> </w:t>
      </w:r>
      <w:r w:rsidRPr="00D816B7">
        <w:rPr>
          <w:rFonts w:hint="eastAsia"/>
          <w:rtl/>
        </w:rPr>
        <w:t>הכרייה</w:t>
      </w:r>
      <w:r w:rsidRPr="00D816B7">
        <w:rPr>
          <w:rtl/>
        </w:rPr>
        <w:t xml:space="preserve"> </w:t>
      </w:r>
      <w:r w:rsidRPr="00D816B7">
        <w:rPr>
          <w:rFonts w:hint="eastAsia"/>
          <w:rtl/>
        </w:rPr>
        <w:t>שמי</w:t>
      </w:r>
      <w:r w:rsidRPr="00D816B7">
        <w:rPr>
          <w:rtl/>
        </w:rPr>
        <w:t>"ה</w:t>
      </w:r>
      <w:r w:rsidRPr="00D816B7">
        <w:rPr>
          <w:rtl/>
        </w:rPr>
        <w:t xml:space="preserve"> </w:t>
      </w:r>
      <w:r w:rsidRPr="00D816B7">
        <w:rPr>
          <w:rFonts w:hint="eastAsia"/>
          <w:rtl/>
        </w:rPr>
        <w:t>מבצעת</w:t>
      </w:r>
      <w:r w:rsidRPr="00D816B7">
        <w:rPr>
          <w:rtl/>
        </w:rPr>
        <w:t xml:space="preserve"> </w:t>
      </w:r>
      <w:r w:rsidRPr="00D816B7">
        <w:rPr>
          <w:rFonts w:hint="eastAsia"/>
          <w:rtl/>
        </w:rPr>
        <w:t>מאותו</w:t>
      </w:r>
      <w:r w:rsidRPr="00D816B7">
        <w:rPr>
          <w:rtl/>
        </w:rPr>
        <w:t xml:space="preserve"> </w:t>
      </w:r>
      <w:r w:rsidRPr="00D816B7">
        <w:rPr>
          <w:rFonts w:hint="eastAsia"/>
          <w:rtl/>
        </w:rPr>
        <w:t>מועד</w:t>
      </w:r>
      <w:r w:rsidRPr="00D816B7">
        <w:rPr>
          <w:rtl/>
        </w:rPr>
        <w:t xml:space="preserve"> </w:t>
      </w:r>
      <w:r w:rsidRPr="00D816B7">
        <w:rPr>
          <w:rFonts w:hint="eastAsia"/>
          <w:rtl/>
        </w:rPr>
        <w:t>ואילך</w:t>
      </w:r>
      <w:r w:rsidRPr="00D816B7">
        <w:rPr>
          <w:rtl/>
        </w:rPr>
        <w:t>.</w:t>
      </w:r>
      <w:r w:rsidRPr="00D816B7">
        <w:rPr>
          <w:rFonts w:hint="cs"/>
          <w:rtl/>
        </w:rPr>
        <w:t xml:space="preserve"> כפועל יוצא מכך, במשך שנים רבות ועד מועד סיום הביקורת (יוני 2024) משרד </w:t>
      </w:r>
      <w:r w:rsidRPr="00D816B7">
        <w:rPr>
          <w:rFonts w:hint="cs"/>
          <w:rtl/>
        </w:rPr>
        <w:t>האנרגייה</w:t>
      </w:r>
      <w:r w:rsidRPr="00D816B7">
        <w:rPr>
          <w:rFonts w:hint="cs"/>
          <w:rtl/>
        </w:rPr>
        <w:t xml:space="preserve"> לא דרש </w:t>
      </w:r>
      <w:r w:rsidRPr="00D816B7">
        <w:rPr>
          <w:rFonts w:hint="cs"/>
          <w:rtl/>
        </w:rPr>
        <w:t>ממי"ה</w:t>
      </w:r>
      <w:r w:rsidRPr="00D816B7">
        <w:rPr>
          <w:rFonts w:hint="cs"/>
          <w:rtl/>
        </w:rPr>
        <w:t xml:space="preserve"> לשלם את התשלומים בגין פעילות הכרייה שהיא מבצעת.</w:t>
      </w:r>
    </w:p>
    <w:p w:rsidR="006734B0" w:rsidP="00D816B7" w14:paraId="67674E66" w14:textId="77777777">
      <w:pPr>
        <w:pStyle w:val="7392"/>
        <w:rPr>
          <w:highlight w:val="yellow"/>
          <w:rtl/>
        </w:rPr>
      </w:pPr>
      <w:r>
        <w:rPr>
          <w:rFonts w:hint="cs"/>
          <w:rtl/>
        </w:rPr>
        <w:t xml:space="preserve">מאחר שכאמור משרד </w:t>
      </w:r>
      <w:r>
        <w:rPr>
          <w:rFonts w:hint="cs"/>
          <w:rtl/>
        </w:rPr>
        <w:t>האנרגייה</w:t>
      </w:r>
      <w:r>
        <w:rPr>
          <w:rFonts w:hint="cs"/>
          <w:rtl/>
        </w:rPr>
        <w:t xml:space="preserve"> לא אסף במשך השנים נתונים על היקפי הכרייה והחציבה בתחום הזיכיון, קיים קושי לכמת את היקפי החומרים שנכרו במשך השנים. גם לפי המשרד </w:t>
      </w:r>
      <w:r>
        <w:rPr>
          <w:rFonts w:hint="cs"/>
          <w:rtl/>
        </w:rPr>
        <w:t>להג"ס</w:t>
      </w:r>
      <w:r>
        <w:rPr>
          <w:rFonts w:hint="cs"/>
          <w:rtl/>
        </w:rPr>
        <w:t xml:space="preserve">, בעבר כרתה </w:t>
      </w:r>
      <w:r>
        <w:rPr>
          <w:rFonts w:hint="cs"/>
          <w:rtl/>
        </w:rPr>
        <w:t>מי"ה</w:t>
      </w:r>
      <w:r>
        <w:rPr>
          <w:rFonts w:hint="cs"/>
          <w:rtl/>
        </w:rPr>
        <w:t xml:space="preserve"> חלוקי נחל וחרסיות מאתרים מזדמנים בצורה לא מוסדרת, ולא קיים מיפוי של אתרים אלו ומידע על כמות החומר שנכרה בהם. </w:t>
      </w:r>
    </w:p>
    <w:p w:rsidR="006734B0" w:rsidP="00D816B7" w14:paraId="01379A3E" w14:textId="77777777">
      <w:pPr>
        <w:pStyle w:val="7392"/>
        <w:rPr>
          <w:rtl/>
        </w:rPr>
      </w:pPr>
      <w:r>
        <w:rPr>
          <w:rFonts w:hint="cs"/>
          <w:rtl/>
        </w:rPr>
        <w:t xml:space="preserve">בדיווח היחיד על היקפי הכרייה שקיבל משרד </w:t>
      </w:r>
      <w:r>
        <w:rPr>
          <w:rFonts w:hint="cs"/>
          <w:rtl/>
        </w:rPr>
        <w:t>האנרגייה</w:t>
      </w:r>
      <w:r>
        <w:rPr>
          <w:rFonts w:hint="cs"/>
          <w:rtl/>
        </w:rPr>
        <w:t xml:space="preserve"> </w:t>
      </w:r>
      <w:r>
        <w:rPr>
          <w:rFonts w:hint="cs"/>
          <w:rtl/>
        </w:rPr>
        <w:t>ממי"ה</w:t>
      </w:r>
      <w:r>
        <w:rPr>
          <w:rFonts w:hint="cs"/>
          <w:rtl/>
        </w:rPr>
        <w:t xml:space="preserve"> לגבי שנת 2010, דווחו הנתונים האלה: </w:t>
      </w:r>
    </w:p>
    <w:p w:rsidR="006734B0" w:rsidRPr="00BD522C" w:rsidP="006734B0" w14:paraId="4D24E150" w14:textId="40976882">
      <w:pPr>
        <w:pStyle w:val="734"/>
        <w:rPr>
          <w:rtl/>
        </w:rPr>
      </w:pPr>
      <w:r w:rsidRPr="00F129DB">
        <w:rPr>
          <w:rFonts w:hint="cs"/>
          <w:b w:val="0"/>
          <w:bCs w:val="0"/>
          <w:rtl/>
        </w:rPr>
        <w:t xml:space="preserve">לוח </w:t>
      </w:r>
      <w:r w:rsidR="00DA1994">
        <w:rPr>
          <w:rFonts w:hint="cs"/>
          <w:b w:val="0"/>
          <w:bCs w:val="0"/>
          <w:rtl/>
        </w:rPr>
        <w:t>2</w:t>
      </w:r>
      <w:r w:rsidRPr="00F129DB">
        <w:rPr>
          <w:rFonts w:hint="cs"/>
          <w:b w:val="0"/>
          <w:bCs w:val="0"/>
          <w:rtl/>
        </w:rPr>
        <w:t>:</w:t>
      </w:r>
      <w:r w:rsidRPr="00BD522C">
        <w:rPr>
          <w:rFonts w:hint="cs"/>
          <w:rtl/>
        </w:rPr>
        <w:t xml:space="preserve"> היקף כריית חומר ואדי וחרסית בתחום הזיכיון, שנת 2010</w:t>
      </w:r>
      <w:r>
        <w:rPr>
          <w:rFonts w:hint="cs"/>
          <w:rtl/>
        </w:rPr>
        <w:t xml:space="preserve"> (</w:t>
      </w:r>
      <w:r w:rsidRPr="00BD522C">
        <w:rPr>
          <w:rFonts w:hint="cs"/>
          <w:rtl/>
        </w:rPr>
        <w:t>במ"ק</w:t>
      </w:r>
      <w:r w:rsidRPr="00BD522C">
        <w:rPr>
          <w:rFonts w:hint="cs"/>
          <w:rtl/>
        </w:rPr>
        <w:t>)</w:t>
      </w:r>
    </w:p>
    <w:tbl>
      <w:tblPr>
        <w:bidiVisual/>
        <w:tblW w:w="5000" w:type="pct"/>
        <w:jc w:val="center"/>
        <w:tblBorders>
          <w:left w:val="single" w:sz="4" w:space="0" w:color="auto"/>
          <w:right w:val="single" w:sz="4" w:space="0" w:color="auto"/>
          <w:insideV w:val="single" w:sz="4" w:space="0" w:color="auto"/>
        </w:tblBorders>
        <w:shd w:val="clear" w:color="auto" w:fill="DFECEF"/>
        <w:tblLook w:val="04A0"/>
      </w:tblPr>
      <w:tblGrid>
        <w:gridCol w:w="1274"/>
        <w:gridCol w:w="1741"/>
        <w:gridCol w:w="1503"/>
        <w:gridCol w:w="2842"/>
      </w:tblGrid>
      <w:tr w14:paraId="131EDA5E" w14:textId="77777777" w:rsidTr="00F129DB">
        <w:tblPrEx>
          <w:tblW w:w="5000" w:type="pct"/>
          <w:jc w:val="center"/>
          <w:tblBorders>
            <w:left w:val="single" w:sz="4" w:space="0" w:color="auto"/>
            <w:right w:val="single" w:sz="4" w:space="0" w:color="auto"/>
            <w:insideV w:val="single" w:sz="4" w:space="0" w:color="auto"/>
          </w:tblBorders>
          <w:shd w:val="clear" w:color="auto" w:fill="DFECEF"/>
          <w:tblLook w:val="04A0"/>
        </w:tblPrEx>
        <w:trPr>
          <w:trHeight w:val="402"/>
          <w:jc w:val="center"/>
        </w:trPr>
        <w:tc>
          <w:tcPr>
            <w:tcW w:w="865" w:type="pct"/>
            <w:shd w:val="clear" w:color="auto" w:fill="C8DCE4"/>
            <w:hideMark/>
          </w:tcPr>
          <w:p w:rsidR="006734B0" w:rsidRPr="00F129DB" w:rsidP="00F129DB" w14:paraId="1AE49B06" w14:textId="77777777">
            <w:pPr>
              <w:pStyle w:val="73R"/>
              <w:rPr>
                <w:b/>
                <w:bCs/>
                <w:rtl/>
              </w:rPr>
            </w:pPr>
          </w:p>
        </w:tc>
        <w:tc>
          <w:tcPr>
            <w:tcW w:w="1183" w:type="pct"/>
            <w:shd w:val="clear" w:color="auto" w:fill="C8DCE4"/>
            <w:hideMark/>
          </w:tcPr>
          <w:p w:rsidR="006734B0" w:rsidRPr="00F129DB" w:rsidP="00F129DB" w14:paraId="4F1BF5C4" w14:textId="77777777">
            <w:pPr>
              <w:pStyle w:val="73R"/>
              <w:rPr>
                <w:b/>
                <w:bCs/>
              </w:rPr>
            </w:pPr>
            <w:r w:rsidRPr="00F129DB">
              <w:rPr>
                <w:rFonts w:hint="cs"/>
                <w:b/>
                <w:bCs/>
                <w:rtl/>
              </w:rPr>
              <w:t xml:space="preserve">אתר נחל </w:t>
            </w:r>
            <w:r w:rsidRPr="00F129DB">
              <w:rPr>
                <w:rFonts w:hint="cs"/>
                <w:b/>
                <w:bCs/>
                <w:rtl/>
              </w:rPr>
              <w:t>חימר</w:t>
            </w:r>
          </w:p>
        </w:tc>
        <w:tc>
          <w:tcPr>
            <w:tcW w:w="1021" w:type="pct"/>
            <w:shd w:val="clear" w:color="auto" w:fill="C8DCE4"/>
            <w:hideMark/>
          </w:tcPr>
          <w:p w:rsidR="006734B0" w:rsidRPr="00F129DB" w:rsidP="00F129DB" w14:paraId="7EB05011" w14:textId="77777777">
            <w:pPr>
              <w:pStyle w:val="73R"/>
              <w:rPr>
                <w:b/>
                <w:bCs/>
              </w:rPr>
            </w:pPr>
            <w:r w:rsidRPr="00F129DB">
              <w:rPr>
                <w:rFonts w:hint="cs"/>
                <w:b/>
                <w:bCs/>
                <w:rtl/>
              </w:rPr>
              <w:t>אתר נחל צין</w:t>
            </w:r>
          </w:p>
        </w:tc>
        <w:tc>
          <w:tcPr>
            <w:tcW w:w="1931" w:type="pct"/>
            <w:shd w:val="clear" w:color="auto" w:fill="C8DCE4"/>
            <w:hideMark/>
          </w:tcPr>
          <w:p w:rsidR="006734B0" w:rsidRPr="00F129DB" w:rsidP="00F129DB" w14:paraId="4CFCA3A5" w14:textId="77777777">
            <w:pPr>
              <w:pStyle w:val="73R"/>
              <w:rPr>
                <w:b/>
                <w:bCs/>
              </w:rPr>
            </w:pPr>
            <w:r w:rsidRPr="00F129DB">
              <w:rPr>
                <w:rFonts w:hint="cs"/>
                <w:b/>
                <w:bCs/>
                <w:rtl/>
              </w:rPr>
              <w:t>אתר נחל אשלים (חרסית)</w:t>
            </w:r>
          </w:p>
        </w:tc>
      </w:tr>
      <w:tr w14:paraId="1CCEECC7" w14:textId="77777777" w:rsidTr="00F129DB">
        <w:tblPrEx>
          <w:tblW w:w="5000" w:type="pct"/>
          <w:jc w:val="center"/>
          <w:shd w:val="clear" w:color="auto" w:fill="DFECEF"/>
          <w:tblLook w:val="04A0"/>
        </w:tblPrEx>
        <w:trPr>
          <w:trHeight w:val="402"/>
          <w:jc w:val="center"/>
        </w:trPr>
        <w:tc>
          <w:tcPr>
            <w:tcW w:w="865" w:type="pct"/>
            <w:shd w:val="clear" w:color="auto" w:fill="DFECEF"/>
            <w:hideMark/>
          </w:tcPr>
          <w:p w:rsidR="006734B0" w:rsidRPr="00F129DB" w:rsidP="00F129DB" w14:paraId="21AC116E" w14:textId="77777777">
            <w:pPr>
              <w:pStyle w:val="73R"/>
              <w:rPr>
                <w:b/>
                <w:bCs/>
                <w:rtl/>
              </w:rPr>
            </w:pPr>
            <w:r w:rsidRPr="00F129DB">
              <w:rPr>
                <w:rFonts w:hint="cs"/>
                <w:b/>
                <w:bCs/>
                <w:rtl/>
              </w:rPr>
              <w:t>רבעון 1</w:t>
            </w:r>
          </w:p>
        </w:tc>
        <w:tc>
          <w:tcPr>
            <w:tcW w:w="1183" w:type="pct"/>
            <w:shd w:val="clear" w:color="auto" w:fill="DFECEF"/>
            <w:hideMark/>
          </w:tcPr>
          <w:p w:rsidR="006734B0" w:rsidRPr="00F129DB" w:rsidP="00F129DB" w14:paraId="61257529" w14:textId="77777777">
            <w:pPr>
              <w:pStyle w:val="73R"/>
              <w:rPr>
                <w:rtl/>
              </w:rPr>
            </w:pPr>
            <w:r w:rsidRPr="00F129DB">
              <w:rPr>
                <w:rFonts w:hint="cs"/>
              </w:rPr>
              <w:t>247,582</w:t>
            </w:r>
          </w:p>
        </w:tc>
        <w:tc>
          <w:tcPr>
            <w:tcW w:w="1021" w:type="pct"/>
            <w:shd w:val="clear" w:color="auto" w:fill="DFECEF"/>
            <w:hideMark/>
          </w:tcPr>
          <w:p w:rsidR="006734B0" w:rsidRPr="00F129DB" w:rsidP="00F129DB" w14:paraId="750C9BAE" w14:textId="77777777">
            <w:pPr>
              <w:pStyle w:val="73R"/>
            </w:pPr>
            <w:r w:rsidRPr="00F129DB">
              <w:rPr>
                <w:rFonts w:hint="cs"/>
              </w:rPr>
              <w:t xml:space="preserve"> </w:t>
            </w:r>
          </w:p>
        </w:tc>
        <w:tc>
          <w:tcPr>
            <w:tcW w:w="1931" w:type="pct"/>
            <w:shd w:val="clear" w:color="auto" w:fill="DFECEF"/>
            <w:hideMark/>
          </w:tcPr>
          <w:p w:rsidR="006734B0" w:rsidRPr="00F129DB" w:rsidP="00F129DB" w14:paraId="7FBD50BA" w14:textId="77777777">
            <w:pPr>
              <w:pStyle w:val="73R"/>
            </w:pPr>
            <w:r w:rsidRPr="00F129DB">
              <w:rPr>
                <w:rFonts w:hint="cs"/>
              </w:rPr>
              <w:t>6,300</w:t>
            </w:r>
          </w:p>
        </w:tc>
      </w:tr>
      <w:tr w14:paraId="763FBA6B" w14:textId="77777777" w:rsidTr="00F129DB">
        <w:tblPrEx>
          <w:tblW w:w="5000" w:type="pct"/>
          <w:jc w:val="center"/>
          <w:shd w:val="clear" w:color="auto" w:fill="DFECEF"/>
          <w:tblLook w:val="04A0"/>
        </w:tblPrEx>
        <w:trPr>
          <w:trHeight w:val="402"/>
          <w:jc w:val="center"/>
        </w:trPr>
        <w:tc>
          <w:tcPr>
            <w:tcW w:w="865" w:type="pct"/>
            <w:shd w:val="clear" w:color="auto" w:fill="F0F8F9"/>
            <w:noWrap/>
            <w:hideMark/>
          </w:tcPr>
          <w:p w:rsidR="006734B0" w:rsidRPr="00F129DB" w:rsidP="00F129DB" w14:paraId="495E55D9" w14:textId="77777777">
            <w:pPr>
              <w:pStyle w:val="73R"/>
              <w:rPr>
                <w:b/>
                <w:bCs/>
              </w:rPr>
            </w:pPr>
            <w:r w:rsidRPr="00F129DB">
              <w:rPr>
                <w:rFonts w:hint="cs"/>
                <w:b/>
                <w:bCs/>
                <w:rtl/>
              </w:rPr>
              <w:t>רבעון 2</w:t>
            </w:r>
          </w:p>
        </w:tc>
        <w:tc>
          <w:tcPr>
            <w:tcW w:w="1183" w:type="pct"/>
            <w:shd w:val="clear" w:color="auto" w:fill="F0F8F9"/>
            <w:hideMark/>
          </w:tcPr>
          <w:p w:rsidR="006734B0" w:rsidRPr="00F129DB" w:rsidP="00F129DB" w14:paraId="43105194" w14:textId="77777777">
            <w:pPr>
              <w:pStyle w:val="73R"/>
              <w:rPr>
                <w:rtl/>
              </w:rPr>
            </w:pPr>
            <w:r w:rsidRPr="00F129DB">
              <w:rPr>
                <w:rFonts w:hint="cs"/>
              </w:rPr>
              <w:t>181,000</w:t>
            </w:r>
          </w:p>
        </w:tc>
        <w:tc>
          <w:tcPr>
            <w:tcW w:w="1021" w:type="pct"/>
            <w:shd w:val="clear" w:color="auto" w:fill="F0F8F9"/>
            <w:hideMark/>
          </w:tcPr>
          <w:p w:rsidR="006734B0" w:rsidRPr="00F129DB" w:rsidP="00F129DB" w14:paraId="64167C3F" w14:textId="77777777">
            <w:pPr>
              <w:pStyle w:val="73R"/>
            </w:pPr>
            <w:r w:rsidRPr="00F129DB">
              <w:rPr>
                <w:rFonts w:hint="cs"/>
              </w:rPr>
              <w:t xml:space="preserve"> </w:t>
            </w:r>
          </w:p>
        </w:tc>
        <w:tc>
          <w:tcPr>
            <w:tcW w:w="1931" w:type="pct"/>
            <w:shd w:val="clear" w:color="auto" w:fill="F0F8F9"/>
            <w:hideMark/>
          </w:tcPr>
          <w:p w:rsidR="006734B0" w:rsidRPr="00F129DB" w:rsidP="00F129DB" w14:paraId="4DA962CA" w14:textId="77777777">
            <w:pPr>
              <w:pStyle w:val="73R"/>
            </w:pPr>
            <w:r w:rsidRPr="00F129DB">
              <w:rPr>
                <w:rFonts w:hint="cs"/>
              </w:rPr>
              <w:t>12,000</w:t>
            </w:r>
          </w:p>
        </w:tc>
      </w:tr>
      <w:tr w14:paraId="0D20D981" w14:textId="77777777" w:rsidTr="00F129DB">
        <w:tblPrEx>
          <w:tblW w:w="5000" w:type="pct"/>
          <w:jc w:val="center"/>
          <w:shd w:val="clear" w:color="auto" w:fill="DFECEF"/>
          <w:tblLook w:val="04A0"/>
        </w:tblPrEx>
        <w:trPr>
          <w:trHeight w:val="402"/>
          <w:jc w:val="center"/>
        </w:trPr>
        <w:tc>
          <w:tcPr>
            <w:tcW w:w="865" w:type="pct"/>
            <w:shd w:val="clear" w:color="auto" w:fill="DFECEF"/>
            <w:hideMark/>
          </w:tcPr>
          <w:p w:rsidR="006734B0" w:rsidRPr="00F129DB" w:rsidP="00F129DB" w14:paraId="05DF8F50" w14:textId="77777777">
            <w:pPr>
              <w:pStyle w:val="73R"/>
              <w:rPr>
                <w:b/>
                <w:bCs/>
              </w:rPr>
            </w:pPr>
            <w:r w:rsidRPr="00F129DB">
              <w:rPr>
                <w:rFonts w:hint="cs"/>
                <w:b/>
                <w:bCs/>
                <w:rtl/>
              </w:rPr>
              <w:t>רבעון 3</w:t>
            </w:r>
          </w:p>
        </w:tc>
        <w:tc>
          <w:tcPr>
            <w:tcW w:w="1183" w:type="pct"/>
            <w:shd w:val="clear" w:color="auto" w:fill="DFECEF"/>
            <w:hideMark/>
          </w:tcPr>
          <w:p w:rsidR="006734B0" w:rsidRPr="00F129DB" w:rsidP="00F129DB" w14:paraId="6C89AE07" w14:textId="77777777">
            <w:pPr>
              <w:pStyle w:val="73R"/>
              <w:rPr>
                <w:rtl/>
              </w:rPr>
            </w:pPr>
            <w:r w:rsidRPr="00F129DB">
              <w:rPr>
                <w:rFonts w:hint="cs"/>
              </w:rPr>
              <w:t>192,000</w:t>
            </w:r>
          </w:p>
        </w:tc>
        <w:tc>
          <w:tcPr>
            <w:tcW w:w="1021" w:type="pct"/>
            <w:shd w:val="clear" w:color="auto" w:fill="DFECEF"/>
            <w:noWrap/>
            <w:hideMark/>
          </w:tcPr>
          <w:p w:rsidR="006734B0" w:rsidRPr="00F129DB" w:rsidP="00F129DB" w14:paraId="78E624B2" w14:textId="77777777">
            <w:pPr>
              <w:pStyle w:val="73R"/>
              <w:rPr>
                <w:rtl/>
              </w:rPr>
            </w:pPr>
            <w:r w:rsidRPr="00F129DB">
              <w:rPr>
                <w:rFonts w:hint="cs"/>
              </w:rPr>
              <w:t>10,000</w:t>
            </w:r>
          </w:p>
        </w:tc>
        <w:tc>
          <w:tcPr>
            <w:tcW w:w="1931" w:type="pct"/>
            <w:shd w:val="clear" w:color="auto" w:fill="DFECEF"/>
            <w:noWrap/>
            <w:hideMark/>
          </w:tcPr>
          <w:p w:rsidR="006734B0" w:rsidRPr="00F129DB" w:rsidP="00F129DB" w14:paraId="301ABF12" w14:textId="77777777">
            <w:pPr>
              <w:pStyle w:val="73R"/>
            </w:pPr>
            <w:r w:rsidRPr="00F129DB">
              <w:rPr>
                <w:rFonts w:hint="cs"/>
              </w:rPr>
              <w:t>2,000</w:t>
            </w:r>
          </w:p>
        </w:tc>
      </w:tr>
      <w:tr w14:paraId="74EE7D1F" w14:textId="77777777" w:rsidTr="00F129DB">
        <w:tblPrEx>
          <w:tblW w:w="5000" w:type="pct"/>
          <w:jc w:val="center"/>
          <w:shd w:val="clear" w:color="auto" w:fill="DFECEF"/>
          <w:tblLook w:val="04A0"/>
        </w:tblPrEx>
        <w:trPr>
          <w:trHeight w:val="402"/>
          <w:jc w:val="center"/>
        </w:trPr>
        <w:tc>
          <w:tcPr>
            <w:tcW w:w="865" w:type="pct"/>
            <w:shd w:val="clear" w:color="auto" w:fill="F0F8F9"/>
            <w:hideMark/>
          </w:tcPr>
          <w:p w:rsidR="006734B0" w:rsidRPr="00F129DB" w:rsidP="00F129DB" w14:paraId="4044D3AC" w14:textId="77777777">
            <w:pPr>
              <w:pStyle w:val="73R"/>
              <w:rPr>
                <w:b/>
                <w:bCs/>
              </w:rPr>
            </w:pPr>
            <w:r w:rsidRPr="00F129DB">
              <w:rPr>
                <w:rFonts w:hint="cs"/>
                <w:b/>
                <w:bCs/>
                <w:rtl/>
              </w:rPr>
              <w:t>רבעון 4</w:t>
            </w:r>
          </w:p>
        </w:tc>
        <w:tc>
          <w:tcPr>
            <w:tcW w:w="1183" w:type="pct"/>
            <w:shd w:val="clear" w:color="auto" w:fill="F0F8F9"/>
            <w:hideMark/>
          </w:tcPr>
          <w:p w:rsidR="006734B0" w:rsidRPr="00F129DB" w:rsidP="00F129DB" w14:paraId="2B7954F6" w14:textId="77777777">
            <w:pPr>
              <w:pStyle w:val="73R"/>
              <w:rPr>
                <w:rtl/>
              </w:rPr>
            </w:pPr>
            <w:r w:rsidRPr="00F129DB">
              <w:rPr>
                <w:rFonts w:hint="cs"/>
              </w:rPr>
              <w:t>181,000</w:t>
            </w:r>
          </w:p>
        </w:tc>
        <w:tc>
          <w:tcPr>
            <w:tcW w:w="1021" w:type="pct"/>
            <w:shd w:val="clear" w:color="auto" w:fill="F0F8F9"/>
            <w:hideMark/>
          </w:tcPr>
          <w:p w:rsidR="006734B0" w:rsidRPr="00F129DB" w:rsidP="00F129DB" w14:paraId="68BD3549" w14:textId="77777777">
            <w:pPr>
              <w:pStyle w:val="73R"/>
              <w:rPr>
                <w:rtl/>
              </w:rPr>
            </w:pPr>
            <w:r w:rsidRPr="00F129DB">
              <w:rPr>
                <w:rFonts w:hint="cs"/>
              </w:rPr>
              <w:t>31,000</w:t>
            </w:r>
          </w:p>
        </w:tc>
        <w:tc>
          <w:tcPr>
            <w:tcW w:w="1931" w:type="pct"/>
            <w:shd w:val="clear" w:color="auto" w:fill="F0F8F9"/>
            <w:hideMark/>
          </w:tcPr>
          <w:p w:rsidR="006734B0" w:rsidRPr="00F129DB" w:rsidP="00F129DB" w14:paraId="3DB21C25" w14:textId="77777777">
            <w:pPr>
              <w:pStyle w:val="73R"/>
            </w:pPr>
            <w:r w:rsidRPr="00F129DB">
              <w:rPr>
                <w:rFonts w:hint="cs"/>
              </w:rPr>
              <w:t>12,000</w:t>
            </w:r>
          </w:p>
        </w:tc>
      </w:tr>
      <w:tr w14:paraId="35F7C0EC" w14:textId="77777777" w:rsidTr="00F129DB">
        <w:tblPrEx>
          <w:tblW w:w="5000" w:type="pct"/>
          <w:jc w:val="center"/>
          <w:shd w:val="clear" w:color="auto" w:fill="DFECEF"/>
          <w:tblLook w:val="04A0"/>
        </w:tblPrEx>
        <w:trPr>
          <w:trHeight w:val="402"/>
          <w:jc w:val="center"/>
        </w:trPr>
        <w:tc>
          <w:tcPr>
            <w:tcW w:w="865" w:type="pct"/>
            <w:shd w:val="clear" w:color="auto" w:fill="DFECEF"/>
            <w:noWrap/>
            <w:hideMark/>
          </w:tcPr>
          <w:p w:rsidR="006734B0" w:rsidRPr="00F129DB" w:rsidP="00F129DB" w14:paraId="7C430B9D" w14:textId="77777777">
            <w:pPr>
              <w:pStyle w:val="73R"/>
              <w:rPr>
                <w:b/>
                <w:bCs/>
              </w:rPr>
            </w:pPr>
            <w:r w:rsidRPr="00F129DB">
              <w:rPr>
                <w:rFonts w:hint="cs"/>
                <w:b/>
                <w:bCs/>
                <w:rtl/>
              </w:rPr>
              <w:t>סה"כ</w:t>
            </w:r>
          </w:p>
        </w:tc>
        <w:tc>
          <w:tcPr>
            <w:tcW w:w="1183" w:type="pct"/>
            <w:shd w:val="clear" w:color="auto" w:fill="DFECEF"/>
            <w:noWrap/>
            <w:hideMark/>
          </w:tcPr>
          <w:p w:rsidR="006734B0" w:rsidRPr="00F129DB" w:rsidP="00F129DB" w14:paraId="332181E5" w14:textId="77777777">
            <w:pPr>
              <w:pStyle w:val="73R"/>
              <w:rPr>
                <w:b/>
                <w:bCs/>
              </w:rPr>
            </w:pPr>
            <w:r w:rsidRPr="00F129DB">
              <w:rPr>
                <w:rFonts w:hint="cs"/>
                <w:b/>
                <w:bCs/>
              </w:rPr>
              <w:t>801,582</w:t>
            </w:r>
          </w:p>
        </w:tc>
        <w:tc>
          <w:tcPr>
            <w:tcW w:w="1021" w:type="pct"/>
            <w:shd w:val="clear" w:color="auto" w:fill="DFECEF"/>
            <w:hideMark/>
          </w:tcPr>
          <w:p w:rsidR="006734B0" w:rsidRPr="00F129DB" w:rsidP="00F129DB" w14:paraId="2780EB69" w14:textId="08BB1DD5">
            <w:pPr>
              <w:pStyle w:val="73R"/>
              <w:rPr>
                <w:b/>
                <w:bCs/>
              </w:rPr>
            </w:pPr>
            <w:r>
              <w:rPr>
                <w:rFonts w:hint="cs"/>
                <w:b/>
                <w:bCs/>
                <w:rtl/>
              </w:rPr>
              <w:t>41,000</w:t>
            </w:r>
          </w:p>
        </w:tc>
        <w:tc>
          <w:tcPr>
            <w:tcW w:w="1931" w:type="pct"/>
            <w:shd w:val="clear" w:color="auto" w:fill="DFECEF"/>
            <w:noWrap/>
            <w:hideMark/>
          </w:tcPr>
          <w:p w:rsidR="006734B0" w:rsidRPr="00F129DB" w:rsidP="00F129DB" w14:paraId="17D3DDFC" w14:textId="77777777">
            <w:pPr>
              <w:pStyle w:val="73R"/>
              <w:rPr>
                <w:b/>
                <w:bCs/>
              </w:rPr>
            </w:pPr>
            <w:r w:rsidRPr="00F129DB">
              <w:rPr>
                <w:rFonts w:hint="cs"/>
                <w:b/>
                <w:bCs/>
              </w:rPr>
              <w:t>32,300</w:t>
            </w:r>
          </w:p>
        </w:tc>
      </w:tr>
    </w:tbl>
    <w:p w:rsidR="006734B0" w:rsidRPr="00F129DB" w:rsidP="00F129DB" w14:paraId="7CB0F64C" w14:textId="148274F8">
      <w:pPr>
        <w:pStyle w:val="738"/>
      </w:pPr>
      <w:r>
        <w:rPr>
          <w:rFonts w:hint="cs"/>
          <w:rtl/>
        </w:rPr>
        <w:t xml:space="preserve">המקור: </w:t>
      </w:r>
      <w:r w:rsidRPr="00F129DB">
        <w:rPr>
          <w:rFonts w:hint="cs"/>
          <w:rtl/>
        </w:rPr>
        <w:t xml:space="preserve">על פי הנתונים שמסרה </w:t>
      </w:r>
      <w:r w:rsidRPr="00F129DB">
        <w:rPr>
          <w:rFonts w:hint="cs"/>
          <w:rtl/>
        </w:rPr>
        <w:t>מי"ה</w:t>
      </w:r>
      <w:r w:rsidRPr="00F129DB">
        <w:rPr>
          <w:rFonts w:hint="cs"/>
          <w:rtl/>
        </w:rPr>
        <w:t xml:space="preserve"> למשרד </w:t>
      </w:r>
      <w:r w:rsidRPr="00F129DB">
        <w:rPr>
          <w:rFonts w:hint="cs"/>
          <w:rtl/>
        </w:rPr>
        <w:t>האנרגייה</w:t>
      </w:r>
      <w:r w:rsidRPr="00F129DB">
        <w:rPr>
          <w:rFonts w:hint="cs"/>
          <w:rtl/>
        </w:rPr>
        <w:t xml:space="preserve"> לגבי שנת 2010, בעיבוד משרד מבקר המדינה.</w:t>
      </w:r>
    </w:p>
    <w:p w:rsidR="006734B0" w:rsidRPr="00F129DB" w:rsidP="00F129DB" w14:paraId="2BE5B646" w14:textId="77777777">
      <w:pPr>
        <w:pStyle w:val="7318"/>
        <w:rPr>
          <w:rtl/>
        </w:rPr>
      </w:pPr>
      <w:r w:rsidRPr="00F129DB">
        <w:rPr>
          <w:rFonts w:hint="cs"/>
          <w:rtl/>
        </w:rPr>
        <w:t xml:space="preserve">לפי חישוב שביצע משרד מבקר המדינה בהתבסס על המחירונים של שנת 2010 ועל היקפי הכרייה </w:t>
      </w:r>
      <w:r w:rsidRPr="00F129DB">
        <w:rPr>
          <w:rFonts w:hint="cs"/>
          <w:rtl/>
        </w:rPr>
        <w:t>שמי"ה</w:t>
      </w:r>
      <w:r w:rsidRPr="00F129DB">
        <w:rPr>
          <w:rFonts w:hint="cs"/>
          <w:rtl/>
        </w:rPr>
        <w:t xml:space="preserve"> דיווחה לגביהם באותה השנה, עולה כי לו היו משרד </w:t>
      </w:r>
      <w:r w:rsidRPr="00F129DB">
        <w:rPr>
          <w:rFonts w:hint="cs"/>
          <w:rtl/>
        </w:rPr>
        <w:t>האנרגייה</w:t>
      </w:r>
      <w:r w:rsidRPr="00F129DB">
        <w:rPr>
          <w:rFonts w:hint="cs"/>
          <w:rtl/>
        </w:rPr>
        <w:t xml:space="preserve"> </w:t>
      </w:r>
      <w:r w:rsidRPr="00F129DB">
        <w:rPr>
          <w:rFonts w:hint="cs"/>
          <w:rtl/>
        </w:rPr>
        <w:t>ורמ"י</w:t>
      </w:r>
      <w:r w:rsidRPr="00F129DB">
        <w:rPr>
          <w:rFonts w:hint="cs"/>
          <w:rtl/>
        </w:rPr>
        <w:t xml:space="preserve"> גובים תשלומים בגין חומרי הכרייה המופקים בתחום הזיכיון, היקף התמלוגים </w:t>
      </w:r>
      <w:r w:rsidRPr="00F129DB">
        <w:rPr>
          <w:rFonts w:hint="cs"/>
          <w:rtl/>
        </w:rPr>
        <w:t>שמי"ה</w:t>
      </w:r>
      <w:r w:rsidRPr="00F129DB">
        <w:rPr>
          <w:rFonts w:hint="cs"/>
          <w:rtl/>
        </w:rPr>
        <w:t xml:space="preserve"> הייתה אמורה לשלם </w:t>
      </w:r>
      <w:r w:rsidRPr="00F129DB">
        <w:rPr>
          <w:rFonts w:hint="cs"/>
          <w:rtl/>
        </w:rPr>
        <w:t>לרמ"י</w:t>
      </w:r>
      <w:r w:rsidRPr="00F129DB">
        <w:rPr>
          <w:rFonts w:hint="cs"/>
          <w:rtl/>
        </w:rPr>
        <w:t xml:space="preserve"> בגין שנה זו בלבד הוא מעל 5 מיליון ש"ח, והיקף התשלומים לקרן לשיקום מחצבות לאותה השנה הוא כ-480,000 ש"ח</w:t>
      </w:r>
      <w:r>
        <w:rPr>
          <w:rStyle w:val="FootnoteReference1"/>
          <w:rtl/>
        </w:rPr>
        <w:footnoteReference w:id="44"/>
      </w:r>
      <w:r w:rsidRPr="00F129DB">
        <w:rPr>
          <w:rFonts w:hint="cs"/>
          <w:rtl/>
        </w:rPr>
        <w:t>. לשם ההמחשה יובהר כי סכומים אלו מתייחסים לשנת 2010, ו</w:t>
      </w:r>
      <w:r w:rsidRPr="00F129DB">
        <w:rPr>
          <w:rFonts w:hint="eastAsia"/>
          <w:rtl/>
        </w:rPr>
        <w:t>סכום</w:t>
      </w:r>
      <w:r w:rsidRPr="00F129DB">
        <w:rPr>
          <w:rtl/>
        </w:rPr>
        <w:t xml:space="preserve"> החיוב </w:t>
      </w:r>
      <w:r w:rsidRPr="00F129DB">
        <w:rPr>
          <w:rFonts w:hint="eastAsia"/>
          <w:rtl/>
        </w:rPr>
        <w:t>בהצמדה</w:t>
      </w:r>
      <w:r w:rsidRPr="00F129DB">
        <w:rPr>
          <w:rtl/>
        </w:rPr>
        <w:t xml:space="preserve"> למדד ובביצוע היוון נכון למועד </w:t>
      </w:r>
      <w:r w:rsidRPr="00F129DB">
        <w:rPr>
          <w:rFonts w:hint="eastAsia"/>
          <w:rtl/>
        </w:rPr>
        <w:t>סיום</w:t>
      </w:r>
      <w:r w:rsidRPr="00F129DB">
        <w:rPr>
          <w:rtl/>
        </w:rPr>
        <w:t xml:space="preserve"> </w:t>
      </w:r>
      <w:r w:rsidRPr="00F129DB">
        <w:rPr>
          <w:rFonts w:hint="eastAsia"/>
          <w:rtl/>
        </w:rPr>
        <w:t>הביקורת</w:t>
      </w:r>
      <w:r w:rsidRPr="00F129DB">
        <w:rPr>
          <w:rtl/>
        </w:rPr>
        <w:t xml:space="preserve">, </w:t>
      </w:r>
      <w:r w:rsidRPr="00F129DB">
        <w:rPr>
          <w:rFonts w:hint="eastAsia"/>
          <w:rtl/>
        </w:rPr>
        <w:t>ביוני</w:t>
      </w:r>
      <w:r w:rsidRPr="00F129DB">
        <w:rPr>
          <w:rtl/>
        </w:rPr>
        <w:t xml:space="preserve"> 2024</w:t>
      </w:r>
      <w:r w:rsidRPr="00F129DB">
        <w:rPr>
          <w:rFonts w:hint="cs"/>
          <w:rtl/>
        </w:rPr>
        <w:t>,</w:t>
      </w:r>
      <w:r w:rsidRPr="00F129DB">
        <w:rPr>
          <w:rtl/>
        </w:rPr>
        <w:t xml:space="preserve"> </w:t>
      </w:r>
      <w:r w:rsidRPr="00F129DB">
        <w:rPr>
          <w:rFonts w:hint="eastAsia"/>
          <w:rtl/>
        </w:rPr>
        <w:t>מגיע</w:t>
      </w:r>
      <w:r w:rsidRPr="00F129DB">
        <w:rPr>
          <w:rtl/>
        </w:rPr>
        <w:t xml:space="preserve"> </w:t>
      </w:r>
      <w:r w:rsidRPr="00F129DB">
        <w:rPr>
          <w:rFonts w:hint="eastAsia"/>
          <w:rtl/>
        </w:rPr>
        <w:t>ל</w:t>
      </w:r>
      <w:r w:rsidRPr="00F129DB">
        <w:rPr>
          <w:rFonts w:hint="cs"/>
          <w:rtl/>
        </w:rPr>
        <w:t xml:space="preserve">כ-11 מיליון </w:t>
      </w:r>
      <w:r w:rsidRPr="00F129DB">
        <w:rPr>
          <w:rtl/>
        </w:rPr>
        <w:t xml:space="preserve">ש"ח תמלוגי </w:t>
      </w:r>
      <w:r w:rsidRPr="00F129DB">
        <w:rPr>
          <w:rFonts w:hint="eastAsia"/>
          <w:rtl/>
        </w:rPr>
        <w:t>רמ</w:t>
      </w:r>
      <w:r w:rsidRPr="00F129DB">
        <w:rPr>
          <w:rtl/>
        </w:rPr>
        <w:t>"י</w:t>
      </w:r>
      <w:r w:rsidRPr="00F129DB">
        <w:rPr>
          <w:rtl/>
        </w:rPr>
        <w:t xml:space="preserve"> ו</w:t>
      </w:r>
      <w:r w:rsidRPr="00F129DB">
        <w:rPr>
          <w:rFonts w:hint="cs"/>
          <w:rtl/>
        </w:rPr>
        <w:t>מיליון</w:t>
      </w:r>
      <w:r w:rsidRPr="00F129DB">
        <w:rPr>
          <w:rtl/>
        </w:rPr>
        <w:t xml:space="preserve"> ש"ח ת</w:t>
      </w:r>
      <w:r w:rsidRPr="00F129DB">
        <w:rPr>
          <w:rFonts w:hint="cs"/>
          <w:rtl/>
        </w:rPr>
        <w:t>שלום</w:t>
      </w:r>
      <w:r w:rsidRPr="00F129DB">
        <w:rPr>
          <w:rtl/>
        </w:rPr>
        <w:t xml:space="preserve"> לקרן לשיקום </w:t>
      </w:r>
      <w:r w:rsidRPr="00F129DB">
        <w:rPr>
          <w:rFonts w:hint="eastAsia"/>
          <w:rtl/>
        </w:rPr>
        <w:t>מחצבות</w:t>
      </w:r>
      <w:r>
        <w:rPr>
          <w:rStyle w:val="FootnoteReference1"/>
          <w:rtl/>
        </w:rPr>
        <w:footnoteReference w:id="45"/>
      </w:r>
      <w:r w:rsidRPr="00F129DB">
        <w:rPr>
          <w:rtl/>
        </w:rPr>
        <w:t>.</w:t>
      </w:r>
      <w:r w:rsidRPr="00F129DB">
        <w:rPr>
          <w:rFonts w:hint="cs"/>
          <w:rtl/>
        </w:rPr>
        <w:t xml:space="preserve"> </w:t>
      </w:r>
    </w:p>
    <w:p w:rsidR="006734B0" w:rsidRPr="00F129DB" w:rsidP="00F129DB" w14:paraId="268E6E3A" w14:textId="47FFEE54">
      <w:pPr>
        <w:pStyle w:val="7318"/>
        <w:rPr>
          <w:rtl/>
        </w:rPr>
      </w:pPr>
      <w:r w:rsidRPr="00F129DB">
        <w:rPr>
          <w:rFonts w:hint="cs"/>
          <w:rtl/>
        </w:rPr>
        <w:t xml:space="preserve">כאמור, אין בידי משרד </w:t>
      </w:r>
      <w:r w:rsidRPr="00F129DB">
        <w:rPr>
          <w:rFonts w:hint="cs"/>
          <w:rtl/>
        </w:rPr>
        <w:t>האנרגייה</w:t>
      </w:r>
      <w:r w:rsidRPr="00F129DB">
        <w:rPr>
          <w:rFonts w:hint="cs"/>
          <w:rtl/>
        </w:rPr>
        <w:t xml:space="preserve"> נתונים על היקפי הכרייה של </w:t>
      </w:r>
      <w:r w:rsidRPr="00F129DB">
        <w:rPr>
          <w:rFonts w:hint="cs"/>
          <w:rtl/>
        </w:rPr>
        <w:t>מי"ה</w:t>
      </w:r>
      <w:r w:rsidRPr="00F129DB">
        <w:rPr>
          <w:rFonts w:hint="cs"/>
          <w:rtl/>
        </w:rPr>
        <w:t xml:space="preserve"> לאורך השנים, ואולם </w:t>
      </w:r>
      <w:r w:rsidR="00727D4C">
        <w:rPr>
          <w:rFonts w:hint="cs"/>
          <w:rtl/>
        </w:rPr>
        <w:t>בהנחה</w:t>
      </w:r>
      <w:r w:rsidRPr="00F129DB">
        <w:rPr>
          <w:rFonts w:hint="cs"/>
          <w:rtl/>
        </w:rPr>
        <w:t xml:space="preserve"> שנתוני הכרייה </w:t>
      </w:r>
      <w:r w:rsidRPr="00F129DB">
        <w:rPr>
          <w:rFonts w:hint="cs"/>
          <w:rtl/>
        </w:rPr>
        <w:t>שמי"ה</w:t>
      </w:r>
      <w:r w:rsidRPr="00F129DB">
        <w:rPr>
          <w:rFonts w:hint="cs"/>
          <w:rtl/>
        </w:rPr>
        <w:t xml:space="preserve"> העבירה לגבי שנת 2010 הם נתונים מייצגים, הרי אומדן הפסד הכנסות המדינה והקרן לשיקום מחצבות במהלך העשור האחרון</w:t>
      </w:r>
      <w:r>
        <w:rPr>
          <w:rStyle w:val="FootnoteReference1"/>
          <w:rtl/>
        </w:rPr>
        <w:footnoteReference w:id="46"/>
      </w:r>
      <w:r w:rsidRPr="00F129DB">
        <w:rPr>
          <w:rFonts w:hint="cs"/>
          <w:rtl/>
        </w:rPr>
        <w:t xml:space="preserve"> מאי-גביית תשלום </w:t>
      </w:r>
      <w:r w:rsidRPr="00F129DB">
        <w:rPr>
          <w:rFonts w:hint="cs"/>
          <w:rtl/>
        </w:rPr>
        <w:t>ממי"ה</w:t>
      </w:r>
      <w:r w:rsidRPr="00F129DB">
        <w:rPr>
          <w:rFonts w:hint="cs"/>
          <w:rtl/>
        </w:rPr>
        <w:t>, עשוי להגיע לאחר היוונם ליותר מ-120 מיליון ש"ח (כ-</w:t>
      </w:r>
      <w:r w:rsidRPr="00F129DB">
        <w:rPr>
          <w:rtl/>
        </w:rPr>
        <w:t xml:space="preserve">112 </w:t>
      </w:r>
      <w:r w:rsidRPr="00F129DB">
        <w:rPr>
          <w:rFonts w:hint="eastAsia"/>
          <w:rtl/>
        </w:rPr>
        <w:t>מיליון</w:t>
      </w:r>
      <w:r w:rsidRPr="00F129DB">
        <w:rPr>
          <w:rFonts w:hint="cs"/>
          <w:rtl/>
        </w:rPr>
        <w:t xml:space="preserve"> ש"ח תמלוגים </w:t>
      </w:r>
      <w:r w:rsidRPr="00F129DB">
        <w:rPr>
          <w:rFonts w:hint="cs"/>
          <w:rtl/>
        </w:rPr>
        <w:t>לרמ"י</w:t>
      </w:r>
      <w:r w:rsidRPr="00F129DB">
        <w:rPr>
          <w:rFonts w:hint="cs"/>
          <w:rtl/>
        </w:rPr>
        <w:t xml:space="preserve"> ויותר מ-8.5 מיליון ש"ח תשלומים לקרן לשיקום מחצבות)</w:t>
      </w:r>
      <w:r>
        <w:rPr>
          <w:rStyle w:val="FootnoteReference1"/>
          <w:rtl/>
        </w:rPr>
        <w:footnoteReference w:id="47"/>
      </w:r>
      <w:r w:rsidRPr="00F129DB">
        <w:rPr>
          <w:rFonts w:hint="cs"/>
          <w:rtl/>
        </w:rPr>
        <w:t xml:space="preserve">. </w:t>
      </w:r>
      <w:r w:rsidRPr="00F129DB">
        <w:rPr>
          <w:rFonts w:hint="eastAsia"/>
          <w:rtl/>
        </w:rPr>
        <w:t>מכל</w:t>
      </w:r>
      <w:r w:rsidRPr="00F129DB">
        <w:rPr>
          <w:rtl/>
        </w:rPr>
        <w:t xml:space="preserve"> מקום יובהר כי החלטה לדרוש </w:t>
      </w:r>
      <w:r w:rsidRPr="00F129DB">
        <w:rPr>
          <w:rFonts w:hint="eastAsia"/>
          <w:rtl/>
        </w:rPr>
        <w:t>ממי</w:t>
      </w:r>
      <w:r w:rsidRPr="00F129DB">
        <w:rPr>
          <w:rtl/>
        </w:rPr>
        <w:t>"ה</w:t>
      </w:r>
      <w:r w:rsidRPr="00F129DB">
        <w:rPr>
          <w:rtl/>
        </w:rPr>
        <w:t xml:space="preserve"> </w:t>
      </w:r>
      <w:r w:rsidRPr="00F129DB">
        <w:rPr>
          <w:rFonts w:hint="eastAsia"/>
          <w:rtl/>
        </w:rPr>
        <w:t>תשלום</w:t>
      </w:r>
      <w:r w:rsidRPr="00F129DB">
        <w:rPr>
          <w:rtl/>
        </w:rPr>
        <w:t xml:space="preserve"> בגין פעולות הכרייה שלה </w:t>
      </w:r>
      <w:r w:rsidRPr="00F129DB">
        <w:rPr>
          <w:rFonts w:hint="cs"/>
          <w:rtl/>
        </w:rPr>
        <w:t xml:space="preserve">תצטרך להתקבל </w:t>
      </w:r>
      <w:r w:rsidR="00727D4C">
        <w:rPr>
          <w:rFonts w:hint="cs"/>
          <w:rtl/>
        </w:rPr>
        <w:t>על ידי</w:t>
      </w:r>
      <w:r w:rsidRPr="00F129DB">
        <w:rPr>
          <w:rFonts w:hint="cs"/>
          <w:rtl/>
        </w:rPr>
        <w:t xml:space="preserve"> משרד </w:t>
      </w:r>
      <w:r w:rsidRPr="00F129DB">
        <w:rPr>
          <w:rFonts w:hint="cs"/>
          <w:rtl/>
        </w:rPr>
        <w:t>האנרגייה</w:t>
      </w:r>
      <w:r w:rsidRPr="00F129DB">
        <w:rPr>
          <w:rFonts w:hint="cs"/>
          <w:rtl/>
        </w:rPr>
        <w:t xml:space="preserve"> </w:t>
      </w:r>
      <w:r w:rsidRPr="00F129DB">
        <w:rPr>
          <w:rFonts w:hint="cs"/>
          <w:rtl/>
        </w:rPr>
        <w:t>ורמ"י</w:t>
      </w:r>
      <w:r w:rsidRPr="00F129DB">
        <w:rPr>
          <w:rFonts w:hint="cs"/>
          <w:rtl/>
        </w:rPr>
        <w:t xml:space="preserve">, והחישוב של הסכום, </w:t>
      </w:r>
      <w:r w:rsidR="00727D4C">
        <w:rPr>
          <w:rFonts w:hint="cs"/>
          <w:rtl/>
        </w:rPr>
        <w:t>וכך</w:t>
      </w:r>
      <w:r w:rsidRPr="00F129DB">
        <w:rPr>
          <w:rFonts w:hint="cs"/>
          <w:rtl/>
        </w:rPr>
        <w:t xml:space="preserve"> גם </w:t>
      </w:r>
      <w:r w:rsidR="00727D4C">
        <w:rPr>
          <w:rFonts w:hint="cs"/>
          <w:rtl/>
        </w:rPr>
        <w:t xml:space="preserve">קביעת </w:t>
      </w:r>
      <w:r w:rsidRPr="00F129DB">
        <w:rPr>
          <w:rFonts w:hint="cs"/>
          <w:rtl/>
        </w:rPr>
        <w:t xml:space="preserve">התקופה </w:t>
      </w:r>
      <w:r w:rsidR="00727D4C">
        <w:rPr>
          <w:rFonts w:hint="cs"/>
          <w:rtl/>
        </w:rPr>
        <w:t>ש</w:t>
      </w:r>
      <w:r w:rsidRPr="00F129DB">
        <w:rPr>
          <w:rFonts w:hint="cs"/>
          <w:rtl/>
        </w:rPr>
        <w:t>בגינה יש לבצע את הגבייה ייעש</w:t>
      </w:r>
      <w:r w:rsidR="00784B1E">
        <w:rPr>
          <w:rFonts w:hint="cs"/>
          <w:rtl/>
        </w:rPr>
        <w:t>ו</w:t>
      </w:r>
      <w:r w:rsidRPr="00F129DB">
        <w:rPr>
          <w:rFonts w:hint="cs"/>
          <w:rtl/>
        </w:rPr>
        <w:t xml:space="preserve"> על</w:t>
      </w:r>
      <w:r w:rsidR="00727D4C">
        <w:rPr>
          <w:rFonts w:hint="cs"/>
          <w:rtl/>
        </w:rPr>
        <w:t xml:space="preserve"> </w:t>
      </w:r>
      <w:r w:rsidRPr="00F129DB">
        <w:rPr>
          <w:rFonts w:hint="cs"/>
          <w:rtl/>
        </w:rPr>
        <w:t>יד</w:t>
      </w:r>
      <w:r w:rsidR="00727D4C">
        <w:rPr>
          <w:rFonts w:hint="cs"/>
          <w:rtl/>
        </w:rPr>
        <w:t>יה</w:t>
      </w:r>
      <w:r w:rsidRPr="00F129DB">
        <w:rPr>
          <w:rFonts w:hint="cs"/>
          <w:rtl/>
        </w:rPr>
        <w:t xml:space="preserve">ם, </w:t>
      </w:r>
      <w:r w:rsidRPr="00F129DB">
        <w:rPr>
          <w:rFonts w:hint="eastAsia"/>
          <w:rtl/>
        </w:rPr>
        <w:t>בהתאם</w:t>
      </w:r>
      <w:r w:rsidRPr="00F129DB">
        <w:rPr>
          <w:rtl/>
        </w:rPr>
        <w:t xml:space="preserve"> </w:t>
      </w:r>
      <w:r w:rsidRPr="00F129DB">
        <w:rPr>
          <w:rFonts w:hint="eastAsia"/>
          <w:rtl/>
        </w:rPr>
        <w:t>להוראות</w:t>
      </w:r>
      <w:r w:rsidRPr="00F129DB">
        <w:rPr>
          <w:rtl/>
        </w:rPr>
        <w:t xml:space="preserve"> </w:t>
      </w:r>
      <w:r w:rsidRPr="00F129DB">
        <w:rPr>
          <w:rFonts w:hint="eastAsia"/>
          <w:rtl/>
        </w:rPr>
        <w:t>כל</w:t>
      </w:r>
      <w:r w:rsidRPr="00F129DB">
        <w:rPr>
          <w:rtl/>
        </w:rPr>
        <w:t xml:space="preserve"> </w:t>
      </w:r>
      <w:r w:rsidRPr="00F129DB">
        <w:rPr>
          <w:rFonts w:hint="eastAsia"/>
          <w:rtl/>
        </w:rPr>
        <w:t>דין</w:t>
      </w:r>
      <w:r w:rsidRPr="00F129DB">
        <w:rPr>
          <w:rFonts w:hint="cs"/>
          <w:rtl/>
        </w:rPr>
        <w:t>.</w:t>
      </w:r>
    </w:p>
    <w:p w:rsidR="006734B0" w:rsidRPr="00F129DB" w:rsidP="00F129DB" w14:paraId="412775E5" w14:textId="77777777">
      <w:pPr>
        <w:pStyle w:val="7392"/>
        <w:rPr>
          <w:rtl/>
        </w:rPr>
      </w:pPr>
      <w:r w:rsidRPr="00F129DB">
        <w:rPr>
          <w:rFonts w:hint="cs"/>
          <w:rtl/>
        </w:rPr>
        <w:t xml:space="preserve">משרד </w:t>
      </w:r>
      <w:r w:rsidRPr="00F129DB">
        <w:rPr>
          <w:rFonts w:hint="cs"/>
          <w:rtl/>
        </w:rPr>
        <w:t>האנרגייה</w:t>
      </w:r>
      <w:r w:rsidRPr="00F129DB">
        <w:rPr>
          <w:rFonts w:hint="cs"/>
          <w:rtl/>
        </w:rPr>
        <w:t xml:space="preserve"> מסר בתשובתו למשרד מבקר המדינה כי אין קביעה ולפיה הסדר פקודת המכרות חל או יחול לאחר תום הוראת השעה, וכי ההפניה בהוראות השעה לפקודה הייתה רק לעניין חישוב סכומי התשלומים. </w:t>
      </w:r>
      <w:r w:rsidRPr="00F129DB">
        <w:rPr>
          <w:rFonts w:hint="eastAsia"/>
          <w:rtl/>
        </w:rPr>
        <w:t>עוד</w:t>
      </w:r>
      <w:r w:rsidRPr="00F129DB">
        <w:rPr>
          <w:rtl/>
        </w:rPr>
        <w:t xml:space="preserve"> ציין המשרד כי </w:t>
      </w:r>
      <w:r w:rsidRPr="00F129DB">
        <w:rPr>
          <w:rFonts w:hint="cs"/>
          <w:rtl/>
        </w:rPr>
        <w:t xml:space="preserve">קבלת תשלום בגין </w:t>
      </w:r>
      <w:r w:rsidRPr="00F129DB">
        <w:rPr>
          <w:rtl/>
        </w:rPr>
        <w:t xml:space="preserve">הפקת </w:t>
      </w:r>
      <w:r w:rsidRPr="00F129DB">
        <w:rPr>
          <w:rFonts w:hint="eastAsia"/>
          <w:rtl/>
        </w:rPr>
        <w:t>חומרי</w:t>
      </w:r>
      <w:r w:rsidRPr="00F129DB">
        <w:rPr>
          <w:rtl/>
        </w:rPr>
        <w:t xml:space="preserve"> </w:t>
      </w:r>
      <w:r w:rsidRPr="00F129DB">
        <w:rPr>
          <w:rFonts w:hint="eastAsia"/>
          <w:rtl/>
        </w:rPr>
        <w:t>גלם</w:t>
      </w:r>
      <w:r w:rsidRPr="00F129DB">
        <w:rPr>
          <w:rtl/>
        </w:rPr>
        <w:t xml:space="preserve"> </w:t>
      </w:r>
      <w:r w:rsidRPr="00F129DB">
        <w:rPr>
          <w:rFonts w:hint="eastAsia"/>
          <w:rtl/>
        </w:rPr>
        <w:t>הי</w:t>
      </w:r>
      <w:r w:rsidRPr="00F129DB">
        <w:rPr>
          <w:rFonts w:hint="cs"/>
          <w:rtl/>
        </w:rPr>
        <w:t>א</w:t>
      </w:r>
      <w:r w:rsidRPr="00F129DB">
        <w:rPr>
          <w:rtl/>
        </w:rPr>
        <w:t xml:space="preserve"> </w:t>
      </w:r>
      <w:r w:rsidRPr="00F129DB">
        <w:rPr>
          <w:rFonts w:hint="eastAsia"/>
          <w:rtl/>
        </w:rPr>
        <w:t>באחריות</w:t>
      </w:r>
      <w:r w:rsidRPr="00F129DB">
        <w:rPr>
          <w:rtl/>
        </w:rPr>
        <w:t xml:space="preserve"> </w:t>
      </w:r>
      <w:r w:rsidRPr="00F129DB">
        <w:rPr>
          <w:rFonts w:hint="eastAsia"/>
          <w:rtl/>
        </w:rPr>
        <w:t>רמ</w:t>
      </w:r>
      <w:r w:rsidRPr="00F129DB">
        <w:rPr>
          <w:rtl/>
        </w:rPr>
        <w:t>"י</w:t>
      </w:r>
      <w:r w:rsidRPr="00F129DB">
        <w:rPr>
          <w:rFonts w:hint="cs"/>
          <w:rtl/>
        </w:rPr>
        <w:t xml:space="preserve">, וכי </w:t>
      </w:r>
      <w:r w:rsidRPr="00F129DB">
        <w:rPr>
          <w:rFonts w:hint="cs"/>
          <w:rtl/>
        </w:rPr>
        <w:t>מי"ה</w:t>
      </w:r>
      <w:r w:rsidRPr="00F129DB">
        <w:rPr>
          <w:rFonts w:hint="cs"/>
          <w:rtl/>
        </w:rPr>
        <w:t xml:space="preserve"> מחויבת לשקם בעצמה את אתרי הכרייה ולשלם עבור השיקום, כך שמתקיים עקרון "המזהם משלם" וכי לדעתו תשלום לקרן לשיקום מחצבות ושיקום באמצעותה אינה הדרך המיטבית להשיג את מטרת השיקום. </w:t>
      </w:r>
    </w:p>
    <w:p w:rsidR="006734B0" w:rsidP="00F129DB" w14:paraId="21E2AF54" w14:textId="584B3A9E">
      <w:pPr>
        <w:pStyle w:val="7392"/>
        <w:rPr>
          <w:rtl/>
        </w:rPr>
      </w:pPr>
      <w:r>
        <w:rPr>
          <w:rFonts w:hint="cs"/>
          <w:rtl/>
        </w:rPr>
        <w:t>רמ"י</w:t>
      </w:r>
      <w:r>
        <w:rPr>
          <w:rFonts w:hint="cs"/>
          <w:rtl/>
        </w:rPr>
        <w:t xml:space="preserve"> </w:t>
      </w:r>
      <w:r w:rsidRPr="00727D4C" w:rsidR="00727D4C">
        <w:rPr>
          <w:rtl/>
        </w:rPr>
        <w:t xml:space="preserve">מסרה בתשובתה למשרד מבקר המדינה מספטמבר 2024 (להלן - תשובת </w:t>
      </w:r>
      <w:r w:rsidRPr="00727D4C" w:rsidR="00727D4C">
        <w:rPr>
          <w:rtl/>
        </w:rPr>
        <w:t>רמ"י</w:t>
      </w:r>
      <w:r w:rsidRPr="00727D4C" w:rsidR="00727D4C">
        <w:rPr>
          <w:rtl/>
        </w:rPr>
        <w:t xml:space="preserve">) כי אין לה אחריות או נגיעה בקשר לחומרי הגלם הנכרים מכוח שטר </w:t>
      </w:r>
      <w:r>
        <w:rPr>
          <w:rFonts w:hint="cs"/>
          <w:rtl/>
        </w:rPr>
        <w:t>הזיכיון.</w:t>
      </w:r>
      <w:r>
        <w:rPr>
          <w:rFonts w:cs="David" w:hint="cs"/>
          <w:rtl/>
        </w:rPr>
        <w:t xml:space="preserve"> </w:t>
      </w:r>
    </w:p>
    <w:p w:rsidR="006734B0" w:rsidRPr="00967247" w:rsidP="00F129DB" w14:paraId="106CFAE4" w14:textId="26B169C7">
      <w:pPr>
        <w:pStyle w:val="7392"/>
        <w:rPr>
          <w:rtl/>
        </w:rPr>
      </w:pPr>
      <w:r w:rsidRPr="00F129DB">
        <w:rPr>
          <w:rFonts w:hint="eastAsia"/>
          <w:rtl/>
        </w:rPr>
        <w:t>מי</w:t>
      </w:r>
      <w:r w:rsidRPr="00F129DB">
        <w:rPr>
          <w:rtl/>
        </w:rPr>
        <w:t>"ה</w:t>
      </w:r>
      <w:r w:rsidRPr="00F129DB">
        <w:rPr>
          <w:rtl/>
        </w:rPr>
        <w:t xml:space="preserve"> מסרה בתשובתה </w:t>
      </w:r>
      <w:r w:rsidRPr="00F129DB">
        <w:rPr>
          <w:rFonts w:hint="eastAsia"/>
          <w:rtl/>
        </w:rPr>
        <w:t>כי</w:t>
      </w:r>
      <w:r w:rsidRPr="00F129DB">
        <w:rPr>
          <w:rtl/>
        </w:rPr>
        <w:t xml:space="preserve"> </w:t>
      </w:r>
      <w:r w:rsidRPr="00F129DB">
        <w:rPr>
          <w:rFonts w:hint="eastAsia"/>
          <w:rtl/>
        </w:rPr>
        <w:t>הפרשת</w:t>
      </w:r>
      <w:r w:rsidRPr="00F129DB">
        <w:rPr>
          <w:rtl/>
        </w:rPr>
        <w:t xml:space="preserve"> </w:t>
      </w:r>
      <w:r w:rsidRPr="00F129DB">
        <w:rPr>
          <w:rFonts w:hint="eastAsia"/>
          <w:rtl/>
        </w:rPr>
        <w:t>הכספים</w:t>
      </w:r>
      <w:r w:rsidRPr="00F129DB">
        <w:rPr>
          <w:rtl/>
        </w:rPr>
        <w:t xml:space="preserve"> </w:t>
      </w:r>
      <w:r w:rsidRPr="00F129DB">
        <w:rPr>
          <w:rFonts w:hint="eastAsia"/>
          <w:rtl/>
        </w:rPr>
        <w:t>לקרן</w:t>
      </w:r>
      <w:r w:rsidRPr="00F129DB">
        <w:rPr>
          <w:rtl/>
        </w:rPr>
        <w:t xml:space="preserve"> </w:t>
      </w:r>
      <w:r w:rsidRPr="00F129DB">
        <w:rPr>
          <w:rFonts w:hint="eastAsia"/>
          <w:rtl/>
        </w:rPr>
        <w:t>לשיקום</w:t>
      </w:r>
      <w:r w:rsidRPr="00F129DB">
        <w:rPr>
          <w:rtl/>
        </w:rPr>
        <w:t xml:space="preserve"> </w:t>
      </w:r>
      <w:r w:rsidRPr="00F129DB">
        <w:rPr>
          <w:rFonts w:hint="eastAsia"/>
          <w:rtl/>
        </w:rPr>
        <w:t>אתרי</w:t>
      </w:r>
      <w:r w:rsidRPr="00F129DB">
        <w:rPr>
          <w:rtl/>
        </w:rPr>
        <w:t xml:space="preserve"> </w:t>
      </w:r>
      <w:r w:rsidRPr="00F129DB">
        <w:rPr>
          <w:rFonts w:hint="eastAsia"/>
          <w:rtl/>
        </w:rPr>
        <w:t>ים</w:t>
      </w:r>
      <w:r w:rsidRPr="00F129DB">
        <w:rPr>
          <w:rtl/>
        </w:rPr>
        <w:t xml:space="preserve"> </w:t>
      </w:r>
      <w:r w:rsidRPr="00F129DB">
        <w:rPr>
          <w:rFonts w:hint="eastAsia"/>
          <w:rtl/>
        </w:rPr>
        <w:t>המלח</w:t>
      </w:r>
      <w:r w:rsidRPr="00F129DB">
        <w:rPr>
          <w:rtl/>
        </w:rPr>
        <w:t xml:space="preserve"> </w:t>
      </w:r>
      <w:r w:rsidRPr="00F129DB">
        <w:rPr>
          <w:rFonts w:hint="eastAsia"/>
          <w:rtl/>
        </w:rPr>
        <w:t>בהתאם</w:t>
      </w:r>
      <w:r w:rsidRPr="00F129DB">
        <w:rPr>
          <w:rtl/>
        </w:rPr>
        <w:t xml:space="preserve"> </w:t>
      </w:r>
      <w:r w:rsidRPr="00F129DB">
        <w:rPr>
          <w:rFonts w:hint="eastAsia"/>
          <w:rtl/>
        </w:rPr>
        <w:t>לחוק</w:t>
      </w:r>
      <w:r w:rsidRPr="00F129DB">
        <w:rPr>
          <w:rtl/>
        </w:rPr>
        <w:t xml:space="preserve"> </w:t>
      </w:r>
      <w:r w:rsidRPr="00F129DB">
        <w:rPr>
          <w:rFonts w:hint="eastAsia"/>
          <w:rtl/>
        </w:rPr>
        <w:t>הוראות</w:t>
      </w:r>
      <w:r w:rsidRPr="00F129DB">
        <w:rPr>
          <w:rtl/>
        </w:rPr>
        <w:t xml:space="preserve"> </w:t>
      </w:r>
      <w:r w:rsidRPr="00F129DB">
        <w:rPr>
          <w:rFonts w:hint="eastAsia"/>
          <w:rtl/>
        </w:rPr>
        <w:t>השעה</w:t>
      </w:r>
      <w:r w:rsidRPr="00F129DB">
        <w:rPr>
          <w:rtl/>
        </w:rPr>
        <w:t xml:space="preserve"> </w:t>
      </w:r>
      <w:r w:rsidRPr="00F129DB">
        <w:rPr>
          <w:rFonts w:hint="eastAsia"/>
          <w:rtl/>
        </w:rPr>
        <w:t>נועדה</w:t>
      </w:r>
      <w:r w:rsidRPr="00F129DB">
        <w:rPr>
          <w:rtl/>
        </w:rPr>
        <w:t xml:space="preserve"> </w:t>
      </w:r>
      <w:r w:rsidRPr="00F129DB">
        <w:rPr>
          <w:rFonts w:hint="eastAsia"/>
          <w:rtl/>
        </w:rPr>
        <w:t>לממן</w:t>
      </w:r>
      <w:r w:rsidRPr="00F129DB">
        <w:rPr>
          <w:rtl/>
        </w:rPr>
        <w:t xml:space="preserve"> </w:t>
      </w:r>
      <w:r w:rsidRPr="00F129DB">
        <w:rPr>
          <w:rFonts w:hint="eastAsia"/>
          <w:rtl/>
        </w:rPr>
        <w:t>את</w:t>
      </w:r>
      <w:r w:rsidRPr="00F129DB">
        <w:rPr>
          <w:rtl/>
        </w:rPr>
        <w:t xml:space="preserve"> </w:t>
      </w:r>
      <w:r w:rsidR="00B92DE5">
        <w:rPr>
          <w:rFonts w:hint="cs"/>
          <w:rtl/>
        </w:rPr>
        <w:t xml:space="preserve">שיקום </w:t>
      </w:r>
      <w:r w:rsidRPr="00F129DB">
        <w:rPr>
          <w:rFonts w:hint="eastAsia"/>
          <w:rtl/>
        </w:rPr>
        <w:t>מפגעי</w:t>
      </w:r>
      <w:r w:rsidRPr="00F129DB">
        <w:rPr>
          <w:rtl/>
        </w:rPr>
        <w:t xml:space="preserve"> </w:t>
      </w:r>
      <w:r w:rsidRPr="00F129DB">
        <w:rPr>
          <w:rFonts w:hint="eastAsia"/>
          <w:rtl/>
        </w:rPr>
        <w:t>העבר</w:t>
      </w:r>
      <w:r w:rsidRPr="00F129DB">
        <w:rPr>
          <w:rtl/>
        </w:rPr>
        <w:t xml:space="preserve"> </w:t>
      </w:r>
      <w:r w:rsidRPr="00F129DB">
        <w:rPr>
          <w:rFonts w:hint="eastAsia"/>
          <w:rtl/>
        </w:rPr>
        <w:t>שנוצרו</w:t>
      </w:r>
      <w:r w:rsidRPr="00F129DB">
        <w:rPr>
          <w:rtl/>
        </w:rPr>
        <w:t>;</w:t>
      </w:r>
      <w:r w:rsidRPr="00F129DB">
        <w:rPr>
          <w:rFonts w:hint="cs"/>
          <w:rtl/>
        </w:rPr>
        <w:t xml:space="preserve"> </w:t>
      </w:r>
      <w:r w:rsidRPr="00F129DB">
        <w:rPr>
          <w:rtl/>
        </w:rPr>
        <w:t>כי לפי חוק הזיכיון, התגמולים שהיא משלמת הם עבור כלל הזכויות המוענקות לה ע</w:t>
      </w:r>
      <w:r w:rsidRPr="00F129DB">
        <w:rPr>
          <w:rFonts w:hint="cs"/>
          <w:rtl/>
        </w:rPr>
        <w:t>ל פי</w:t>
      </w:r>
      <w:r w:rsidRPr="00F129DB">
        <w:rPr>
          <w:rtl/>
        </w:rPr>
        <w:t xml:space="preserve"> הזיכיון ובכללן </w:t>
      </w:r>
      <w:r w:rsidRPr="00F129DB">
        <w:rPr>
          <w:rFonts w:hint="cs"/>
          <w:rtl/>
        </w:rPr>
        <w:t>גם</w:t>
      </w:r>
      <w:r w:rsidRPr="00F129DB">
        <w:rPr>
          <w:rtl/>
        </w:rPr>
        <w:t xml:space="preserve"> </w:t>
      </w:r>
      <w:r w:rsidRPr="00F129DB">
        <w:rPr>
          <w:rFonts w:hint="cs"/>
          <w:rtl/>
        </w:rPr>
        <w:t>הזכויות הנוגעות לכריית חומרים</w:t>
      </w:r>
      <w:r w:rsidRPr="00F129DB">
        <w:rPr>
          <w:rtl/>
        </w:rPr>
        <w:t>, למעט החכירות הנזכרות בסעיף 6 לחוק הזיכיון</w:t>
      </w:r>
      <w:r>
        <w:rPr>
          <w:vertAlign w:val="superscript"/>
          <w:rtl/>
        </w:rPr>
        <w:footnoteReference w:id="48"/>
      </w:r>
      <w:r w:rsidRPr="00F129DB">
        <w:rPr>
          <w:rtl/>
        </w:rPr>
        <w:t>.</w:t>
      </w:r>
      <w:r w:rsidRPr="00F129DB">
        <w:rPr>
          <w:rFonts w:hint="cs"/>
          <w:rtl/>
        </w:rPr>
        <w:t xml:space="preserve"> </w:t>
      </w:r>
      <w:r w:rsidRPr="00727D4C" w:rsidR="00727D4C">
        <w:rPr>
          <w:rtl/>
        </w:rPr>
        <w:t xml:space="preserve">עוד טענה כי גביית תשלומים תהיה מנוגדת לעמדה הרשמית והסדורה של המדינה, כפי שעלתה במסגרת הדיון בבג"ץ שמתנהל לגבי חיובה בדמי מים; כי שנת 2010 אינה שנה מייצגת מבחינת כמויות הכרייה במהלכה, וכי כמויות הכרייה מאז פחתו משמעותית; כי התוכניות הסטטוטוריות שהתאשרו לגבי שטחי הכרייה בשטח הזיכיון לאחר מכן קבעו הוראות שיקום מובנות החלות על </w:t>
      </w:r>
      <w:r w:rsidRPr="00727D4C" w:rsidR="00727D4C">
        <w:rPr>
          <w:rtl/>
        </w:rPr>
        <w:t>מי"ה</w:t>
      </w:r>
      <w:r w:rsidRPr="00727D4C" w:rsidR="00727D4C">
        <w:rPr>
          <w:rtl/>
        </w:rPr>
        <w:t xml:space="preserve">, ולפיכך לא נדרשה המדינה להטיל על </w:t>
      </w:r>
      <w:r w:rsidRPr="00727D4C" w:rsidR="00727D4C">
        <w:rPr>
          <w:rtl/>
        </w:rPr>
        <w:t>מי"ה</w:t>
      </w:r>
      <w:r w:rsidRPr="00727D4C" w:rsidR="00727D4C">
        <w:rPr>
          <w:rtl/>
        </w:rPr>
        <w:t xml:space="preserve"> בחקיקה חובת הפרשת כספים נוספת; וכי העובדה שהגופים המבוקרים לא גבו ממנה תשלומים במשך עשרות שנים היא אינדיקציה חשובה לתקינות התנהלותם ויצרה הסתמכות של</w:t>
      </w:r>
      <w:r w:rsidRPr="00F129DB">
        <w:rPr>
          <w:rtl/>
        </w:rPr>
        <w:t xml:space="preserve"> </w:t>
      </w:r>
      <w:r w:rsidRPr="00F129DB">
        <w:rPr>
          <w:rtl/>
        </w:rPr>
        <w:t>מי"ה</w:t>
      </w:r>
      <w:r w:rsidRPr="00F129DB">
        <w:rPr>
          <w:rtl/>
        </w:rPr>
        <w:t xml:space="preserve">. </w:t>
      </w:r>
    </w:p>
    <w:p w:rsidR="006734B0" w:rsidRPr="00897627" w:rsidP="00F129DB" w14:paraId="3FE1BA58" w14:textId="4DFB552F">
      <w:pPr>
        <w:pStyle w:val="7392"/>
        <w:rPr>
          <w:rtl/>
        </w:rPr>
      </w:pPr>
      <w:r w:rsidRPr="0099234F">
        <w:rPr>
          <w:rFonts w:hint="cs"/>
          <w:rtl/>
        </w:rPr>
        <w:t>משרד מבקר המדינה מציין כי התשובות שהתקבלו המובאות לעיל מלמדות יותר מכ</w:t>
      </w:r>
      <w:r>
        <w:rPr>
          <w:rFonts w:hint="cs"/>
          <w:rtl/>
        </w:rPr>
        <w:t>ו</w:t>
      </w:r>
      <w:r w:rsidRPr="0099234F">
        <w:rPr>
          <w:rFonts w:hint="cs"/>
          <w:rtl/>
        </w:rPr>
        <w:t>ל על היעדר</w:t>
      </w:r>
      <w:r>
        <w:rPr>
          <w:rFonts w:hint="cs"/>
          <w:rtl/>
        </w:rPr>
        <w:t xml:space="preserve"> האסדרה בנוגע לפעולות הכרייה המבוצעות בשטח הזיכיון: בעוד </w:t>
      </w:r>
      <w:r>
        <w:rPr>
          <w:rFonts w:hint="cs"/>
          <w:rtl/>
        </w:rPr>
        <w:t>רמ"י</w:t>
      </w:r>
      <w:r>
        <w:rPr>
          <w:rFonts w:hint="cs"/>
          <w:rtl/>
        </w:rPr>
        <w:t xml:space="preserve"> מציינת כי היא אינה אחראית לחומרי הגלם הנכרים מכוח שטר הזיכיון, משרד </w:t>
      </w:r>
      <w:r>
        <w:rPr>
          <w:rFonts w:hint="cs"/>
          <w:rtl/>
        </w:rPr>
        <w:t>האנרגייה</w:t>
      </w:r>
      <w:r>
        <w:rPr>
          <w:rFonts w:hint="cs"/>
          <w:rtl/>
        </w:rPr>
        <w:t xml:space="preserve"> סבור כי הפקת חומרי הגלם היא באחריות </w:t>
      </w:r>
      <w:r>
        <w:rPr>
          <w:rFonts w:hint="cs"/>
          <w:rtl/>
        </w:rPr>
        <w:t>רמ"י</w:t>
      </w:r>
      <w:r>
        <w:rPr>
          <w:rFonts w:hint="cs"/>
          <w:rtl/>
        </w:rPr>
        <w:t xml:space="preserve">. לצד זאת, משרד </w:t>
      </w:r>
      <w:r>
        <w:rPr>
          <w:rFonts w:hint="cs"/>
          <w:rtl/>
        </w:rPr>
        <w:t>האנרגייה</w:t>
      </w:r>
      <w:r>
        <w:rPr>
          <w:rFonts w:hint="cs"/>
          <w:rtl/>
        </w:rPr>
        <w:t xml:space="preserve"> </w:t>
      </w:r>
      <w:r>
        <w:rPr>
          <w:rFonts w:hint="cs"/>
          <w:rtl/>
        </w:rPr>
        <w:t>ומי"ה</w:t>
      </w:r>
      <w:r>
        <w:rPr>
          <w:rFonts w:hint="cs"/>
          <w:rtl/>
        </w:rPr>
        <w:t xml:space="preserve"> טוענים שניהם כי אין </w:t>
      </w:r>
      <w:r w:rsidR="00B92DE5">
        <w:rPr>
          <w:rFonts w:hint="cs"/>
          <w:rtl/>
        </w:rPr>
        <w:t xml:space="preserve">כלל </w:t>
      </w:r>
      <w:r>
        <w:rPr>
          <w:rFonts w:hint="cs"/>
          <w:rtl/>
        </w:rPr>
        <w:t xml:space="preserve">צורך </w:t>
      </w:r>
      <w:r>
        <w:rPr>
          <w:rFonts w:hint="cs"/>
          <w:rtl/>
        </w:rPr>
        <w:t xml:space="preserve">לקבוע חובת תשלום של </w:t>
      </w:r>
      <w:r>
        <w:rPr>
          <w:rFonts w:hint="cs"/>
          <w:rtl/>
        </w:rPr>
        <w:t>מי"ה</w:t>
      </w:r>
      <w:r>
        <w:rPr>
          <w:rFonts w:hint="cs"/>
          <w:rtl/>
        </w:rPr>
        <w:t xml:space="preserve"> </w:t>
      </w:r>
      <w:r w:rsidR="009A33AB">
        <w:rPr>
          <w:rFonts w:hint="cs"/>
          <w:rtl/>
        </w:rPr>
        <w:t>לקש</w:t>
      </w:r>
      <w:r w:rsidRPr="00D816B7" w:rsidR="009A33AB">
        <w:rPr>
          <w:rFonts w:hint="cs"/>
          <w:rtl/>
        </w:rPr>
        <w:t>"</w:t>
      </w:r>
      <w:r w:rsidR="009A33AB">
        <w:rPr>
          <w:rFonts w:hint="cs"/>
          <w:rtl/>
        </w:rPr>
        <w:t>ם</w:t>
      </w:r>
      <w:r w:rsidR="009A33AB">
        <w:rPr>
          <w:rFonts w:hint="cs"/>
          <w:rtl/>
        </w:rPr>
        <w:t xml:space="preserve"> </w:t>
      </w:r>
      <w:r>
        <w:rPr>
          <w:rFonts w:hint="cs"/>
          <w:rtl/>
        </w:rPr>
        <w:t xml:space="preserve">מאחר </w:t>
      </w:r>
      <w:r>
        <w:rPr>
          <w:rFonts w:hint="cs"/>
          <w:rtl/>
        </w:rPr>
        <w:t>שמי"ה</w:t>
      </w:r>
      <w:r>
        <w:rPr>
          <w:rFonts w:hint="cs"/>
          <w:rtl/>
        </w:rPr>
        <w:t xml:space="preserve"> ממילא אחראית לשיקום אתרי הכרייה ומתקיים עקרון "המזהם משלם", זאת כאשר לא קיימת כל ערובה כספית להבטחת ביצוע השיקום, בלי שהיא הפרישה כספים </w:t>
      </w:r>
      <w:r w:rsidR="009A33AB">
        <w:rPr>
          <w:rFonts w:hint="cs"/>
          <w:rtl/>
        </w:rPr>
        <w:t>לקש</w:t>
      </w:r>
      <w:r w:rsidRPr="00D816B7" w:rsidR="009A33AB">
        <w:rPr>
          <w:rFonts w:hint="cs"/>
          <w:rtl/>
        </w:rPr>
        <w:t>"</w:t>
      </w:r>
      <w:r w:rsidR="009A33AB">
        <w:rPr>
          <w:rFonts w:hint="cs"/>
          <w:rtl/>
        </w:rPr>
        <w:t>ם</w:t>
      </w:r>
      <w:r w:rsidR="009A33AB">
        <w:rPr>
          <w:rFonts w:hint="cs"/>
          <w:rtl/>
        </w:rPr>
        <w:t xml:space="preserve"> </w:t>
      </w:r>
      <w:r>
        <w:rPr>
          <w:rFonts w:hint="cs"/>
          <w:rtl/>
        </w:rPr>
        <w:t xml:space="preserve">לאורך השנים וכן בלי ששיקמה אתרי כרייה ישנים בהם עשתה שימוש. </w:t>
      </w:r>
      <w:r w:rsidRPr="004A0DE1">
        <w:rPr>
          <w:rFonts w:hint="cs"/>
          <w:rtl/>
        </w:rPr>
        <w:t>נוסף על</w:t>
      </w:r>
      <w:r>
        <w:rPr>
          <w:rFonts w:hint="cs"/>
          <w:rtl/>
        </w:rPr>
        <w:t xml:space="preserve"> </w:t>
      </w:r>
      <w:r w:rsidRPr="004A0DE1">
        <w:rPr>
          <w:rFonts w:hint="cs"/>
          <w:rtl/>
        </w:rPr>
        <w:t xml:space="preserve">כך, </w:t>
      </w:r>
      <w:r>
        <w:rPr>
          <w:rFonts w:hint="cs"/>
          <w:rtl/>
        </w:rPr>
        <w:t>מי"ה</w:t>
      </w:r>
      <w:r>
        <w:rPr>
          <w:rFonts w:hint="cs"/>
          <w:rtl/>
        </w:rPr>
        <w:t xml:space="preserve"> מציינת בתשובתה כי בתוכניות שהתאשרו לגבי שטחי הכרייה לאחר שנת 2010 נקבעו הוראות שיקום מובנות החלות על </w:t>
      </w:r>
      <w:r>
        <w:rPr>
          <w:rFonts w:hint="cs"/>
          <w:rtl/>
        </w:rPr>
        <w:t>מי"ה</w:t>
      </w:r>
      <w:r>
        <w:rPr>
          <w:rFonts w:hint="cs"/>
          <w:rtl/>
        </w:rPr>
        <w:t xml:space="preserve">, אולם שניים מתוך שלושת אתרי הכרייה שבהם </w:t>
      </w:r>
      <w:r>
        <w:rPr>
          <w:rFonts w:hint="cs"/>
          <w:rtl/>
        </w:rPr>
        <w:t>מי"ה</w:t>
      </w:r>
      <w:r>
        <w:rPr>
          <w:rFonts w:hint="cs"/>
          <w:rtl/>
        </w:rPr>
        <w:t xml:space="preserve"> משתמשת פועלים לפי תוכניות שאושרו לפני שנת 2010, וממילא עיון בהוראות </w:t>
      </w:r>
      <w:r>
        <w:rPr>
          <w:rFonts w:hint="cs"/>
          <w:rtl/>
        </w:rPr>
        <w:t>התכניות</w:t>
      </w:r>
      <w:r>
        <w:rPr>
          <w:rFonts w:hint="cs"/>
          <w:rtl/>
        </w:rPr>
        <w:t xml:space="preserve"> החלות על שלושת אתרי הכרייה אינו מעלה שוני מהותי בין הקבוע בהן לבין תוכניות אחרות החלות על מחצבות בשאר הארץ, שבעליהן נדרשו להפריש כספים </w:t>
      </w:r>
      <w:r w:rsidR="009A33AB">
        <w:rPr>
          <w:rFonts w:hint="cs"/>
          <w:rtl/>
        </w:rPr>
        <w:t>לקש</w:t>
      </w:r>
      <w:r w:rsidRPr="00D816B7" w:rsidR="009A33AB">
        <w:rPr>
          <w:rFonts w:hint="cs"/>
          <w:rtl/>
        </w:rPr>
        <w:t>"</w:t>
      </w:r>
      <w:r w:rsidR="009A33AB">
        <w:rPr>
          <w:rFonts w:hint="cs"/>
          <w:rtl/>
        </w:rPr>
        <w:t>ם</w:t>
      </w:r>
      <w:r>
        <w:rPr>
          <w:rFonts w:hint="cs"/>
          <w:rtl/>
        </w:rPr>
        <w:t xml:space="preserve">. </w:t>
      </w:r>
    </w:p>
    <w:p w:rsidR="006734B0" w:rsidP="00F129DB" w14:paraId="51B6A0AD" w14:textId="146AD2BD">
      <w:pPr>
        <w:pStyle w:val="7392"/>
        <w:rPr>
          <w:rtl/>
        </w:rPr>
      </w:pPr>
      <w:r w:rsidRPr="0074038B">
        <w:rPr>
          <w:rFonts w:hint="cs"/>
          <w:rtl/>
        </w:rPr>
        <w:t xml:space="preserve">אשר </w:t>
      </w:r>
      <w:r w:rsidRPr="0074038B" w:rsidR="00727D4C">
        <w:rPr>
          <w:rFonts w:hint="cs"/>
          <w:rtl/>
        </w:rPr>
        <w:t xml:space="preserve">לתשובת משרד </w:t>
      </w:r>
      <w:r w:rsidRPr="0074038B" w:rsidR="00727D4C">
        <w:rPr>
          <w:rFonts w:hint="cs"/>
          <w:rtl/>
        </w:rPr>
        <w:t>האנרגייה</w:t>
      </w:r>
      <w:r w:rsidRPr="0074038B" w:rsidR="00727D4C">
        <w:rPr>
          <w:rFonts w:hint="cs"/>
          <w:rtl/>
        </w:rPr>
        <w:t xml:space="preserve"> מ</w:t>
      </w:r>
      <w:r w:rsidR="00727D4C">
        <w:rPr>
          <w:rFonts w:hint="cs"/>
          <w:rtl/>
        </w:rPr>
        <w:t>וסיף ומ</w:t>
      </w:r>
      <w:r w:rsidRPr="0074038B" w:rsidR="00727D4C">
        <w:rPr>
          <w:rFonts w:hint="cs"/>
          <w:rtl/>
        </w:rPr>
        <w:t xml:space="preserve">ציין משרד מבקר המדינה כי עמדת משרד </w:t>
      </w:r>
      <w:r w:rsidRPr="0074038B" w:rsidR="00727D4C">
        <w:rPr>
          <w:rFonts w:hint="cs"/>
          <w:rtl/>
        </w:rPr>
        <w:t>האנרגייה</w:t>
      </w:r>
      <w:r w:rsidRPr="0074038B" w:rsidR="00727D4C">
        <w:rPr>
          <w:rFonts w:hint="cs"/>
          <w:rtl/>
        </w:rPr>
        <w:t xml:space="preserve"> </w:t>
      </w:r>
      <w:r w:rsidR="00727D4C">
        <w:rPr>
          <w:rFonts w:hint="cs"/>
          <w:rtl/>
        </w:rPr>
        <w:t>ש</w:t>
      </w:r>
      <w:r w:rsidRPr="0074038B" w:rsidR="00727D4C">
        <w:rPr>
          <w:rFonts w:hint="cs"/>
          <w:rtl/>
        </w:rPr>
        <w:t>לפיה ההפניה בהוראות השעה לפקודה הייתה רק לעניין חישוב סכומי התשלומים</w:t>
      </w:r>
      <w:r w:rsidR="00727D4C">
        <w:rPr>
          <w:rFonts w:hint="cs"/>
          <w:rtl/>
        </w:rPr>
        <w:t>,</w:t>
      </w:r>
      <w:r w:rsidRPr="0074038B" w:rsidR="00727D4C">
        <w:rPr>
          <w:rFonts w:hint="cs"/>
          <w:rtl/>
        </w:rPr>
        <w:t xml:space="preserve"> ובתום </w:t>
      </w:r>
      <w:r w:rsidR="00727D4C">
        <w:rPr>
          <w:rFonts w:hint="cs"/>
          <w:rtl/>
        </w:rPr>
        <w:t xml:space="preserve">תוקף </w:t>
      </w:r>
      <w:r w:rsidRPr="0074038B" w:rsidR="00727D4C">
        <w:rPr>
          <w:rFonts w:hint="cs"/>
          <w:rtl/>
        </w:rPr>
        <w:t>הוראות השעה לא בהכרח חלה פקודת המכרות</w:t>
      </w:r>
      <w:r w:rsidR="00727D4C">
        <w:rPr>
          <w:rFonts w:hint="cs"/>
          <w:rtl/>
        </w:rPr>
        <w:t>,</w:t>
      </w:r>
      <w:r w:rsidRPr="0074038B" w:rsidR="00727D4C">
        <w:rPr>
          <w:rFonts w:hint="cs"/>
          <w:rtl/>
        </w:rPr>
        <w:t xml:space="preserve"> מעלה </w:t>
      </w:r>
      <w:r w:rsidR="00727D4C">
        <w:rPr>
          <w:rFonts w:hint="cs"/>
          <w:rtl/>
        </w:rPr>
        <w:t>כמה</w:t>
      </w:r>
      <w:r w:rsidRPr="0074038B" w:rsidR="00727D4C">
        <w:rPr>
          <w:rFonts w:hint="cs"/>
          <w:rtl/>
        </w:rPr>
        <w:t xml:space="preserve"> קשיים</w:t>
      </w:r>
      <w:r w:rsidR="00727D4C">
        <w:rPr>
          <w:rFonts w:hint="cs"/>
          <w:rtl/>
        </w:rPr>
        <w:t xml:space="preserve">, זאת </w:t>
      </w:r>
      <w:r w:rsidRPr="0074038B" w:rsidR="00727D4C">
        <w:rPr>
          <w:rFonts w:hint="cs"/>
          <w:rtl/>
        </w:rPr>
        <w:t xml:space="preserve">בפרט לאור העובדה שהוראות השעה נועדו לתת מענה למצב </w:t>
      </w:r>
      <w:r w:rsidR="00727D4C">
        <w:rPr>
          <w:rFonts w:hint="cs"/>
          <w:rtl/>
        </w:rPr>
        <w:t>ש</w:t>
      </w:r>
      <w:r w:rsidRPr="0074038B" w:rsidR="00727D4C">
        <w:rPr>
          <w:rFonts w:hint="cs"/>
          <w:rtl/>
        </w:rPr>
        <w:t xml:space="preserve">בו </w:t>
      </w:r>
      <w:r w:rsidRPr="0074038B" w:rsidR="00727D4C">
        <w:rPr>
          <w:rFonts w:hint="cs"/>
          <w:rtl/>
        </w:rPr>
        <w:t>מי"ה</w:t>
      </w:r>
      <w:r w:rsidRPr="0074038B" w:rsidR="00727D4C">
        <w:rPr>
          <w:rFonts w:hint="cs"/>
          <w:rtl/>
        </w:rPr>
        <w:t xml:space="preserve"> סברה כי לא חלים בתחום הזיכיון חוק התכנון והבנייה וחוק רישוי עסקים</w:t>
      </w:r>
      <w:r w:rsidR="00727D4C">
        <w:rPr>
          <w:rFonts w:hint="cs"/>
          <w:rtl/>
        </w:rPr>
        <w:t xml:space="preserve">. לפיכך, הוראות השעה נועדו ליצור </w:t>
      </w:r>
      <w:r w:rsidRPr="00065845" w:rsidR="00727D4C">
        <w:rPr>
          <w:rFonts w:hint="cs"/>
          <w:rtl/>
        </w:rPr>
        <w:t>מקור מימו</w:t>
      </w:r>
      <w:r w:rsidR="00727D4C">
        <w:rPr>
          <w:rFonts w:hint="cs"/>
          <w:rtl/>
        </w:rPr>
        <w:t>ן</w:t>
      </w:r>
      <w:r w:rsidRPr="00065845" w:rsidR="00727D4C">
        <w:rPr>
          <w:rFonts w:hint="cs"/>
          <w:rtl/>
        </w:rPr>
        <w:t xml:space="preserve"> </w:t>
      </w:r>
      <w:r w:rsidRPr="00065845" w:rsidR="00727D4C">
        <w:rPr>
          <w:rFonts w:hint="eastAsia"/>
          <w:rtl/>
        </w:rPr>
        <w:t>ייעודי</w:t>
      </w:r>
      <w:r w:rsidRPr="00065845" w:rsidR="00727D4C">
        <w:rPr>
          <w:rtl/>
        </w:rPr>
        <w:t xml:space="preserve"> </w:t>
      </w:r>
      <w:r w:rsidRPr="00065845" w:rsidR="00727D4C">
        <w:rPr>
          <w:rFonts w:hint="eastAsia"/>
          <w:rtl/>
        </w:rPr>
        <w:t>לשיקום</w:t>
      </w:r>
      <w:r w:rsidRPr="00065845" w:rsidR="00727D4C">
        <w:rPr>
          <w:rtl/>
        </w:rPr>
        <w:t xml:space="preserve"> </w:t>
      </w:r>
      <w:r w:rsidRPr="00065845" w:rsidR="00727D4C">
        <w:rPr>
          <w:rFonts w:hint="eastAsia"/>
          <w:rtl/>
        </w:rPr>
        <w:t>אתרים</w:t>
      </w:r>
      <w:r w:rsidRPr="00065845" w:rsidR="00727D4C">
        <w:rPr>
          <w:rtl/>
        </w:rPr>
        <w:t xml:space="preserve"> בשטח הזיכיון </w:t>
      </w:r>
      <w:r w:rsidR="00727D4C">
        <w:rPr>
          <w:rFonts w:hint="cs"/>
          <w:rtl/>
        </w:rPr>
        <w:t>ש</w:t>
      </w:r>
      <w:r w:rsidRPr="00065845" w:rsidR="00727D4C">
        <w:rPr>
          <w:rtl/>
        </w:rPr>
        <w:t xml:space="preserve">בהם </w:t>
      </w:r>
      <w:r w:rsidRPr="00065845" w:rsidR="00727D4C">
        <w:rPr>
          <w:rFonts w:hint="eastAsia"/>
          <w:rtl/>
        </w:rPr>
        <w:t>מי</w:t>
      </w:r>
      <w:r w:rsidRPr="00065845" w:rsidR="00727D4C">
        <w:rPr>
          <w:rtl/>
        </w:rPr>
        <w:t>"ה</w:t>
      </w:r>
      <w:r w:rsidRPr="00065845" w:rsidR="00727D4C">
        <w:rPr>
          <w:rtl/>
        </w:rPr>
        <w:t xml:space="preserve"> </w:t>
      </w:r>
      <w:r w:rsidRPr="00065845" w:rsidR="00727D4C">
        <w:rPr>
          <w:rFonts w:hint="eastAsia"/>
          <w:rtl/>
        </w:rPr>
        <w:t>ביצעה</w:t>
      </w:r>
      <w:r w:rsidRPr="00065845" w:rsidR="00727D4C">
        <w:rPr>
          <w:rtl/>
        </w:rPr>
        <w:t xml:space="preserve"> </w:t>
      </w:r>
      <w:r w:rsidRPr="00065845" w:rsidR="00727D4C">
        <w:rPr>
          <w:rFonts w:hint="eastAsia"/>
          <w:rtl/>
        </w:rPr>
        <w:t>כרייה</w:t>
      </w:r>
      <w:r w:rsidRPr="00065845" w:rsidR="00727D4C">
        <w:rPr>
          <w:rtl/>
        </w:rPr>
        <w:t xml:space="preserve"> </w:t>
      </w:r>
      <w:r w:rsidRPr="00065845" w:rsidR="00727D4C">
        <w:rPr>
          <w:rFonts w:hint="eastAsia"/>
          <w:rtl/>
        </w:rPr>
        <w:t>ולא</w:t>
      </w:r>
      <w:r w:rsidRPr="00065845" w:rsidR="00727D4C">
        <w:rPr>
          <w:rtl/>
        </w:rPr>
        <w:t xml:space="preserve"> </w:t>
      </w:r>
      <w:r w:rsidRPr="00065845" w:rsidR="00727D4C">
        <w:rPr>
          <w:rFonts w:hint="eastAsia"/>
          <w:rtl/>
        </w:rPr>
        <w:t>נגבו</w:t>
      </w:r>
      <w:r w:rsidRPr="00065845" w:rsidR="00727D4C">
        <w:rPr>
          <w:rtl/>
        </w:rPr>
        <w:t xml:space="preserve"> </w:t>
      </w:r>
      <w:r w:rsidRPr="00065845" w:rsidR="00727D4C">
        <w:rPr>
          <w:rFonts w:hint="eastAsia"/>
          <w:rtl/>
        </w:rPr>
        <w:t>בגינם</w:t>
      </w:r>
      <w:r w:rsidRPr="00F129DB" w:rsidR="00727D4C">
        <w:rPr>
          <w:rtl/>
        </w:rPr>
        <w:t xml:space="preserve"> </w:t>
      </w:r>
      <w:r w:rsidRPr="00065845" w:rsidR="00727D4C">
        <w:rPr>
          <w:rFonts w:hint="eastAsia"/>
          <w:rtl/>
        </w:rPr>
        <w:t>כספים</w:t>
      </w:r>
      <w:r w:rsidR="00727D4C">
        <w:rPr>
          <w:rFonts w:hint="cs"/>
          <w:rtl/>
        </w:rPr>
        <w:t>,</w:t>
      </w:r>
      <w:r w:rsidRPr="00335F2B" w:rsidR="00727D4C">
        <w:rPr>
          <w:rFonts w:hint="cs"/>
          <w:rtl/>
        </w:rPr>
        <w:t xml:space="preserve"> על רקע חוסר ההבנה לגבי המצב המשפטי שחל עד אותו המועד</w:t>
      </w:r>
      <w:r w:rsidR="00727D4C">
        <w:rPr>
          <w:rFonts w:hint="cs"/>
          <w:rtl/>
        </w:rPr>
        <w:t>, ו</w:t>
      </w:r>
      <w:r w:rsidRPr="00335F2B" w:rsidR="00727D4C">
        <w:rPr>
          <w:rtl/>
        </w:rPr>
        <w:t xml:space="preserve">משרד </w:t>
      </w:r>
      <w:r w:rsidRPr="00335F2B" w:rsidR="00727D4C">
        <w:rPr>
          <w:rFonts w:hint="eastAsia"/>
          <w:rtl/>
        </w:rPr>
        <w:t>האנרגייה</w:t>
      </w:r>
      <w:r w:rsidRPr="00335F2B" w:rsidR="00727D4C">
        <w:rPr>
          <w:rtl/>
        </w:rPr>
        <w:t xml:space="preserve"> לא בחן כלל את </w:t>
      </w:r>
      <w:r w:rsidRPr="00335F2B" w:rsidR="00727D4C">
        <w:rPr>
          <w:rFonts w:hint="eastAsia"/>
          <w:rtl/>
        </w:rPr>
        <w:t>האפשרות</w:t>
      </w:r>
      <w:r w:rsidRPr="00335F2B" w:rsidR="00727D4C">
        <w:rPr>
          <w:rtl/>
        </w:rPr>
        <w:t xml:space="preserve"> לקבוע הסדר</w:t>
      </w:r>
      <w:r w:rsidRPr="00335F2B" w:rsidR="00727D4C">
        <w:rPr>
          <w:rFonts w:hint="eastAsia"/>
          <w:rtl/>
        </w:rPr>
        <w:t>י</w:t>
      </w:r>
      <w:r w:rsidRPr="00335F2B" w:rsidR="00727D4C">
        <w:rPr>
          <w:rtl/>
        </w:rPr>
        <w:t xml:space="preserve"> תשלום </w:t>
      </w:r>
      <w:r w:rsidRPr="00335F2B" w:rsidR="00727D4C">
        <w:rPr>
          <w:rFonts w:hint="eastAsia"/>
          <w:rtl/>
        </w:rPr>
        <w:t>בגין</w:t>
      </w:r>
      <w:r w:rsidRPr="00335F2B" w:rsidR="00727D4C">
        <w:rPr>
          <w:rtl/>
        </w:rPr>
        <w:t xml:space="preserve"> פעילות הכרייה </w:t>
      </w:r>
      <w:r w:rsidRPr="00335F2B" w:rsidR="00727D4C">
        <w:rPr>
          <w:rFonts w:hint="eastAsia"/>
          <w:rtl/>
        </w:rPr>
        <w:t>שמי</w:t>
      </w:r>
      <w:r w:rsidRPr="00335F2B" w:rsidR="00727D4C">
        <w:rPr>
          <w:rtl/>
        </w:rPr>
        <w:t>"ה</w:t>
      </w:r>
      <w:r w:rsidRPr="00335F2B" w:rsidR="00727D4C">
        <w:rPr>
          <w:rtl/>
        </w:rPr>
        <w:t xml:space="preserve"> מבצעת מאותו מועד ואילך. </w:t>
      </w:r>
      <w:r w:rsidRPr="0074038B" w:rsidR="00727D4C">
        <w:rPr>
          <w:rFonts w:hint="cs"/>
          <w:rtl/>
        </w:rPr>
        <w:t xml:space="preserve">זאת ועוד, לא ברור על מה מבוססת תשובת משרד </w:t>
      </w:r>
      <w:r w:rsidRPr="0074038B" w:rsidR="00727D4C">
        <w:rPr>
          <w:rFonts w:hint="cs"/>
          <w:rtl/>
        </w:rPr>
        <w:t>האנרגייה</w:t>
      </w:r>
      <w:r w:rsidRPr="0074038B" w:rsidR="00727D4C">
        <w:rPr>
          <w:rFonts w:hint="cs"/>
          <w:rtl/>
        </w:rPr>
        <w:t xml:space="preserve"> </w:t>
      </w:r>
      <w:r w:rsidR="00727D4C">
        <w:rPr>
          <w:rFonts w:hint="cs"/>
          <w:rtl/>
        </w:rPr>
        <w:t>ו</w:t>
      </w:r>
      <w:r w:rsidRPr="0074038B" w:rsidR="00727D4C">
        <w:rPr>
          <w:rFonts w:hint="cs"/>
          <w:rtl/>
        </w:rPr>
        <w:t xml:space="preserve">לפיה מתקיים בעניינה של </w:t>
      </w:r>
      <w:r w:rsidRPr="0074038B" w:rsidR="00727D4C">
        <w:rPr>
          <w:rFonts w:hint="cs"/>
          <w:rtl/>
        </w:rPr>
        <w:t>מי"ה</w:t>
      </w:r>
      <w:r w:rsidRPr="0074038B" w:rsidR="00727D4C">
        <w:rPr>
          <w:rFonts w:hint="cs"/>
          <w:rtl/>
        </w:rPr>
        <w:t xml:space="preserve"> עקרון </w:t>
      </w:r>
      <w:r w:rsidR="00727D4C">
        <w:rPr>
          <w:rFonts w:hint="cs"/>
          <w:rtl/>
        </w:rPr>
        <w:t>"</w:t>
      </w:r>
      <w:r w:rsidRPr="0074038B" w:rsidR="00727D4C">
        <w:rPr>
          <w:rFonts w:hint="cs"/>
          <w:rtl/>
        </w:rPr>
        <w:t>המזהם משלם</w:t>
      </w:r>
      <w:r w:rsidR="00727D4C">
        <w:rPr>
          <w:rFonts w:hint="cs"/>
          <w:rtl/>
        </w:rPr>
        <w:t>"</w:t>
      </w:r>
      <w:r w:rsidRPr="0074038B" w:rsidR="00727D4C">
        <w:rPr>
          <w:rFonts w:hint="cs"/>
          <w:rtl/>
        </w:rPr>
        <w:t xml:space="preserve">, וכמאסדר היה ראוי שיפעל </w:t>
      </w:r>
      <w:r w:rsidR="00727D4C">
        <w:rPr>
          <w:rFonts w:hint="cs"/>
          <w:rtl/>
        </w:rPr>
        <w:t>כדי</w:t>
      </w:r>
      <w:r w:rsidRPr="0074038B" w:rsidR="00727D4C">
        <w:rPr>
          <w:rFonts w:hint="cs"/>
          <w:rtl/>
        </w:rPr>
        <w:t xml:space="preserve"> לוודא כי ע</w:t>
      </w:r>
      <w:r w:rsidR="00727D4C">
        <w:rPr>
          <w:rFonts w:hint="cs"/>
          <w:rtl/>
        </w:rPr>
        <w:t>י</w:t>
      </w:r>
      <w:r w:rsidRPr="0074038B" w:rsidR="00727D4C">
        <w:rPr>
          <w:rFonts w:hint="cs"/>
          <w:rtl/>
        </w:rPr>
        <w:t xml:space="preserve">קרון זה אכן מתקיים ולא יסתפק באמירות </w:t>
      </w:r>
      <w:r w:rsidRPr="0074038B">
        <w:rPr>
          <w:rFonts w:hint="cs"/>
          <w:rtl/>
        </w:rPr>
        <w:t xml:space="preserve">בעלמא. </w:t>
      </w:r>
    </w:p>
    <w:p w:rsidR="006734B0" w:rsidRPr="000E5CC8" w:rsidP="00F129DB" w14:paraId="663EFD76" w14:textId="77777777">
      <w:pPr>
        <w:pStyle w:val="7392"/>
        <w:rPr>
          <w:rtl/>
        </w:rPr>
      </w:pPr>
      <w:r w:rsidRPr="0074038B">
        <w:rPr>
          <w:rFonts w:hint="cs"/>
          <w:rtl/>
        </w:rPr>
        <w:t>יצוין כי הצוות הבי</w:t>
      </w:r>
      <w:r>
        <w:rPr>
          <w:rFonts w:hint="cs"/>
          <w:rtl/>
        </w:rPr>
        <w:t>ן-מ</w:t>
      </w:r>
      <w:r w:rsidRPr="0074038B">
        <w:rPr>
          <w:rFonts w:hint="cs"/>
          <w:rtl/>
        </w:rPr>
        <w:t xml:space="preserve">שרדי להיערכות לתום </w:t>
      </w:r>
      <w:r>
        <w:rPr>
          <w:rFonts w:hint="cs"/>
          <w:rtl/>
        </w:rPr>
        <w:t xml:space="preserve">תקופת </w:t>
      </w:r>
      <w:r w:rsidRPr="0074038B">
        <w:rPr>
          <w:rFonts w:hint="cs"/>
          <w:rtl/>
        </w:rPr>
        <w:t xml:space="preserve">הזיכיון ציין בטיוטת המלצותיו שפורסמו לציבור כי "בכל מקרה יחולו על האתרים [אתרי הכרייה] כלל דיני התכנון ודרישות </w:t>
      </w:r>
      <w:r w:rsidRPr="0074038B">
        <w:rPr>
          <w:rFonts w:hint="cs"/>
          <w:rtl/>
        </w:rPr>
        <w:t>אסדרתיות</w:t>
      </w:r>
      <w:r w:rsidRPr="0074038B">
        <w:rPr>
          <w:rFonts w:hint="cs"/>
          <w:rtl/>
        </w:rPr>
        <w:t xml:space="preserve"> שונות כגון רישוי עסקים, רישיון חציבה, תשלום דמי שיקום מחצבות וכן הלאה, ללא החרגות"</w:t>
      </w:r>
      <w:r>
        <w:rPr>
          <w:rFonts w:hint="cs"/>
          <w:rtl/>
        </w:rPr>
        <w:t>.</w:t>
      </w:r>
      <w:r w:rsidRPr="0074038B">
        <w:rPr>
          <w:rFonts w:hint="cs"/>
          <w:rtl/>
        </w:rPr>
        <w:t xml:space="preserve"> מכאן שלמשרד </w:t>
      </w:r>
      <w:r w:rsidRPr="0074038B">
        <w:rPr>
          <w:rFonts w:hint="cs"/>
          <w:rtl/>
        </w:rPr>
        <w:t>האנרגייה</w:t>
      </w:r>
      <w:r w:rsidRPr="0074038B">
        <w:rPr>
          <w:rFonts w:hint="cs"/>
          <w:rtl/>
        </w:rPr>
        <w:t xml:space="preserve"> </w:t>
      </w:r>
      <w:r>
        <w:rPr>
          <w:rFonts w:hint="cs"/>
          <w:rtl/>
        </w:rPr>
        <w:t>יש</w:t>
      </w:r>
      <w:r w:rsidRPr="0074038B">
        <w:rPr>
          <w:rFonts w:hint="cs"/>
          <w:rtl/>
        </w:rPr>
        <w:t xml:space="preserve"> כוונה לגבות מהזכיין העתידי כספים בגין פעולות הכרייה שהוא מבצע, גם בהינתן הת</w:t>
      </w:r>
      <w:r>
        <w:rPr>
          <w:rFonts w:hint="cs"/>
          <w:rtl/>
        </w:rPr>
        <w:t>ו</w:t>
      </w:r>
      <w:r w:rsidRPr="0074038B">
        <w:rPr>
          <w:rFonts w:hint="cs"/>
          <w:rtl/>
        </w:rPr>
        <w:t xml:space="preserve">כניות הסטטוטוריות הקיימות, ולכן לא ברור מדוע </w:t>
      </w:r>
      <w:r>
        <w:rPr>
          <w:rFonts w:hint="cs"/>
          <w:rtl/>
        </w:rPr>
        <w:t xml:space="preserve">משרד </w:t>
      </w:r>
      <w:r>
        <w:rPr>
          <w:rFonts w:hint="cs"/>
          <w:rtl/>
        </w:rPr>
        <w:t>האנרגייה</w:t>
      </w:r>
      <w:r>
        <w:rPr>
          <w:rFonts w:hint="cs"/>
          <w:rtl/>
        </w:rPr>
        <w:t xml:space="preserve"> </w:t>
      </w:r>
      <w:r w:rsidRPr="0074038B">
        <w:rPr>
          <w:rFonts w:hint="cs"/>
          <w:rtl/>
        </w:rPr>
        <w:t xml:space="preserve">לא </w:t>
      </w:r>
      <w:r>
        <w:rPr>
          <w:rFonts w:hint="cs"/>
          <w:rtl/>
        </w:rPr>
        <w:t>בחן את האפשרות לדרוש כבר כעת</w:t>
      </w:r>
      <w:r w:rsidRPr="0074038B">
        <w:rPr>
          <w:rFonts w:hint="cs"/>
          <w:rtl/>
        </w:rPr>
        <w:t xml:space="preserve"> תשלום </w:t>
      </w:r>
      <w:r w:rsidRPr="0074038B">
        <w:rPr>
          <w:rFonts w:hint="cs"/>
          <w:rtl/>
        </w:rPr>
        <w:t>לקש"</w:t>
      </w:r>
      <w:r>
        <w:rPr>
          <w:rFonts w:hint="cs"/>
          <w:rtl/>
        </w:rPr>
        <w:t>ם</w:t>
      </w:r>
      <w:r w:rsidRPr="0074038B">
        <w:rPr>
          <w:rFonts w:hint="cs"/>
          <w:rtl/>
        </w:rPr>
        <w:t xml:space="preserve"> בגין </w:t>
      </w:r>
      <w:r>
        <w:rPr>
          <w:rFonts w:hint="cs"/>
          <w:rtl/>
        </w:rPr>
        <w:t>הכרייה ב</w:t>
      </w:r>
      <w:r w:rsidRPr="0074038B">
        <w:rPr>
          <w:rFonts w:hint="cs"/>
          <w:rtl/>
        </w:rPr>
        <w:t>אתרים אלו.</w:t>
      </w:r>
      <w:r w:rsidRPr="00F129DB">
        <w:rPr>
          <w:rFonts w:hint="cs"/>
          <w:rtl/>
        </w:rPr>
        <w:t xml:space="preserve"> </w:t>
      </w:r>
      <w:r>
        <w:rPr>
          <w:rFonts w:hint="cs"/>
          <w:rtl/>
        </w:rPr>
        <w:t xml:space="preserve"> </w:t>
      </w:r>
    </w:p>
    <w:p w:rsidR="006734B0" w:rsidRPr="00696C04" w:rsidP="00F129DB" w14:paraId="198E984C" w14:textId="132AC1D9">
      <w:pPr>
        <w:pStyle w:val="7392"/>
        <w:rPr>
          <w:rtl/>
        </w:rPr>
      </w:pPr>
      <w:r>
        <w:rPr>
          <w:rFonts w:hint="cs"/>
          <w:rtl/>
        </w:rPr>
        <w:t xml:space="preserve">באשר לתשובת </w:t>
      </w:r>
      <w:r>
        <w:rPr>
          <w:rFonts w:hint="cs"/>
          <w:rtl/>
        </w:rPr>
        <w:t>מי"ה</w:t>
      </w:r>
      <w:r>
        <w:rPr>
          <w:rFonts w:hint="cs"/>
          <w:rtl/>
        </w:rPr>
        <w:t xml:space="preserve">, משרד מבקר המדינה מציין כי אין בידו לקבלה: ראשית, לא הוצגה אסמכתה לכך שהפרשת הכספים לקרן לשיקום אתרי ים המלח נועדה לממן את כל מפגעי העבר שנוצרו, ספק אם התשלום שנקבע בהוראות השעה יכול לממן שיקום של מפגעי הכרייה שנוצרו בעבר, והעובדה שגם כיום קיימים אתרי כרייה של </w:t>
      </w:r>
      <w:r>
        <w:rPr>
          <w:rFonts w:hint="cs"/>
          <w:rtl/>
        </w:rPr>
        <w:t>מי"ה</w:t>
      </w:r>
      <w:r>
        <w:rPr>
          <w:rFonts w:hint="cs"/>
          <w:rtl/>
        </w:rPr>
        <w:t xml:space="preserve"> שטרם שוקמו במלואם מלמדת על כך שההפרשות לקרן לא הביאו לשיקום כל מפגעי העבר. שנית, התוכניות הסטטוטוריות של אתרי הכרייה בתחום הזיכיון אושרו יותר מעשור לאחר מועד פקיעת תוקפן של הוראות השעה, כך שהטענה ולפיה האחריות לשיקום נקבעה בתוכניות ולא הצריכה לקבוע חובת הפרשת כספים נוספת אינה נותנת מענה על שאלת המשטר שחל לאחר שפג תוקפן של הוראות השעה, מה גם שכאמור לעיל עיון </w:t>
      </w:r>
      <w:r>
        <w:rPr>
          <w:rFonts w:hint="cs"/>
          <w:rtl/>
        </w:rPr>
        <w:t>בתכניות</w:t>
      </w:r>
      <w:r>
        <w:rPr>
          <w:rFonts w:hint="cs"/>
          <w:rtl/>
        </w:rPr>
        <w:t xml:space="preserve"> החלות על האתרים לא מעלה שוני מהותי בין הקבוע בהן לבין הקבוע </w:t>
      </w:r>
      <w:r>
        <w:rPr>
          <w:rFonts w:hint="cs"/>
          <w:rtl/>
        </w:rPr>
        <w:t>בתכניות</w:t>
      </w:r>
      <w:r>
        <w:rPr>
          <w:rFonts w:hint="cs"/>
          <w:rtl/>
        </w:rPr>
        <w:t xml:space="preserve"> החלות על אתרי כרייה אחרים בהם בעל המחצבה נדרש לשלם תשלומים לקרן לשיקום מחצבות. כמו כן, עמדת </w:t>
      </w:r>
      <w:r>
        <w:rPr>
          <w:rFonts w:hint="cs"/>
          <w:rtl/>
        </w:rPr>
        <w:t>מי"ה</w:t>
      </w:r>
      <w:r>
        <w:rPr>
          <w:rFonts w:hint="cs"/>
          <w:rtl/>
        </w:rPr>
        <w:t xml:space="preserve"> ולפיה הערת משרד מבקר המדינה מנוגדת לעמדה הרשמית של המדינה שהוצגה במסגרת בג"ץ אינה נכונה. במסגרת בירור שקיים צוות הביקורת עם משרד המשפטים עלה כי</w:t>
      </w:r>
      <w:r w:rsidRPr="00DC45A5">
        <w:rPr>
          <w:rFonts w:hint="cs"/>
          <w:rtl/>
        </w:rPr>
        <w:t xml:space="preserve"> </w:t>
      </w:r>
      <w:r>
        <w:rPr>
          <w:rFonts w:hint="cs"/>
          <w:rtl/>
        </w:rPr>
        <w:t xml:space="preserve">חוות דעתו ניתנה רק ביחס לסוגייה הנדונה בבג"ץ לגבי גביית דמי מים והוא כלל לא נדרש לבחינת נושאים נוספים (לרבות נושא הכרייה). בהקשר זה יוער כי מאחר </w:t>
      </w:r>
      <w:r>
        <w:rPr>
          <w:rFonts w:hint="cs"/>
          <w:rtl/>
        </w:rPr>
        <w:t>שמי"ה</w:t>
      </w:r>
      <w:r>
        <w:rPr>
          <w:rFonts w:hint="cs"/>
          <w:rtl/>
        </w:rPr>
        <w:t xml:space="preserve"> אינה חולקת על חובתה לבצע שיקום של אתרי הכרייה ולשאת בהוצאות </w:t>
      </w:r>
      <w:r>
        <w:rPr>
          <w:rFonts w:hint="cs"/>
          <w:rtl/>
        </w:rPr>
        <w:t xml:space="preserve">הכרוכות בכך, לא </w:t>
      </w:r>
      <w:r w:rsidRPr="00291D2D">
        <w:rPr>
          <w:rFonts w:hint="cs"/>
          <w:rtl/>
        </w:rPr>
        <w:t xml:space="preserve">ברור </w:t>
      </w:r>
      <w:r w:rsidRPr="00EF6B80">
        <w:rPr>
          <w:rFonts w:hint="cs"/>
          <w:rtl/>
        </w:rPr>
        <w:t xml:space="preserve">מדוע היא מתנגדת לשלם </w:t>
      </w:r>
      <w:r w:rsidR="006229CF">
        <w:rPr>
          <w:rFonts w:hint="cs"/>
          <w:rtl/>
        </w:rPr>
        <w:t>לקש</w:t>
      </w:r>
      <w:r w:rsidRPr="00F129DB" w:rsidR="006229CF">
        <w:rPr>
          <w:rFonts w:hint="cs"/>
          <w:rtl/>
        </w:rPr>
        <w:t>"</w:t>
      </w:r>
      <w:r w:rsidR="006229CF">
        <w:rPr>
          <w:rFonts w:hint="cs"/>
          <w:rtl/>
        </w:rPr>
        <w:t>ם</w:t>
      </w:r>
      <w:r>
        <w:rPr>
          <w:rFonts w:hint="cs"/>
          <w:rtl/>
        </w:rPr>
        <w:t>,</w:t>
      </w:r>
      <w:r w:rsidRPr="00EF6B80">
        <w:rPr>
          <w:rFonts w:hint="cs"/>
          <w:rtl/>
        </w:rPr>
        <w:t xml:space="preserve"> שמטרתה להיות חלק מהמקור המימוני לביצוע השיקום.</w:t>
      </w:r>
      <w:r>
        <w:rPr>
          <w:rFonts w:hint="cs"/>
          <w:rtl/>
        </w:rPr>
        <w:t xml:space="preserve"> </w:t>
      </w:r>
    </w:p>
    <w:p w:rsidR="006734B0" w:rsidRPr="00F129DB" w:rsidP="00F129DB" w14:paraId="0E755BD4" w14:textId="49E1E59F">
      <w:pPr>
        <w:pStyle w:val="7318"/>
        <w:rPr>
          <w:rtl/>
        </w:rPr>
      </w:pPr>
      <w:r w:rsidRPr="00332288">
        <w:rPr>
          <w:rtl/>
        </w:rPr>
        <w:t>בביקורת עלה כי</w:t>
      </w:r>
      <w:r>
        <w:rPr>
          <w:rFonts w:hint="cs"/>
          <w:rtl/>
        </w:rPr>
        <w:t xml:space="preserve"> </w:t>
      </w:r>
      <w:r w:rsidRPr="00F129DB">
        <w:rPr>
          <w:rFonts w:hint="cs"/>
          <w:rtl/>
        </w:rPr>
        <w:t xml:space="preserve">במשך שנים רבות פעולות הכרייה והחציבה בתחום הזיכיון מבוצעות בלא שמשרד </w:t>
      </w:r>
      <w:r w:rsidRPr="00F129DB">
        <w:rPr>
          <w:rFonts w:hint="cs"/>
          <w:rtl/>
        </w:rPr>
        <w:t>האנרגייה</w:t>
      </w:r>
      <w:r w:rsidRPr="00F129DB">
        <w:rPr>
          <w:rFonts w:hint="cs"/>
          <w:rtl/>
        </w:rPr>
        <w:t xml:space="preserve"> </w:t>
      </w:r>
      <w:r w:rsidRPr="00F129DB">
        <w:rPr>
          <w:rFonts w:hint="cs"/>
          <w:rtl/>
        </w:rPr>
        <w:t>ורמ"י</w:t>
      </w:r>
      <w:r w:rsidRPr="00F129DB">
        <w:rPr>
          <w:rFonts w:hint="cs"/>
          <w:rtl/>
        </w:rPr>
        <w:t xml:space="preserve"> דרשו </w:t>
      </w:r>
      <w:r w:rsidRPr="00F129DB">
        <w:rPr>
          <w:rFonts w:hint="cs"/>
          <w:rtl/>
        </w:rPr>
        <w:t>ממי"ה</w:t>
      </w:r>
      <w:r w:rsidRPr="00F129DB">
        <w:rPr>
          <w:rFonts w:hint="cs"/>
          <w:rtl/>
        </w:rPr>
        <w:t>, שהיא אחת מחברות התעשייה הגדולות בארץ, לשלם בגינן, ובלי שהם אף בחנו את ההצדקות לכך</w:t>
      </w:r>
      <w:r w:rsidRPr="00332288">
        <w:rPr>
          <w:rtl/>
        </w:rPr>
        <w:t>;</w:t>
      </w:r>
      <w:r w:rsidRPr="00F129DB">
        <w:rPr>
          <w:rFonts w:hint="cs"/>
          <w:rtl/>
        </w:rPr>
        <w:t xml:space="preserve"> </w:t>
      </w:r>
      <w:r w:rsidRPr="00332288">
        <w:rPr>
          <w:rtl/>
        </w:rPr>
        <w:t xml:space="preserve">המדובר </w:t>
      </w:r>
      <w:r w:rsidRPr="00DC70B8" w:rsidR="00DC70B8">
        <w:rPr>
          <w:rtl/>
        </w:rPr>
        <w:t>במצב חמור עם</w:t>
      </w:r>
      <w:r w:rsidRPr="00F129DB">
        <w:rPr>
          <w:rFonts w:hint="cs"/>
          <w:rtl/>
        </w:rPr>
        <w:t xml:space="preserve"> השפעות סביבתיות וכלכליות מרחיקות לכת - והוא מחייב טיפול </w:t>
      </w:r>
      <w:r w:rsidRPr="00F129DB">
        <w:rPr>
          <w:rFonts w:hint="cs"/>
          <w:rtl/>
        </w:rPr>
        <w:t>מיידי</w:t>
      </w:r>
      <w:r w:rsidRPr="00F129DB">
        <w:rPr>
          <w:rFonts w:hint="cs"/>
          <w:rtl/>
        </w:rPr>
        <w:t xml:space="preserve">. </w:t>
      </w:r>
      <w:r w:rsidRPr="00F129DB">
        <w:rPr>
          <w:rFonts w:hint="eastAsia"/>
          <w:rtl/>
        </w:rPr>
        <w:t>יצוין</w:t>
      </w:r>
      <w:r w:rsidRPr="00F129DB">
        <w:rPr>
          <w:rtl/>
        </w:rPr>
        <w:t xml:space="preserve"> כי ה</w:t>
      </w:r>
      <w:r w:rsidRPr="00F129DB">
        <w:rPr>
          <w:rFonts w:hint="eastAsia"/>
          <w:rtl/>
        </w:rPr>
        <w:t>יעדר</w:t>
      </w:r>
      <w:r w:rsidRPr="00F129DB">
        <w:rPr>
          <w:rtl/>
        </w:rPr>
        <w:t xml:space="preserve"> התשלום </w:t>
      </w:r>
      <w:r w:rsidRPr="00F129DB">
        <w:rPr>
          <w:rFonts w:hint="eastAsia"/>
          <w:rtl/>
        </w:rPr>
        <w:t>עומד</w:t>
      </w:r>
      <w:r w:rsidRPr="00F129DB">
        <w:rPr>
          <w:rtl/>
        </w:rPr>
        <w:t xml:space="preserve"> בסתירה מוחלטת לעקרון </w:t>
      </w:r>
      <w:r w:rsidRPr="00F129DB" w:rsidR="009A33AB">
        <w:rPr>
          <w:rtl/>
        </w:rPr>
        <w:t>"</w:t>
      </w:r>
      <w:r w:rsidRPr="00F129DB">
        <w:rPr>
          <w:rtl/>
        </w:rPr>
        <w:t>המזהם משלם</w:t>
      </w:r>
      <w:r w:rsidRPr="00F129DB" w:rsidR="009A33AB">
        <w:rPr>
          <w:rtl/>
        </w:rPr>
        <w:t>"</w:t>
      </w:r>
      <w:r w:rsidRPr="00F129DB">
        <w:rPr>
          <w:rtl/>
        </w:rPr>
        <w:t xml:space="preserve"> ונוגד את עקרון הצדק החלוקתי, </w:t>
      </w:r>
      <w:r w:rsidRPr="00F129DB">
        <w:rPr>
          <w:rFonts w:hint="eastAsia"/>
          <w:rtl/>
        </w:rPr>
        <w:t>ויוצר</w:t>
      </w:r>
      <w:r w:rsidRPr="00F129DB">
        <w:rPr>
          <w:rtl/>
        </w:rPr>
        <w:t xml:space="preserve"> מצב </w:t>
      </w:r>
      <w:r w:rsidRPr="00F129DB">
        <w:rPr>
          <w:rFonts w:hint="eastAsia"/>
          <w:rtl/>
        </w:rPr>
        <w:t>שבו</w:t>
      </w:r>
      <w:r w:rsidRPr="00F129DB">
        <w:rPr>
          <w:rtl/>
        </w:rPr>
        <w:t xml:space="preserve"> </w:t>
      </w:r>
      <w:r w:rsidRPr="00F129DB">
        <w:rPr>
          <w:rFonts w:hint="cs"/>
          <w:rtl/>
        </w:rPr>
        <w:t xml:space="preserve">בעוד </w:t>
      </w:r>
      <w:r w:rsidRPr="00F129DB">
        <w:rPr>
          <w:rFonts w:hint="eastAsia"/>
          <w:rtl/>
        </w:rPr>
        <w:t>הרים</w:t>
      </w:r>
      <w:r w:rsidRPr="00F129DB">
        <w:rPr>
          <w:rtl/>
        </w:rPr>
        <w:t xml:space="preserve"> </w:t>
      </w:r>
      <w:r w:rsidRPr="00F129DB">
        <w:rPr>
          <w:rFonts w:hint="eastAsia"/>
          <w:rtl/>
        </w:rPr>
        <w:t>וואדיות</w:t>
      </w:r>
      <w:r w:rsidRPr="00F129DB">
        <w:rPr>
          <w:rtl/>
        </w:rPr>
        <w:t xml:space="preserve"> </w:t>
      </w:r>
      <w:r w:rsidRPr="00F129DB">
        <w:rPr>
          <w:rFonts w:hint="eastAsia"/>
          <w:rtl/>
        </w:rPr>
        <w:t>נחצבים</w:t>
      </w:r>
      <w:r w:rsidRPr="00F129DB">
        <w:rPr>
          <w:rtl/>
        </w:rPr>
        <w:t xml:space="preserve"> </w:t>
      </w:r>
      <w:r w:rsidRPr="00F129DB">
        <w:rPr>
          <w:rFonts w:hint="eastAsia"/>
          <w:rtl/>
        </w:rPr>
        <w:t>על</w:t>
      </w:r>
      <w:r w:rsidRPr="00F129DB">
        <w:rPr>
          <w:rtl/>
        </w:rPr>
        <w:t xml:space="preserve"> </w:t>
      </w:r>
      <w:r w:rsidRPr="00F129DB">
        <w:rPr>
          <w:rFonts w:hint="eastAsia"/>
          <w:rtl/>
        </w:rPr>
        <w:t>ידי</w:t>
      </w:r>
      <w:r w:rsidRPr="00F129DB">
        <w:rPr>
          <w:rtl/>
        </w:rPr>
        <w:t xml:space="preserve"> </w:t>
      </w:r>
      <w:r w:rsidRPr="00F129DB">
        <w:rPr>
          <w:rFonts w:hint="eastAsia"/>
          <w:rtl/>
        </w:rPr>
        <w:t>מי</w:t>
      </w:r>
      <w:r w:rsidRPr="00F129DB">
        <w:rPr>
          <w:rtl/>
        </w:rPr>
        <w:t>"ה</w:t>
      </w:r>
      <w:r w:rsidRPr="00F129DB">
        <w:rPr>
          <w:rtl/>
        </w:rPr>
        <w:t xml:space="preserve"> </w:t>
      </w:r>
      <w:r w:rsidRPr="00F129DB">
        <w:rPr>
          <w:rFonts w:hint="eastAsia"/>
          <w:rtl/>
        </w:rPr>
        <w:t>ויוצרים</w:t>
      </w:r>
      <w:r w:rsidRPr="00F129DB">
        <w:rPr>
          <w:rtl/>
        </w:rPr>
        <w:t xml:space="preserve"> </w:t>
      </w:r>
      <w:r w:rsidRPr="00F129DB">
        <w:rPr>
          <w:rFonts w:hint="eastAsia"/>
          <w:rtl/>
        </w:rPr>
        <w:t>הפרה</w:t>
      </w:r>
      <w:r w:rsidRPr="00F129DB">
        <w:rPr>
          <w:rtl/>
        </w:rPr>
        <w:t xml:space="preserve"> </w:t>
      </w:r>
      <w:r w:rsidRPr="00F129DB">
        <w:rPr>
          <w:rFonts w:hint="eastAsia"/>
          <w:rtl/>
        </w:rPr>
        <w:t>בנוף</w:t>
      </w:r>
      <w:r w:rsidRPr="00F129DB">
        <w:rPr>
          <w:rtl/>
        </w:rPr>
        <w:t xml:space="preserve"> </w:t>
      </w:r>
      <w:r w:rsidRPr="00F129DB">
        <w:rPr>
          <w:rFonts w:hint="eastAsia"/>
          <w:rtl/>
        </w:rPr>
        <w:t>הייחודי</w:t>
      </w:r>
      <w:r w:rsidRPr="00F129DB">
        <w:rPr>
          <w:rtl/>
        </w:rPr>
        <w:t xml:space="preserve"> </w:t>
      </w:r>
      <w:r w:rsidRPr="00F129DB">
        <w:rPr>
          <w:rFonts w:hint="eastAsia"/>
          <w:rtl/>
        </w:rPr>
        <w:t>של</w:t>
      </w:r>
      <w:r w:rsidRPr="00F129DB">
        <w:rPr>
          <w:rtl/>
        </w:rPr>
        <w:t xml:space="preserve"> </w:t>
      </w:r>
      <w:r w:rsidRPr="00F129DB">
        <w:rPr>
          <w:rFonts w:hint="eastAsia"/>
          <w:rtl/>
        </w:rPr>
        <w:t>אזור</w:t>
      </w:r>
      <w:r w:rsidRPr="00F129DB">
        <w:rPr>
          <w:rtl/>
        </w:rPr>
        <w:t xml:space="preserve"> </w:t>
      </w:r>
      <w:r w:rsidRPr="00F129DB">
        <w:rPr>
          <w:rFonts w:hint="eastAsia"/>
          <w:rtl/>
        </w:rPr>
        <w:t>ים</w:t>
      </w:r>
      <w:r w:rsidRPr="00F129DB">
        <w:rPr>
          <w:rtl/>
        </w:rPr>
        <w:t xml:space="preserve"> </w:t>
      </w:r>
      <w:r w:rsidRPr="00F129DB">
        <w:rPr>
          <w:rFonts w:hint="eastAsia"/>
          <w:rtl/>
        </w:rPr>
        <w:t>המלח</w:t>
      </w:r>
      <w:r w:rsidRPr="00F129DB">
        <w:rPr>
          <w:rFonts w:hint="cs"/>
          <w:rtl/>
        </w:rPr>
        <w:t xml:space="preserve">, היא אינה משלמת בגין כרייה זו, להבדיל מעשרות אתרי הכרייה האחרים בארץ. זאת ועוד, היעדר תשלום </w:t>
      </w:r>
      <w:r w:rsidR="009A33AB">
        <w:rPr>
          <w:rFonts w:hint="cs"/>
          <w:rtl/>
        </w:rPr>
        <w:t>לקש</w:t>
      </w:r>
      <w:r w:rsidRPr="00D816B7" w:rsidR="009A33AB">
        <w:rPr>
          <w:rFonts w:hint="cs"/>
          <w:rtl/>
        </w:rPr>
        <w:t>"</w:t>
      </w:r>
      <w:r w:rsidR="009A33AB">
        <w:rPr>
          <w:rFonts w:hint="cs"/>
          <w:rtl/>
        </w:rPr>
        <w:t>ם</w:t>
      </w:r>
      <w:r w:rsidR="009A33AB">
        <w:rPr>
          <w:rFonts w:hint="cs"/>
          <w:rtl/>
        </w:rPr>
        <w:t xml:space="preserve"> </w:t>
      </w:r>
      <w:r w:rsidRPr="00F129DB">
        <w:rPr>
          <w:rFonts w:hint="cs"/>
          <w:rtl/>
        </w:rPr>
        <w:t xml:space="preserve">יוצר מצב שבו לא מופרשים כספים לצורך שיקום עתידי של אתרי הכרייה, ולא קיימת תשתית פיננסית לעבודות השיקום. כמו כן, בלא חובת תשלום בגין הכרייה, מתאיינת היכולת להכווין את פעולות בעל הזיכיון כך שיפעל כדי להפנים את העלויות החיצוניות ולצמצם את כמות חומרי הכרייה, תוך מזעור הפגיעה האפשרית בסביבה. </w:t>
      </w:r>
    </w:p>
    <w:p w:rsidR="006734B0" w:rsidRPr="00F129DB" w:rsidP="00F129DB" w14:paraId="47507AAE" w14:textId="77777777">
      <w:pPr>
        <w:pStyle w:val="7318"/>
        <w:rPr>
          <w:rtl/>
        </w:rPr>
      </w:pPr>
      <w:r w:rsidRPr="00F129DB">
        <w:rPr>
          <w:rFonts w:hint="cs"/>
          <w:rtl/>
        </w:rPr>
        <w:t xml:space="preserve">על </w:t>
      </w:r>
      <w:r w:rsidRPr="00F129DB">
        <w:rPr>
          <w:rFonts w:hint="eastAsia"/>
          <w:rtl/>
        </w:rPr>
        <w:t>משרד</w:t>
      </w:r>
      <w:r w:rsidRPr="00F129DB">
        <w:rPr>
          <w:rtl/>
        </w:rPr>
        <w:t xml:space="preserve"> </w:t>
      </w:r>
      <w:r w:rsidRPr="00F129DB">
        <w:rPr>
          <w:rtl/>
        </w:rPr>
        <w:t>האנרגייה</w:t>
      </w:r>
      <w:r w:rsidRPr="00F129DB">
        <w:rPr>
          <w:rtl/>
        </w:rPr>
        <w:t xml:space="preserve"> </w:t>
      </w:r>
      <w:r w:rsidRPr="00F129DB">
        <w:rPr>
          <w:rFonts w:hint="eastAsia"/>
          <w:rtl/>
        </w:rPr>
        <w:t>ו</w:t>
      </w:r>
      <w:r w:rsidRPr="00F129DB">
        <w:rPr>
          <w:rFonts w:hint="cs"/>
          <w:rtl/>
        </w:rPr>
        <w:t>רמ"י</w:t>
      </w:r>
      <w:r w:rsidRPr="00F129DB">
        <w:rPr>
          <w:rFonts w:hint="cs"/>
          <w:rtl/>
        </w:rPr>
        <w:t xml:space="preserve"> לפעול בהקדם לבחינה יסודית של סוגיית גביית התשלום </w:t>
      </w:r>
      <w:r w:rsidRPr="00F129DB">
        <w:rPr>
          <w:rFonts w:hint="cs"/>
          <w:rtl/>
        </w:rPr>
        <w:t>ממי"ה</w:t>
      </w:r>
      <w:r w:rsidRPr="00F129DB">
        <w:rPr>
          <w:rFonts w:hint="cs"/>
          <w:rtl/>
        </w:rPr>
        <w:t xml:space="preserve"> בגין פעולות הכרייה שהיא ביצעה בעבר ומבצעת כיום בתחום הזיכיון ולנקוט פעולות בהתאם לתוצאות הבחינה.</w:t>
      </w:r>
    </w:p>
    <w:p w:rsidR="006734B0" w:rsidRPr="008D2DC1" w:rsidP="008D2DC1" w14:paraId="2C103980" w14:textId="77777777">
      <w:pPr>
        <w:pStyle w:val="733155"/>
        <w:rPr>
          <w:rtl/>
        </w:rPr>
      </w:pPr>
      <w:r w:rsidRPr="008D2DC1">
        <w:rPr>
          <w:rFonts w:hint="cs"/>
          <w:rtl/>
        </w:rPr>
        <w:t xml:space="preserve">היעדר שיקום של אתרי כרייה נטושים </w:t>
      </w:r>
    </w:p>
    <w:p w:rsidR="006734B0" w:rsidRPr="00F129DB" w:rsidP="00F129DB" w14:paraId="057ABE8B" w14:textId="77777777">
      <w:pPr>
        <w:pStyle w:val="7392"/>
        <w:rPr>
          <w:rtl/>
        </w:rPr>
      </w:pPr>
      <w:r w:rsidRPr="00F129DB">
        <w:rPr>
          <w:rFonts w:hint="cs"/>
          <w:rtl/>
        </w:rPr>
        <w:t>מחצבה נטושה היא מחצבה שהופסק ניצולה או ניצול חלק ממנה. את המחצבות הנטושות נדרש לשקם בין היתר מכיוון שעלולות להיות להן השפעות סביבתיות שליליות ניכרות, כמפורט להלן</w:t>
      </w:r>
      <w:r>
        <w:rPr>
          <w:rStyle w:val="FootnoteReference1"/>
          <w:rtl/>
        </w:rPr>
        <w:footnoteReference w:id="49"/>
      </w:r>
      <w:r w:rsidRPr="00F129DB">
        <w:rPr>
          <w:rFonts w:hint="cs"/>
          <w:rtl/>
        </w:rPr>
        <w:t>:</w:t>
      </w:r>
    </w:p>
    <w:p w:rsidR="006734B0" w:rsidRPr="00F129DB" w:rsidP="00F129DB" w14:paraId="50EC8235" w14:textId="70C42ABF">
      <w:pPr>
        <w:pStyle w:val="735"/>
        <w:numPr>
          <w:ilvl w:val="0"/>
          <w:numId w:val="31"/>
        </w:numPr>
        <w:rPr>
          <w:rtl/>
        </w:rPr>
      </w:pPr>
      <w:r w:rsidRPr="00F129DB">
        <w:rPr>
          <w:rFonts w:hint="cs"/>
          <w:rtl/>
        </w:rPr>
        <w:t xml:space="preserve">מחצבה נטושה מהווה מוקד משיכה לפעילות של קבלני בניין, גורמים פרטיים ואף גופים מוניציפליים המוצאים בה מקום נוח להיפטר בו מן הפסולת </w:t>
      </w:r>
      <w:r w:rsidRPr="00DC70B8" w:rsidR="00DC70B8">
        <w:rPr>
          <w:rtl/>
        </w:rPr>
        <w:t>המצטברת</w:t>
      </w:r>
      <w:r w:rsidR="00DC70B8">
        <w:rPr>
          <w:rFonts w:hint="cs"/>
          <w:rtl/>
        </w:rPr>
        <w:t xml:space="preserve"> </w:t>
      </w:r>
      <w:r w:rsidRPr="00F129DB">
        <w:rPr>
          <w:rFonts w:hint="cs"/>
          <w:rtl/>
        </w:rPr>
        <w:t>ברשותם.</w:t>
      </w:r>
    </w:p>
    <w:p w:rsidR="006734B0" w:rsidRPr="00F129DB" w:rsidP="00F129DB" w14:paraId="1C4C0F6F" w14:textId="4D64DB34">
      <w:pPr>
        <w:pStyle w:val="735"/>
        <w:numPr>
          <w:ilvl w:val="0"/>
          <w:numId w:val="31"/>
        </w:numPr>
        <w:rPr>
          <w:rtl/>
        </w:rPr>
      </w:pPr>
      <w:r w:rsidRPr="00F129DB">
        <w:rPr>
          <w:rFonts w:hint="cs"/>
          <w:rtl/>
        </w:rPr>
        <w:t>קירות המחצבה מהווים סיכון בטיחותי של מפולות ונפילה. קיר המחצבה התלול מפר את האיזון האנרגטי של הקרקע מעל המחצבה, ובכך גורם לסחיפת קרקע מוגברת ולפגיעה בחי ובצומח בסביבת המחצבה.</w:t>
      </w:r>
    </w:p>
    <w:p w:rsidR="00332288" w:rsidP="00F129DB" w14:paraId="1D1E8328" w14:textId="1275FEAB">
      <w:pPr>
        <w:pStyle w:val="735"/>
        <w:numPr>
          <w:ilvl w:val="0"/>
          <w:numId w:val="31"/>
        </w:numPr>
      </w:pPr>
      <w:r w:rsidRPr="00F129DB">
        <w:rPr>
          <w:rFonts w:hint="cs"/>
          <w:rtl/>
        </w:rPr>
        <w:t xml:space="preserve">בתנאי האקלים הצחיח באזור ים המלח אין לצפות לשיקום טבעי של קירות המחצבה באמצעות קרקע וצומח המתהווים באופן טבעי, ועל כן מחצבה לא משוקמת מהווה מפגע חזותי קבוע. </w:t>
      </w:r>
    </w:p>
    <w:p w:rsidR="006734B0" w:rsidRPr="00F129DB" w:rsidP="00F129DB" w14:paraId="2CF8E98C" w14:textId="348AACB8">
      <w:pPr>
        <w:pStyle w:val="735"/>
        <w:numPr>
          <w:ilvl w:val="0"/>
          <w:numId w:val="31"/>
        </w:numPr>
      </w:pPr>
      <w:r w:rsidRPr="00DC70B8">
        <w:rPr>
          <w:rtl/>
        </w:rPr>
        <w:t>מחצבות מהוות שטח</w:t>
      </w:r>
      <w:r>
        <w:rPr>
          <w:rFonts w:hint="cs"/>
          <w:rtl/>
        </w:rPr>
        <w:t xml:space="preserve"> </w:t>
      </w:r>
      <w:r w:rsidRPr="00FF34B6" w:rsidR="00FF34B6">
        <w:rPr>
          <w:rtl/>
        </w:rPr>
        <w:t>מופר שבו קל למיני צמחים פולשים להתבסס בו,</w:t>
      </w:r>
      <w:r w:rsidR="00FF34B6">
        <w:rPr>
          <w:rFonts w:hint="cs"/>
          <w:rtl/>
        </w:rPr>
        <w:t xml:space="preserve"> </w:t>
      </w:r>
      <w:r w:rsidRPr="00FF34B6" w:rsidR="00FF34B6">
        <w:rPr>
          <w:rtl/>
        </w:rPr>
        <w:t>ובכך</w:t>
      </w:r>
      <w:r w:rsidR="00FF34B6">
        <w:rPr>
          <w:rFonts w:hint="cs"/>
          <w:rtl/>
        </w:rPr>
        <w:t xml:space="preserve"> </w:t>
      </w:r>
      <w:r w:rsidRPr="00FF34B6" w:rsidR="00FF34B6">
        <w:rPr>
          <w:rtl/>
        </w:rPr>
        <w:t>הן</w:t>
      </w:r>
      <w:r w:rsidR="00FF34B6">
        <w:rPr>
          <w:rFonts w:hint="cs"/>
          <w:rtl/>
        </w:rPr>
        <w:t xml:space="preserve"> </w:t>
      </w:r>
      <w:r w:rsidRPr="00FF34B6" w:rsidR="00FF34B6">
        <w:rPr>
          <w:rtl/>
        </w:rPr>
        <w:t>מקור</w:t>
      </w:r>
      <w:r w:rsidR="00FF34B6">
        <w:rPr>
          <w:rFonts w:hint="cs"/>
          <w:rtl/>
        </w:rPr>
        <w:t xml:space="preserve"> </w:t>
      </w:r>
      <w:r w:rsidRPr="00F129DB">
        <w:rPr>
          <w:rFonts w:hint="cs"/>
          <w:rtl/>
        </w:rPr>
        <w:t xml:space="preserve">פוטנציאלי להפצת מינים פולשים מהמחצבה לשטחים הסמוכים לה או לשטחים מרוחקים. </w:t>
      </w:r>
    </w:p>
    <w:p w:rsidR="006734B0" w:rsidP="00F129DB" w14:paraId="642459A1" w14:textId="77777777">
      <w:pPr>
        <w:pStyle w:val="7392"/>
        <w:rPr>
          <w:rtl/>
        </w:rPr>
      </w:pPr>
      <w:r>
        <w:rPr>
          <w:rFonts w:hint="cs"/>
          <w:rtl/>
        </w:rPr>
        <w:t xml:space="preserve">לפי המשרד </w:t>
      </w:r>
      <w:r>
        <w:rPr>
          <w:rFonts w:hint="cs"/>
          <w:rtl/>
        </w:rPr>
        <w:t>להג"ס</w:t>
      </w:r>
      <w:r>
        <w:rPr>
          <w:rFonts w:hint="cs"/>
          <w:rtl/>
        </w:rPr>
        <w:t xml:space="preserve">, בשטח </w:t>
      </w:r>
      <w:r w:rsidRPr="00EA58D2">
        <w:rPr>
          <w:rFonts w:hint="cs"/>
          <w:rtl/>
        </w:rPr>
        <w:t>הזיכיון שמונה אתרי כרייה</w:t>
      </w:r>
      <w:r>
        <w:rPr>
          <w:rFonts w:hint="cs"/>
          <w:rtl/>
        </w:rPr>
        <w:t>: מניפת נחל צאלים, נחל רחף ושפך נחל מור, נחל יעלים, תחתית מעלה יאיר, נחל חלמיש, סכר אשלים קטן, נחל אדמון תיכון ונחל צין.</w:t>
      </w:r>
    </w:p>
    <w:p w:rsidR="006734B0" w:rsidRPr="00F129DB" w:rsidP="00F129DB" w14:paraId="618F510D" w14:textId="57AD865F">
      <w:pPr>
        <w:pStyle w:val="7318"/>
        <w:rPr>
          <w:rtl/>
        </w:rPr>
      </w:pPr>
      <w:r w:rsidRPr="00F129DB">
        <w:rPr>
          <w:rFonts w:hint="eastAsia"/>
          <w:rtl/>
        </w:rPr>
        <w:t>בביקורת</w:t>
      </w:r>
      <w:r w:rsidRPr="00F129DB">
        <w:rPr>
          <w:rtl/>
        </w:rPr>
        <w:t xml:space="preserve"> </w:t>
      </w:r>
      <w:r w:rsidRPr="00F129DB">
        <w:rPr>
          <w:rFonts w:hint="eastAsia"/>
          <w:rtl/>
        </w:rPr>
        <w:t>עלה</w:t>
      </w:r>
      <w:r w:rsidRPr="00F129DB">
        <w:rPr>
          <w:rtl/>
        </w:rPr>
        <w:t xml:space="preserve"> </w:t>
      </w:r>
      <w:r w:rsidRPr="00F129DB">
        <w:rPr>
          <w:rFonts w:hint="eastAsia"/>
          <w:rtl/>
        </w:rPr>
        <w:t>כי</w:t>
      </w:r>
      <w:r w:rsidRPr="00F129DB">
        <w:rPr>
          <w:rtl/>
        </w:rPr>
        <w:t xml:space="preserve"> </w:t>
      </w:r>
      <w:r w:rsidRPr="00F129DB">
        <w:rPr>
          <w:rFonts w:hint="eastAsia"/>
          <w:rtl/>
        </w:rPr>
        <w:t>הקרן</w:t>
      </w:r>
      <w:r w:rsidRPr="00F129DB">
        <w:rPr>
          <w:rtl/>
        </w:rPr>
        <w:t xml:space="preserve"> </w:t>
      </w:r>
      <w:r w:rsidRPr="00F129DB">
        <w:rPr>
          <w:rFonts w:hint="eastAsia"/>
          <w:rtl/>
        </w:rPr>
        <w:t>לשיקום</w:t>
      </w:r>
      <w:r w:rsidRPr="00F129DB">
        <w:rPr>
          <w:rtl/>
        </w:rPr>
        <w:t xml:space="preserve"> </w:t>
      </w:r>
      <w:r w:rsidRPr="00F129DB">
        <w:rPr>
          <w:rFonts w:hint="eastAsia"/>
          <w:rtl/>
        </w:rPr>
        <w:t>אתרי</w:t>
      </w:r>
      <w:r w:rsidRPr="00F129DB">
        <w:rPr>
          <w:rtl/>
        </w:rPr>
        <w:t xml:space="preserve"> </w:t>
      </w:r>
      <w:r w:rsidRPr="00F129DB">
        <w:rPr>
          <w:rFonts w:hint="eastAsia"/>
          <w:rtl/>
        </w:rPr>
        <w:t>ים</w:t>
      </w:r>
      <w:r w:rsidRPr="00F129DB">
        <w:rPr>
          <w:rtl/>
        </w:rPr>
        <w:t xml:space="preserve"> </w:t>
      </w:r>
      <w:r w:rsidRPr="00F129DB">
        <w:rPr>
          <w:rFonts w:hint="eastAsia"/>
          <w:rtl/>
        </w:rPr>
        <w:t>המלח</w:t>
      </w:r>
      <w:r w:rsidRPr="00F129DB">
        <w:rPr>
          <w:rtl/>
        </w:rPr>
        <w:t xml:space="preserve"> </w:t>
      </w:r>
      <w:r w:rsidRPr="00F129DB">
        <w:rPr>
          <w:rFonts w:hint="eastAsia"/>
          <w:rtl/>
        </w:rPr>
        <w:t>ביצעה</w:t>
      </w:r>
      <w:r w:rsidRPr="00F129DB">
        <w:rPr>
          <w:rtl/>
        </w:rPr>
        <w:t xml:space="preserve"> </w:t>
      </w:r>
      <w:r w:rsidRPr="00F129DB">
        <w:rPr>
          <w:rFonts w:hint="eastAsia"/>
          <w:rtl/>
        </w:rPr>
        <w:t>פעולות</w:t>
      </w:r>
      <w:r w:rsidRPr="00F129DB">
        <w:rPr>
          <w:rtl/>
        </w:rPr>
        <w:t xml:space="preserve"> </w:t>
      </w:r>
      <w:r w:rsidRPr="00F129DB">
        <w:rPr>
          <w:rFonts w:hint="eastAsia"/>
          <w:rtl/>
        </w:rPr>
        <w:t>שיקום</w:t>
      </w:r>
      <w:r w:rsidRPr="00F129DB">
        <w:rPr>
          <w:rtl/>
        </w:rPr>
        <w:t xml:space="preserve"> </w:t>
      </w:r>
      <w:r w:rsidRPr="00F129DB">
        <w:rPr>
          <w:rFonts w:hint="eastAsia"/>
          <w:rtl/>
        </w:rPr>
        <w:t>נקודתיות</w:t>
      </w:r>
      <w:r w:rsidRPr="00F129DB">
        <w:rPr>
          <w:rtl/>
        </w:rPr>
        <w:t xml:space="preserve"> </w:t>
      </w:r>
      <w:r w:rsidRPr="00F129DB">
        <w:rPr>
          <w:rFonts w:hint="eastAsia"/>
          <w:rtl/>
        </w:rPr>
        <w:t>ופרטניות</w:t>
      </w:r>
      <w:r w:rsidRPr="00F129DB">
        <w:rPr>
          <w:rtl/>
        </w:rPr>
        <w:t xml:space="preserve">, </w:t>
      </w:r>
      <w:r w:rsidRPr="00F129DB">
        <w:rPr>
          <w:rFonts w:hint="eastAsia"/>
          <w:rtl/>
        </w:rPr>
        <w:t>שלא</w:t>
      </w:r>
      <w:r w:rsidRPr="00F129DB">
        <w:rPr>
          <w:rtl/>
        </w:rPr>
        <w:t xml:space="preserve"> </w:t>
      </w:r>
      <w:r w:rsidRPr="00F129DB">
        <w:rPr>
          <w:rFonts w:hint="eastAsia"/>
          <w:rtl/>
        </w:rPr>
        <w:t>היו</w:t>
      </w:r>
      <w:r w:rsidRPr="00F129DB">
        <w:rPr>
          <w:rtl/>
        </w:rPr>
        <w:t xml:space="preserve"> </w:t>
      </w:r>
      <w:r w:rsidRPr="00F129DB">
        <w:rPr>
          <w:rFonts w:hint="eastAsia"/>
          <w:rtl/>
        </w:rPr>
        <w:t>חלק</w:t>
      </w:r>
      <w:r w:rsidRPr="00F129DB">
        <w:rPr>
          <w:rtl/>
        </w:rPr>
        <w:t xml:space="preserve"> </w:t>
      </w:r>
      <w:r w:rsidRPr="00F129DB">
        <w:rPr>
          <w:rFonts w:hint="eastAsia"/>
          <w:rtl/>
        </w:rPr>
        <w:t>מתוכנית</w:t>
      </w:r>
      <w:r w:rsidRPr="00F129DB">
        <w:rPr>
          <w:rtl/>
        </w:rPr>
        <w:t xml:space="preserve"> </w:t>
      </w:r>
      <w:r w:rsidRPr="00F129DB">
        <w:rPr>
          <w:rFonts w:hint="eastAsia"/>
          <w:rtl/>
        </w:rPr>
        <w:t>שיקום</w:t>
      </w:r>
      <w:r w:rsidRPr="00F129DB">
        <w:rPr>
          <w:rtl/>
        </w:rPr>
        <w:t xml:space="preserve"> </w:t>
      </w:r>
      <w:r w:rsidRPr="00F129DB">
        <w:rPr>
          <w:rFonts w:hint="eastAsia"/>
          <w:rtl/>
        </w:rPr>
        <w:t>כוללת</w:t>
      </w:r>
      <w:r w:rsidRPr="00F129DB">
        <w:rPr>
          <w:rtl/>
        </w:rPr>
        <w:t xml:space="preserve"> </w:t>
      </w:r>
      <w:r w:rsidRPr="00F129DB">
        <w:rPr>
          <w:rFonts w:hint="eastAsia"/>
          <w:rtl/>
        </w:rPr>
        <w:t>ומסודרת</w:t>
      </w:r>
      <w:r w:rsidRPr="00F129DB">
        <w:rPr>
          <w:rtl/>
        </w:rPr>
        <w:t xml:space="preserve"> </w:t>
      </w:r>
      <w:r w:rsidRPr="00F129DB">
        <w:rPr>
          <w:rFonts w:hint="eastAsia"/>
          <w:rtl/>
        </w:rPr>
        <w:t>לכל</w:t>
      </w:r>
      <w:r w:rsidRPr="00F129DB">
        <w:rPr>
          <w:rtl/>
        </w:rPr>
        <w:t xml:space="preserve"> </w:t>
      </w:r>
      <w:r w:rsidRPr="00F129DB">
        <w:rPr>
          <w:rFonts w:hint="eastAsia"/>
          <w:rtl/>
        </w:rPr>
        <w:t>אתר</w:t>
      </w:r>
      <w:r w:rsidRPr="00F129DB">
        <w:rPr>
          <w:rtl/>
        </w:rPr>
        <w:t xml:space="preserve"> </w:t>
      </w:r>
      <w:r w:rsidRPr="00F129DB">
        <w:rPr>
          <w:rFonts w:hint="eastAsia"/>
          <w:rtl/>
        </w:rPr>
        <w:t>הכרייה</w:t>
      </w:r>
      <w:r w:rsidRPr="00F129DB">
        <w:rPr>
          <w:rtl/>
        </w:rPr>
        <w:t xml:space="preserve">, </w:t>
      </w:r>
      <w:r w:rsidRPr="00F129DB">
        <w:rPr>
          <w:rFonts w:hint="eastAsia"/>
          <w:rtl/>
        </w:rPr>
        <w:t>בחמישה</w:t>
      </w:r>
      <w:r w:rsidRPr="00F129DB">
        <w:rPr>
          <w:rtl/>
        </w:rPr>
        <w:t xml:space="preserve"> </w:t>
      </w:r>
      <w:r w:rsidRPr="00F129DB">
        <w:rPr>
          <w:rFonts w:hint="eastAsia"/>
          <w:rtl/>
        </w:rPr>
        <w:t>מתוך</w:t>
      </w:r>
      <w:r w:rsidRPr="00F129DB">
        <w:rPr>
          <w:rtl/>
        </w:rPr>
        <w:t xml:space="preserve"> </w:t>
      </w:r>
      <w:r w:rsidRPr="00F129DB">
        <w:rPr>
          <w:rFonts w:hint="eastAsia"/>
          <w:rtl/>
        </w:rPr>
        <w:t>שמונת</w:t>
      </w:r>
      <w:r w:rsidRPr="00F129DB">
        <w:rPr>
          <w:rtl/>
        </w:rPr>
        <w:t xml:space="preserve"> </w:t>
      </w:r>
      <w:r w:rsidRPr="00F129DB">
        <w:rPr>
          <w:rFonts w:hint="eastAsia"/>
          <w:rtl/>
        </w:rPr>
        <w:t>אתרי</w:t>
      </w:r>
      <w:r w:rsidRPr="00F129DB">
        <w:rPr>
          <w:rtl/>
        </w:rPr>
        <w:t xml:space="preserve"> </w:t>
      </w:r>
      <w:r w:rsidRPr="00F129DB">
        <w:rPr>
          <w:rFonts w:hint="eastAsia"/>
          <w:rtl/>
        </w:rPr>
        <w:t>הכרייה</w:t>
      </w:r>
      <w:r w:rsidRPr="00F129DB">
        <w:rPr>
          <w:rtl/>
        </w:rPr>
        <w:t xml:space="preserve"> </w:t>
      </w:r>
      <w:r w:rsidRPr="00F129DB">
        <w:rPr>
          <w:rFonts w:hint="eastAsia"/>
          <w:rtl/>
        </w:rPr>
        <w:t>שפעלו</w:t>
      </w:r>
      <w:r w:rsidRPr="00F129DB">
        <w:rPr>
          <w:rtl/>
        </w:rPr>
        <w:t xml:space="preserve"> </w:t>
      </w:r>
      <w:r w:rsidRPr="00F129DB">
        <w:rPr>
          <w:rFonts w:hint="eastAsia"/>
          <w:rtl/>
        </w:rPr>
        <w:t>עוד</w:t>
      </w:r>
      <w:r w:rsidRPr="00F129DB">
        <w:rPr>
          <w:rtl/>
        </w:rPr>
        <w:t xml:space="preserve"> </w:t>
      </w:r>
      <w:r w:rsidRPr="00F129DB">
        <w:rPr>
          <w:rFonts w:hint="eastAsia"/>
          <w:rtl/>
        </w:rPr>
        <w:t>לפני</w:t>
      </w:r>
      <w:r w:rsidRPr="00F129DB">
        <w:rPr>
          <w:rtl/>
        </w:rPr>
        <w:t xml:space="preserve"> </w:t>
      </w:r>
      <w:r w:rsidRPr="00F129DB">
        <w:rPr>
          <w:rFonts w:hint="eastAsia"/>
          <w:rtl/>
        </w:rPr>
        <w:t>שנת</w:t>
      </w:r>
      <w:r w:rsidRPr="00F129DB">
        <w:rPr>
          <w:rtl/>
        </w:rPr>
        <w:t xml:space="preserve"> 1995. </w:t>
      </w:r>
      <w:r w:rsidRPr="00F129DB">
        <w:rPr>
          <w:rFonts w:hint="eastAsia"/>
          <w:rtl/>
        </w:rPr>
        <w:t>הועלה</w:t>
      </w:r>
      <w:r w:rsidRPr="00F129DB">
        <w:rPr>
          <w:rtl/>
        </w:rPr>
        <w:t xml:space="preserve"> </w:t>
      </w:r>
      <w:r w:rsidRPr="00F129DB">
        <w:rPr>
          <w:rFonts w:hint="eastAsia"/>
          <w:rtl/>
        </w:rPr>
        <w:t>כי</w:t>
      </w:r>
      <w:r w:rsidRPr="00F129DB">
        <w:rPr>
          <w:rtl/>
        </w:rPr>
        <w:t xml:space="preserve"> </w:t>
      </w:r>
      <w:r w:rsidRPr="00F129DB">
        <w:rPr>
          <w:rFonts w:hint="eastAsia"/>
          <w:rtl/>
        </w:rPr>
        <w:t>בין</w:t>
      </w:r>
      <w:r w:rsidRPr="00F129DB">
        <w:rPr>
          <w:rtl/>
        </w:rPr>
        <w:t xml:space="preserve"> </w:t>
      </w:r>
      <w:r w:rsidRPr="00F129DB">
        <w:rPr>
          <w:rFonts w:hint="eastAsia"/>
          <w:rtl/>
        </w:rPr>
        <w:t>השאר</w:t>
      </w:r>
      <w:r w:rsidRPr="00F129DB">
        <w:rPr>
          <w:rtl/>
        </w:rPr>
        <w:t xml:space="preserve">, </w:t>
      </w:r>
      <w:r w:rsidRPr="00F129DB">
        <w:rPr>
          <w:rFonts w:hint="eastAsia"/>
          <w:rtl/>
        </w:rPr>
        <w:t>לנוכח</w:t>
      </w:r>
      <w:r w:rsidRPr="00F129DB">
        <w:rPr>
          <w:rtl/>
        </w:rPr>
        <w:t xml:space="preserve"> </w:t>
      </w:r>
      <w:r w:rsidRPr="00F129DB">
        <w:rPr>
          <w:rFonts w:hint="eastAsia"/>
          <w:rtl/>
        </w:rPr>
        <w:t>התקציב</w:t>
      </w:r>
      <w:r w:rsidRPr="00F129DB">
        <w:rPr>
          <w:rtl/>
        </w:rPr>
        <w:t xml:space="preserve"> </w:t>
      </w:r>
      <w:r w:rsidRPr="00F129DB">
        <w:rPr>
          <w:rFonts w:hint="eastAsia"/>
          <w:rtl/>
        </w:rPr>
        <w:t>המוגבל</w:t>
      </w:r>
      <w:r w:rsidRPr="00F129DB">
        <w:rPr>
          <w:rtl/>
        </w:rPr>
        <w:t xml:space="preserve"> </w:t>
      </w:r>
      <w:r w:rsidRPr="00F129DB">
        <w:rPr>
          <w:rFonts w:hint="eastAsia"/>
          <w:rtl/>
        </w:rPr>
        <w:t>העומד</w:t>
      </w:r>
      <w:r w:rsidRPr="00F129DB">
        <w:rPr>
          <w:rtl/>
        </w:rPr>
        <w:t xml:space="preserve"> </w:t>
      </w:r>
      <w:r w:rsidRPr="00F129DB">
        <w:rPr>
          <w:rFonts w:hint="eastAsia"/>
          <w:rtl/>
        </w:rPr>
        <w:t>לרשות</w:t>
      </w:r>
      <w:r w:rsidRPr="00F129DB">
        <w:rPr>
          <w:rtl/>
        </w:rPr>
        <w:t xml:space="preserve"> </w:t>
      </w:r>
      <w:r w:rsidRPr="00F129DB">
        <w:rPr>
          <w:rFonts w:hint="eastAsia"/>
          <w:rtl/>
        </w:rPr>
        <w:t>הקרן</w:t>
      </w:r>
      <w:r w:rsidRPr="00F129DB">
        <w:rPr>
          <w:rtl/>
        </w:rPr>
        <w:t xml:space="preserve">, </w:t>
      </w:r>
      <w:r w:rsidRPr="00F129DB">
        <w:rPr>
          <w:rFonts w:hint="eastAsia"/>
          <w:rtl/>
        </w:rPr>
        <w:t>שום</w:t>
      </w:r>
      <w:r w:rsidRPr="00F129DB">
        <w:rPr>
          <w:rtl/>
        </w:rPr>
        <w:t xml:space="preserve"> </w:t>
      </w:r>
      <w:r w:rsidRPr="00F129DB">
        <w:rPr>
          <w:rFonts w:hint="eastAsia"/>
          <w:rtl/>
        </w:rPr>
        <w:t>אתר</w:t>
      </w:r>
      <w:r w:rsidRPr="00F129DB">
        <w:rPr>
          <w:rtl/>
        </w:rPr>
        <w:t xml:space="preserve"> </w:t>
      </w:r>
      <w:r w:rsidRPr="00F129DB">
        <w:rPr>
          <w:rFonts w:hint="eastAsia"/>
          <w:rtl/>
        </w:rPr>
        <w:t>כרייה</w:t>
      </w:r>
      <w:r w:rsidRPr="00F129DB">
        <w:rPr>
          <w:rtl/>
        </w:rPr>
        <w:t xml:space="preserve"> </w:t>
      </w:r>
      <w:r w:rsidRPr="00F129DB">
        <w:rPr>
          <w:rFonts w:hint="eastAsia"/>
          <w:rtl/>
        </w:rPr>
        <w:t>לא</w:t>
      </w:r>
      <w:r w:rsidRPr="00F129DB">
        <w:rPr>
          <w:rtl/>
        </w:rPr>
        <w:t xml:space="preserve"> </w:t>
      </w:r>
      <w:r w:rsidRPr="00F129DB">
        <w:rPr>
          <w:rFonts w:hint="eastAsia"/>
          <w:rtl/>
        </w:rPr>
        <w:t>שוקם</w:t>
      </w:r>
      <w:r w:rsidRPr="00F129DB">
        <w:rPr>
          <w:rtl/>
        </w:rPr>
        <w:t xml:space="preserve"> </w:t>
      </w:r>
      <w:r w:rsidRPr="00F129DB">
        <w:rPr>
          <w:rFonts w:hint="eastAsia"/>
          <w:rtl/>
        </w:rPr>
        <w:t>במלואו</w:t>
      </w:r>
      <w:r w:rsidRPr="00F129DB">
        <w:rPr>
          <w:rtl/>
        </w:rPr>
        <w:t xml:space="preserve">. </w:t>
      </w:r>
      <w:r w:rsidRPr="00F129DB">
        <w:rPr>
          <w:rFonts w:hint="eastAsia"/>
          <w:rtl/>
        </w:rPr>
        <w:t>להלן</w:t>
      </w:r>
      <w:r w:rsidRPr="00F129DB">
        <w:rPr>
          <w:rtl/>
        </w:rPr>
        <w:t xml:space="preserve"> תמונה של </w:t>
      </w:r>
      <w:r w:rsidRPr="00F129DB">
        <w:rPr>
          <w:rFonts w:hint="eastAsia"/>
          <w:rtl/>
        </w:rPr>
        <w:t>כביש</w:t>
      </w:r>
      <w:r w:rsidRPr="00F129DB">
        <w:rPr>
          <w:rtl/>
        </w:rPr>
        <w:t xml:space="preserve"> 90, העובר בסמוך לאתר </w:t>
      </w:r>
      <w:r w:rsidRPr="00F129DB">
        <w:rPr>
          <w:rFonts w:hint="eastAsia"/>
          <w:rtl/>
        </w:rPr>
        <w:t>כרייה</w:t>
      </w:r>
      <w:r w:rsidRPr="00F129DB">
        <w:rPr>
          <w:rtl/>
        </w:rPr>
        <w:t xml:space="preserve"> נטוש של </w:t>
      </w:r>
      <w:r w:rsidRPr="00F129DB">
        <w:rPr>
          <w:rFonts w:hint="eastAsia"/>
          <w:rtl/>
        </w:rPr>
        <w:t>מי</w:t>
      </w:r>
      <w:r w:rsidRPr="00F129DB">
        <w:rPr>
          <w:rtl/>
        </w:rPr>
        <w:t>"ה</w:t>
      </w:r>
      <w:r w:rsidRPr="00F129DB">
        <w:rPr>
          <w:rtl/>
        </w:rPr>
        <w:t xml:space="preserve"> </w:t>
      </w:r>
      <w:r w:rsidRPr="00F129DB">
        <w:rPr>
          <w:rFonts w:hint="eastAsia"/>
          <w:rtl/>
        </w:rPr>
        <w:t>בנחל</w:t>
      </w:r>
      <w:r w:rsidRPr="00F129DB">
        <w:rPr>
          <w:rtl/>
        </w:rPr>
        <w:t xml:space="preserve"> </w:t>
      </w:r>
      <w:r w:rsidRPr="00F129DB">
        <w:rPr>
          <w:rFonts w:hint="eastAsia"/>
          <w:rtl/>
        </w:rPr>
        <w:t>רחף</w:t>
      </w:r>
      <w:r w:rsidRPr="00F129DB">
        <w:rPr>
          <w:rtl/>
        </w:rPr>
        <w:t xml:space="preserve"> בו לא בוצע שיקום מלא. כתוצאה מהכרייה שהתקיימה בעבר</w:t>
      </w:r>
      <w:r w:rsidR="00332288">
        <w:rPr>
          <w:rFonts w:hint="cs"/>
          <w:rtl/>
        </w:rPr>
        <w:t>,</w:t>
      </w:r>
      <w:r w:rsidRPr="00F129DB">
        <w:rPr>
          <w:rtl/>
        </w:rPr>
        <w:t xml:space="preserve"> ערוץ הנחל התחתר ו</w:t>
      </w:r>
      <w:r w:rsidRPr="00F129DB">
        <w:rPr>
          <w:rFonts w:hint="eastAsia"/>
          <w:rtl/>
        </w:rPr>
        <w:t>היה</w:t>
      </w:r>
      <w:r w:rsidRPr="00F129DB">
        <w:rPr>
          <w:rtl/>
        </w:rPr>
        <w:t xml:space="preserve"> </w:t>
      </w:r>
      <w:r w:rsidRPr="00F129DB">
        <w:rPr>
          <w:rFonts w:hint="eastAsia"/>
          <w:rtl/>
        </w:rPr>
        <w:t>נדרש</w:t>
      </w:r>
      <w:r w:rsidRPr="00F129DB">
        <w:rPr>
          <w:rtl/>
        </w:rPr>
        <w:t xml:space="preserve"> </w:t>
      </w:r>
      <w:r w:rsidRPr="00F129DB">
        <w:rPr>
          <w:rFonts w:hint="eastAsia"/>
          <w:rtl/>
        </w:rPr>
        <w:t>לבצע</w:t>
      </w:r>
      <w:r w:rsidRPr="00F129DB">
        <w:rPr>
          <w:rtl/>
        </w:rPr>
        <w:t xml:space="preserve"> </w:t>
      </w:r>
      <w:r w:rsidRPr="00F129DB">
        <w:rPr>
          <w:rFonts w:hint="eastAsia"/>
          <w:rtl/>
        </w:rPr>
        <w:t>תיקון</w:t>
      </w:r>
      <w:r w:rsidRPr="00F129DB">
        <w:rPr>
          <w:rtl/>
        </w:rPr>
        <w:t xml:space="preserve"> </w:t>
      </w:r>
      <w:r w:rsidRPr="00F129DB">
        <w:rPr>
          <w:rFonts w:hint="eastAsia"/>
          <w:rtl/>
        </w:rPr>
        <w:t>לכביש</w:t>
      </w:r>
      <w:r w:rsidRPr="00F129DB">
        <w:rPr>
          <w:rtl/>
        </w:rPr>
        <w:t xml:space="preserve"> </w:t>
      </w:r>
      <w:r w:rsidRPr="00F129DB">
        <w:rPr>
          <w:rFonts w:hint="eastAsia"/>
          <w:rtl/>
        </w:rPr>
        <w:t>כדי</w:t>
      </w:r>
      <w:r w:rsidRPr="00F129DB">
        <w:rPr>
          <w:rtl/>
        </w:rPr>
        <w:t xml:space="preserve"> </w:t>
      </w:r>
      <w:r w:rsidRPr="00F129DB">
        <w:rPr>
          <w:rFonts w:hint="eastAsia"/>
          <w:rtl/>
        </w:rPr>
        <w:t>למנוע</w:t>
      </w:r>
      <w:r w:rsidRPr="00F129DB">
        <w:rPr>
          <w:rtl/>
        </w:rPr>
        <w:t xml:space="preserve"> </w:t>
      </w:r>
      <w:r w:rsidRPr="00F129DB">
        <w:rPr>
          <w:rFonts w:hint="eastAsia"/>
          <w:rtl/>
        </w:rPr>
        <w:t>סכנה</w:t>
      </w:r>
      <w:r w:rsidRPr="00F129DB">
        <w:rPr>
          <w:rtl/>
        </w:rPr>
        <w:t xml:space="preserve"> </w:t>
      </w:r>
      <w:r w:rsidRPr="00F129DB">
        <w:rPr>
          <w:rFonts w:hint="eastAsia"/>
          <w:rtl/>
        </w:rPr>
        <w:t>בטיחותית</w:t>
      </w:r>
      <w:r w:rsidRPr="00F129DB">
        <w:rPr>
          <w:rtl/>
        </w:rPr>
        <w:t>.</w:t>
      </w:r>
    </w:p>
    <w:p w:rsidR="006734B0" w:rsidRPr="00F129DB" w:rsidP="00F129DB" w14:paraId="52253836" w14:textId="3DB4C9AC">
      <w:pPr>
        <w:pStyle w:val="734"/>
        <w:rPr>
          <w:rtl/>
        </w:rPr>
      </w:pPr>
      <w:r w:rsidRPr="00F129DB">
        <w:rPr>
          <w:rFonts w:hint="cs"/>
          <w:b w:val="0"/>
          <w:bCs w:val="0"/>
          <w:rtl/>
        </w:rPr>
        <w:t>תמונה</w:t>
      </w:r>
      <w:r w:rsidR="00D0542F">
        <w:rPr>
          <w:rFonts w:hint="cs"/>
          <w:b w:val="0"/>
          <w:bCs w:val="0"/>
          <w:rtl/>
        </w:rPr>
        <w:t xml:space="preserve"> 10</w:t>
      </w:r>
      <w:r w:rsidRPr="00F129DB">
        <w:rPr>
          <w:rFonts w:hint="cs"/>
          <w:b w:val="0"/>
          <w:bCs w:val="0"/>
          <w:rtl/>
        </w:rPr>
        <w:t>:</w:t>
      </w:r>
      <w:r w:rsidRPr="00F129DB">
        <w:rPr>
          <w:rFonts w:hint="cs"/>
          <w:rtl/>
        </w:rPr>
        <w:t xml:space="preserve"> כביש 90 בסמוך לבור הכרייה בנחל רחף</w:t>
      </w:r>
    </w:p>
    <w:p w:rsidR="006734B0" w:rsidP="006734B0" w14:paraId="78EA5D4F" w14:textId="77777777">
      <w:pPr>
        <w:spacing w:line="360" w:lineRule="auto"/>
        <w:rPr>
          <w:rtl/>
        </w:rPr>
      </w:pPr>
      <w:r>
        <w:rPr>
          <w:noProof/>
        </w:rPr>
        <w:drawing>
          <wp:inline distT="0" distB="0" distL="0" distR="0">
            <wp:extent cx="4726721" cy="3352574"/>
            <wp:effectExtent l="0" t="0" r="0" b="635"/>
            <wp:docPr id="51506547" name="תמונה 51506547" descr="תמונה שמכילה בחוץ, שמיים, הריסות, קרקע&#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06547" name="תמונה 51506547" descr="תמונה שמכילה בחוץ, שמיים, הריסות, קרקע&#10;&#10;תוכן שנוצר על-ידי בינה מלאכותית עשוי להיות שגוי."/>
                    <pic:cNvPicPr/>
                  </pic:nvPicPr>
                  <pic:blipFill>
                    <a:blip xmlns:r="http://schemas.openxmlformats.org/officeDocument/2006/relationships" r:embed="rId49"/>
                    <a:stretch>
                      <a:fillRect/>
                    </a:stretch>
                  </pic:blipFill>
                  <pic:spPr>
                    <a:xfrm>
                      <a:off x="0" y="0"/>
                      <a:ext cx="4749025" cy="3368394"/>
                    </a:xfrm>
                    <a:prstGeom prst="rect">
                      <a:avLst/>
                    </a:prstGeom>
                  </pic:spPr>
                </pic:pic>
              </a:graphicData>
            </a:graphic>
          </wp:inline>
        </w:drawing>
      </w:r>
    </w:p>
    <w:p w:rsidR="006734B0" w:rsidRPr="00F129DB" w:rsidP="00F129DB" w14:paraId="520A9CE7" w14:textId="77777777">
      <w:pPr>
        <w:pStyle w:val="738"/>
        <w:rPr>
          <w:rtl/>
        </w:rPr>
      </w:pPr>
      <w:r w:rsidRPr="00F129DB">
        <w:rPr>
          <w:rFonts w:hint="cs"/>
          <w:rtl/>
        </w:rPr>
        <w:t xml:space="preserve">המקור: המועצה האזורית תמר. </w:t>
      </w:r>
    </w:p>
    <w:p w:rsidR="006734B0" w:rsidRPr="00F129DB" w:rsidP="00F129DB" w14:paraId="7C3237D6" w14:textId="77777777">
      <w:pPr>
        <w:pStyle w:val="7318"/>
        <w:rPr>
          <w:rtl/>
        </w:rPr>
      </w:pPr>
      <w:r w:rsidRPr="00F129DB">
        <w:rPr>
          <w:rFonts w:hint="cs"/>
          <w:rtl/>
        </w:rPr>
        <w:t xml:space="preserve">אתרי כרייה נטושים שלא בוצעו בהם פעולות שיקום מהווים מפגע נופי וסביבתי. הם בגדר "פצע פתוח" בלב שטחים פתוחים וטבעיים בנוף הייחודי של ים המלח. משום כך קיימת חשיבות רבה לשיקום אתרי הכרייה הנטושים ששימשו את </w:t>
      </w:r>
      <w:r w:rsidRPr="00F129DB">
        <w:rPr>
          <w:rFonts w:hint="cs"/>
          <w:rtl/>
        </w:rPr>
        <w:t>מי"ה</w:t>
      </w:r>
      <w:r w:rsidRPr="00F129DB">
        <w:rPr>
          <w:rFonts w:hint="cs"/>
          <w:rtl/>
        </w:rPr>
        <w:t xml:space="preserve"> במשך השנים, קודם סיום הזיכיון. נמצא כי משרד </w:t>
      </w:r>
      <w:r w:rsidRPr="00F129DB">
        <w:rPr>
          <w:rFonts w:hint="cs"/>
          <w:rtl/>
        </w:rPr>
        <w:t>האנרגייה</w:t>
      </w:r>
      <w:r w:rsidRPr="00F129DB">
        <w:rPr>
          <w:rFonts w:hint="cs"/>
          <w:rtl/>
        </w:rPr>
        <w:t xml:space="preserve">, המשמש כמשרד האחראי לתחום הכרייה והחציבה החל משנת 1996, והמשרד </w:t>
      </w:r>
      <w:r w:rsidRPr="00F129DB">
        <w:rPr>
          <w:rFonts w:hint="cs"/>
          <w:rtl/>
        </w:rPr>
        <w:t>להג"ס</w:t>
      </w:r>
      <w:r w:rsidRPr="00F129DB">
        <w:rPr>
          <w:rFonts w:hint="cs"/>
          <w:rtl/>
        </w:rPr>
        <w:t xml:space="preserve">, המשמש כמשרד האחראי לשמירה על הסביבה - לא דרשו </w:t>
      </w:r>
      <w:r w:rsidRPr="00F129DB">
        <w:rPr>
          <w:rFonts w:hint="cs"/>
          <w:rtl/>
        </w:rPr>
        <w:t>ממי"ה</w:t>
      </w:r>
      <w:r w:rsidRPr="00F129DB">
        <w:rPr>
          <w:rFonts w:hint="cs"/>
          <w:rtl/>
        </w:rPr>
        <w:t xml:space="preserve"> לבצע שיקום מלא של אתרי הכרייה בתחום הזיכיון. הקרן לשיקום אתרי ים המלח ביצעה שיקום נקודתי ופרטני</w:t>
      </w:r>
      <w:r>
        <w:rPr>
          <w:rStyle w:val="FootnoteReference1"/>
          <w:rtl/>
        </w:rPr>
        <w:footnoteReference w:id="50"/>
      </w:r>
      <w:r w:rsidRPr="00F129DB">
        <w:rPr>
          <w:rFonts w:hint="cs"/>
          <w:rtl/>
        </w:rPr>
        <w:t xml:space="preserve">, אך אף אחד מאתרי הכרייה בתחום הזיכיון לא שוקם במלואו. הפער באי-שיקום אתרי הכרייה מתחדד, שעה שמשרד </w:t>
      </w:r>
      <w:r w:rsidRPr="00F129DB">
        <w:rPr>
          <w:rFonts w:hint="cs"/>
          <w:rtl/>
        </w:rPr>
        <w:t>האנרגייה</w:t>
      </w:r>
      <w:r w:rsidRPr="00F129DB">
        <w:rPr>
          <w:rFonts w:hint="cs"/>
          <w:rtl/>
        </w:rPr>
        <w:t xml:space="preserve"> </w:t>
      </w:r>
      <w:r w:rsidRPr="00F129DB">
        <w:rPr>
          <w:rFonts w:hint="eastAsia"/>
          <w:rtl/>
        </w:rPr>
        <w:t>לא</w:t>
      </w:r>
      <w:r w:rsidRPr="00F129DB">
        <w:rPr>
          <w:rtl/>
        </w:rPr>
        <w:t xml:space="preserve"> </w:t>
      </w:r>
      <w:r w:rsidRPr="00F129DB">
        <w:rPr>
          <w:rFonts w:hint="eastAsia"/>
          <w:rtl/>
        </w:rPr>
        <w:t>דרש</w:t>
      </w:r>
      <w:r w:rsidRPr="00F129DB">
        <w:rPr>
          <w:rtl/>
        </w:rPr>
        <w:t xml:space="preserve"> </w:t>
      </w:r>
      <w:r w:rsidRPr="00F129DB">
        <w:rPr>
          <w:rFonts w:hint="eastAsia"/>
          <w:rtl/>
        </w:rPr>
        <w:t>ממי</w:t>
      </w:r>
      <w:r w:rsidRPr="00F129DB">
        <w:rPr>
          <w:rtl/>
        </w:rPr>
        <w:t>"ה</w:t>
      </w:r>
      <w:r w:rsidRPr="00F129DB">
        <w:rPr>
          <w:rtl/>
        </w:rPr>
        <w:t xml:space="preserve"> תשלום </w:t>
      </w:r>
      <w:r w:rsidRPr="00F129DB">
        <w:rPr>
          <w:rFonts w:hint="eastAsia"/>
          <w:rtl/>
        </w:rPr>
        <w:t>לקרן</w:t>
      </w:r>
      <w:r w:rsidRPr="00F129DB">
        <w:rPr>
          <w:rtl/>
        </w:rPr>
        <w:t xml:space="preserve"> </w:t>
      </w:r>
      <w:r w:rsidRPr="00F129DB">
        <w:rPr>
          <w:rFonts w:hint="eastAsia"/>
          <w:rtl/>
        </w:rPr>
        <w:t>לשיקום</w:t>
      </w:r>
      <w:r w:rsidRPr="00F129DB">
        <w:rPr>
          <w:rtl/>
        </w:rPr>
        <w:t xml:space="preserve"> </w:t>
      </w:r>
      <w:r w:rsidRPr="00F129DB">
        <w:rPr>
          <w:rFonts w:hint="eastAsia"/>
          <w:rtl/>
        </w:rPr>
        <w:t>מחצבות</w:t>
      </w:r>
      <w:r w:rsidRPr="00F129DB">
        <w:rPr>
          <w:rtl/>
        </w:rPr>
        <w:t xml:space="preserve">, </w:t>
      </w:r>
      <w:r w:rsidRPr="00F129DB">
        <w:rPr>
          <w:rFonts w:hint="eastAsia"/>
          <w:rtl/>
        </w:rPr>
        <w:t>תשלום</w:t>
      </w:r>
      <w:r w:rsidRPr="00F129DB">
        <w:rPr>
          <w:rtl/>
        </w:rPr>
        <w:t xml:space="preserve"> </w:t>
      </w:r>
      <w:r w:rsidRPr="00F129DB">
        <w:rPr>
          <w:rFonts w:hint="eastAsia"/>
          <w:rtl/>
        </w:rPr>
        <w:t>שהיה</w:t>
      </w:r>
      <w:r w:rsidRPr="00F129DB">
        <w:rPr>
          <w:rtl/>
        </w:rPr>
        <w:t xml:space="preserve"> </w:t>
      </w:r>
      <w:r w:rsidRPr="00F129DB">
        <w:rPr>
          <w:rFonts w:hint="eastAsia"/>
          <w:rtl/>
        </w:rPr>
        <w:t>יכול</w:t>
      </w:r>
      <w:r w:rsidRPr="00F129DB">
        <w:rPr>
          <w:rtl/>
        </w:rPr>
        <w:t xml:space="preserve"> </w:t>
      </w:r>
      <w:r w:rsidRPr="00F129DB">
        <w:rPr>
          <w:rFonts w:hint="eastAsia"/>
          <w:rtl/>
        </w:rPr>
        <w:t>להיות</w:t>
      </w:r>
      <w:r w:rsidRPr="00F129DB">
        <w:rPr>
          <w:rtl/>
        </w:rPr>
        <w:t xml:space="preserve"> </w:t>
      </w:r>
      <w:r w:rsidRPr="00F129DB">
        <w:rPr>
          <w:rFonts w:hint="eastAsia"/>
          <w:rtl/>
        </w:rPr>
        <w:t>אחד</w:t>
      </w:r>
      <w:r w:rsidRPr="00F129DB">
        <w:rPr>
          <w:rtl/>
        </w:rPr>
        <w:t xml:space="preserve"> </w:t>
      </w:r>
      <w:r w:rsidRPr="00F129DB">
        <w:rPr>
          <w:rFonts w:hint="eastAsia"/>
          <w:rtl/>
        </w:rPr>
        <w:t>ממקורות</w:t>
      </w:r>
      <w:r w:rsidRPr="00F129DB">
        <w:rPr>
          <w:rtl/>
        </w:rPr>
        <w:t xml:space="preserve"> </w:t>
      </w:r>
      <w:r w:rsidRPr="00F129DB">
        <w:rPr>
          <w:rFonts w:hint="eastAsia"/>
          <w:rtl/>
        </w:rPr>
        <w:t>המימון</w:t>
      </w:r>
      <w:r w:rsidRPr="00F129DB">
        <w:rPr>
          <w:rtl/>
        </w:rPr>
        <w:t xml:space="preserve"> </w:t>
      </w:r>
      <w:r w:rsidRPr="00F129DB">
        <w:rPr>
          <w:rFonts w:hint="eastAsia"/>
          <w:rtl/>
        </w:rPr>
        <w:t>לביצוע</w:t>
      </w:r>
      <w:r w:rsidRPr="00F129DB">
        <w:rPr>
          <w:rtl/>
        </w:rPr>
        <w:t xml:space="preserve"> </w:t>
      </w:r>
      <w:r w:rsidRPr="00F129DB">
        <w:rPr>
          <w:rFonts w:hint="eastAsia"/>
          <w:rtl/>
        </w:rPr>
        <w:t>השיקום</w:t>
      </w:r>
      <w:r w:rsidRPr="00F129DB">
        <w:rPr>
          <w:rtl/>
        </w:rPr>
        <w:t>.</w:t>
      </w:r>
      <w:r w:rsidRPr="00F129DB">
        <w:rPr>
          <w:rFonts w:hint="cs"/>
          <w:rtl/>
        </w:rPr>
        <w:t xml:space="preserve"> </w:t>
      </w:r>
    </w:p>
    <w:p w:rsidR="006734B0" w:rsidRPr="003D54B9" w:rsidP="00F129DB" w14:paraId="2D94F87E" w14:textId="77777777">
      <w:pPr>
        <w:pStyle w:val="7392"/>
        <w:rPr>
          <w:rtl/>
        </w:rPr>
      </w:pPr>
      <w:r>
        <w:rPr>
          <w:rFonts w:hint="cs"/>
          <w:rtl/>
        </w:rPr>
        <w:t xml:space="preserve">משרד האוצר מסר בתשובתו למשרד מבקר המדינה כי הצוות הבין-משרדי להיערכות לתום תקופת הזיכיון המליץ כי בהתאם לעיקרון "המזהם משלם" על </w:t>
      </w:r>
      <w:r>
        <w:rPr>
          <w:rFonts w:hint="cs"/>
          <w:rtl/>
        </w:rPr>
        <w:t>מי"ה</w:t>
      </w:r>
      <w:r>
        <w:rPr>
          <w:rFonts w:hint="cs"/>
          <w:rtl/>
        </w:rPr>
        <w:t xml:space="preserve"> לפעול לשיקום אתרי הכרייה ככל הניתן עד סיום תקופת הזיכיון, ואם יידרש גם לאחר מכן. משרד </w:t>
      </w:r>
      <w:r>
        <w:rPr>
          <w:rFonts w:hint="cs"/>
          <w:rtl/>
        </w:rPr>
        <w:t>האנרגייה</w:t>
      </w:r>
      <w:r>
        <w:rPr>
          <w:rFonts w:hint="cs"/>
          <w:rtl/>
        </w:rPr>
        <w:t xml:space="preserve"> מסר בתשובתו למשרד מבקר המדינה כי אם תהיה דרישה </w:t>
      </w:r>
      <w:r>
        <w:rPr>
          <w:rFonts w:hint="cs"/>
          <w:rtl/>
        </w:rPr>
        <w:t>שמי"ה</w:t>
      </w:r>
      <w:r>
        <w:rPr>
          <w:rFonts w:hint="cs"/>
          <w:rtl/>
        </w:rPr>
        <w:t xml:space="preserve"> יבצעו את השיקום בכוחות עצמם, הם יבצעו זאת, ללא כל התנגדות. </w:t>
      </w:r>
    </w:p>
    <w:p w:rsidR="006734B0" w:rsidRPr="000A0264" w:rsidP="00F129DB" w14:paraId="470DB50B" w14:textId="146487B5">
      <w:pPr>
        <w:pStyle w:val="7392"/>
        <w:rPr>
          <w:rtl/>
        </w:rPr>
      </w:pPr>
      <w:r w:rsidRPr="00E0476B">
        <w:rPr>
          <w:rFonts w:hint="eastAsia"/>
          <w:rtl/>
        </w:rPr>
        <w:t>לדעת</w:t>
      </w:r>
      <w:r w:rsidRPr="00E0476B">
        <w:rPr>
          <w:rtl/>
        </w:rPr>
        <w:t xml:space="preserve"> </w:t>
      </w:r>
      <w:r w:rsidRPr="00E0476B">
        <w:rPr>
          <w:rFonts w:hint="eastAsia"/>
          <w:rtl/>
        </w:rPr>
        <w:t>משרד</w:t>
      </w:r>
      <w:r w:rsidRPr="00E0476B">
        <w:rPr>
          <w:rtl/>
        </w:rPr>
        <w:t xml:space="preserve"> </w:t>
      </w:r>
      <w:r w:rsidRPr="00E0476B">
        <w:rPr>
          <w:rFonts w:hint="eastAsia"/>
          <w:rtl/>
        </w:rPr>
        <w:t>מבקר</w:t>
      </w:r>
      <w:r w:rsidRPr="00E0476B">
        <w:rPr>
          <w:rtl/>
        </w:rPr>
        <w:t xml:space="preserve"> </w:t>
      </w:r>
      <w:r w:rsidRPr="00E0476B">
        <w:rPr>
          <w:rFonts w:hint="eastAsia"/>
          <w:rtl/>
        </w:rPr>
        <w:t>המדינה</w:t>
      </w:r>
      <w:r w:rsidRPr="00E0476B">
        <w:rPr>
          <w:rtl/>
        </w:rPr>
        <w:t xml:space="preserve"> </w:t>
      </w:r>
      <w:r w:rsidRPr="00E0476B">
        <w:rPr>
          <w:rFonts w:hint="cs"/>
          <w:rtl/>
        </w:rPr>
        <w:t xml:space="preserve">אין </w:t>
      </w:r>
      <w:r>
        <w:rPr>
          <w:rFonts w:hint="cs"/>
          <w:rtl/>
        </w:rPr>
        <w:t xml:space="preserve">להסתפק באמירות כלליות בדבר אימוץ עקרון "המזהם משלם". העובדה שנכון למועד הביקורת לא שוקמו כל אתרי הכרייה שבהם השתמשה </w:t>
      </w:r>
      <w:r>
        <w:rPr>
          <w:rFonts w:hint="cs"/>
          <w:rtl/>
        </w:rPr>
        <w:t>מי"ה</w:t>
      </w:r>
      <w:r>
        <w:rPr>
          <w:rFonts w:hint="cs"/>
          <w:rtl/>
        </w:rPr>
        <w:t xml:space="preserve"> מלמדת כי אין מקום להסתמך על הנחות שלפיהן השיקום יבוצע ללא כל התנגדות. מן הראוי היה כי משרד האוצר, בתיאום עם </w:t>
      </w:r>
      <w:r w:rsidRPr="009A33AB" w:rsidR="009A33AB">
        <w:rPr>
          <w:rtl/>
        </w:rPr>
        <w:t xml:space="preserve">משרדי </w:t>
      </w:r>
      <w:r w:rsidRPr="009A33AB" w:rsidR="009A33AB">
        <w:rPr>
          <w:rtl/>
        </w:rPr>
        <w:t>האנרגייה</w:t>
      </w:r>
      <w:r w:rsidRPr="009A33AB" w:rsidR="009A33AB">
        <w:rPr>
          <w:rtl/>
        </w:rPr>
        <w:t xml:space="preserve"> </w:t>
      </w:r>
      <w:r w:rsidRPr="009A33AB" w:rsidR="009A33AB">
        <w:rPr>
          <w:rtl/>
        </w:rPr>
        <w:t>והג"ס</w:t>
      </w:r>
      <w:r w:rsidRPr="009A33AB" w:rsidR="009A33AB">
        <w:rPr>
          <w:rtl/>
        </w:rPr>
        <w:t xml:space="preserve"> ועם </w:t>
      </w:r>
      <w:r w:rsidRPr="009A33AB" w:rsidR="009A33AB">
        <w:rPr>
          <w:rtl/>
        </w:rPr>
        <w:t>רמ"י</w:t>
      </w:r>
      <w:r>
        <w:rPr>
          <w:rFonts w:hint="cs"/>
          <w:rtl/>
        </w:rPr>
        <w:t>, יפעלו כבר במהלך תקופת הזיכיון כדי לוודא כי אתרי הכרייה ישוקמו ולא יהיו בגדר מפגע סביבתי. העובדה שרק כעת, לקראת תום תקופת הזיכיון, משרדי הממשלה האמורים מוצאים לנכון להידרש לנושא, כאשר הם יודעים כי אפשר שפעולות השיקום שיידרשו יימשכו גם לאחר תום תקופת הזיכיון הנוכחי</w:t>
      </w:r>
      <w:r w:rsidRPr="00483414">
        <w:rPr>
          <w:rFonts w:hint="cs"/>
          <w:rtl/>
        </w:rPr>
        <w:t xml:space="preserve">, </w:t>
      </w:r>
      <w:r w:rsidRPr="00483414">
        <w:rPr>
          <w:rFonts w:hint="eastAsia"/>
          <w:rtl/>
        </w:rPr>
        <w:t>מ</w:t>
      </w:r>
      <w:r w:rsidRPr="0054228F">
        <w:rPr>
          <w:rFonts w:hint="eastAsia"/>
          <w:rtl/>
        </w:rPr>
        <w:t>למדת</w:t>
      </w:r>
      <w:r w:rsidRPr="00483414">
        <w:rPr>
          <w:rtl/>
        </w:rPr>
        <w:t xml:space="preserve"> על </w:t>
      </w:r>
      <w:r w:rsidRPr="00483414">
        <w:rPr>
          <w:rFonts w:hint="eastAsia"/>
          <w:rtl/>
        </w:rPr>
        <w:t>כשל</w:t>
      </w:r>
      <w:r w:rsidRPr="00483414">
        <w:rPr>
          <w:rtl/>
        </w:rPr>
        <w:t xml:space="preserve"> </w:t>
      </w:r>
      <w:r w:rsidRPr="00483414">
        <w:rPr>
          <w:rFonts w:hint="eastAsia"/>
          <w:rtl/>
        </w:rPr>
        <w:t>מתמשך</w:t>
      </w:r>
      <w:r w:rsidRPr="00483414">
        <w:rPr>
          <w:rtl/>
        </w:rPr>
        <w:t xml:space="preserve"> לאורך </w:t>
      </w:r>
      <w:r w:rsidRPr="00483414">
        <w:rPr>
          <w:rFonts w:hint="eastAsia"/>
          <w:rtl/>
        </w:rPr>
        <w:t>שנים</w:t>
      </w:r>
      <w:r>
        <w:rPr>
          <w:rFonts w:hint="cs"/>
          <w:rtl/>
        </w:rPr>
        <w:t xml:space="preserve"> בטיפול בנושא. דברים אלו מתחדדים על רקע תשובת משרד </w:t>
      </w:r>
      <w:r>
        <w:rPr>
          <w:rFonts w:hint="cs"/>
          <w:rtl/>
        </w:rPr>
        <w:t>האנרגייה</w:t>
      </w:r>
      <w:r>
        <w:rPr>
          <w:rFonts w:hint="cs"/>
          <w:rtl/>
        </w:rPr>
        <w:t xml:space="preserve"> ולפיה </w:t>
      </w:r>
      <w:r w:rsidRPr="007B67E7">
        <w:rPr>
          <w:rFonts w:hint="eastAsia"/>
          <w:rtl/>
        </w:rPr>
        <w:t>אין</w:t>
      </w:r>
      <w:r w:rsidRPr="007B67E7">
        <w:rPr>
          <w:rtl/>
        </w:rPr>
        <w:t xml:space="preserve"> צורך בהפרשת כספים של </w:t>
      </w:r>
      <w:r w:rsidRPr="007B67E7">
        <w:rPr>
          <w:rFonts w:hint="eastAsia"/>
          <w:rtl/>
        </w:rPr>
        <w:t>מי</w:t>
      </w:r>
      <w:r w:rsidRPr="007B67E7">
        <w:rPr>
          <w:rtl/>
        </w:rPr>
        <w:t>"ה</w:t>
      </w:r>
      <w:r w:rsidRPr="007B67E7">
        <w:rPr>
          <w:rtl/>
        </w:rPr>
        <w:t xml:space="preserve"> </w:t>
      </w:r>
      <w:r w:rsidR="009A33AB">
        <w:rPr>
          <w:rFonts w:hint="cs"/>
          <w:rtl/>
        </w:rPr>
        <w:t>לקש</w:t>
      </w:r>
      <w:r w:rsidRPr="00D816B7" w:rsidR="009A33AB">
        <w:rPr>
          <w:rFonts w:hint="cs"/>
          <w:rtl/>
        </w:rPr>
        <w:t>"</w:t>
      </w:r>
      <w:r w:rsidR="009A33AB">
        <w:rPr>
          <w:rFonts w:hint="cs"/>
          <w:rtl/>
        </w:rPr>
        <w:t>ם</w:t>
      </w:r>
      <w:r w:rsidR="009A33AB">
        <w:rPr>
          <w:rFonts w:hint="cs"/>
          <w:rtl/>
        </w:rPr>
        <w:t xml:space="preserve"> </w:t>
      </w:r>
      <w:r w:rsidRPr="007B67E7">
        <w:rPr>
          <w:rtl/>
        </w:rPr>
        <w:t>מאחר שה</w:t>
      </w:r>
      <w:r w:rsidRPr="007B67E7">
        <w:rPr>
          <w:rFonts w:hint="eastAsia"/>
          <w:rtl/>
        </w:rPr>
        <w:t>ציפייה</w:t>
      </w:r>
      <w:r w:rsidRPr="007B67E7">
        <w:rPr>
          <w:rtl/>
        </w:rPr>
        <w:t xml:space="preserve"> </w:t>
      </w:r>
      <w:r w:rsidRPr="007B67E7">
        <w:rPr>
          <w:rFonts w:hint="eastAsia"/>
          <w:rtl/>
        </w:rPr>
        <w:t>היא</w:t>
      </w:r>
      <w:r w:rsidRPr="007B67E7">
        <w:rPr>
          <w:rtl/>
        </w:rPr>
        <w:t xml:space="preserve"> </w:t>
      </w:r>
      <w:r w:rsidRPr="007B67E7">
        <w:rPr>
          <w:rFonts w:hint="eastAsia"/>
          <w:rtl/>
        </w:rPr>
        <w:t>שהיא</w:t>
      </w:r>
      <w:r w:rsidRPr="007B67E7">
        <w:rPr>
          <w:rtl/>
        </w:rPr>
        <w:t xml:space="preserve"> </w:t>
      </w:r>
      <w:r w:rsidRPr="007B67E7">
        <w:rPr>
          <w:rFonts w:hint="eastAsia"/>
          <w:rtl/>
        </w:rPr>
        <w:t>תבצע</w:t>
      </w:r>
      <w:r w:rsidRPr="007B67E7">
        <w:rPr>
          <w:rtl/>
        </w:rPr>
        <w:t xml:space="preserve"> </w:t>
      </w:r>
      <w:r w:rsidRPr="007B67E7">
        <w:rPr>
          <w:rFonts w:hint="eastAsia"/>
          <w:rtl/>
        </w:rPr>
        <w:t>בעצמה</w:t>
      </w:r>
      <w:r w:rsidRPr="007B67E7">
        <w:rPr>
          <w:rtl/>
        </w:rPr>
        <w:t xml:space="preserve"> </w:t>
      </w:r>
      <w:r w:rsidRPr="007B67E7">
        <w:rPr>
          <w:rFonts w:hint="eastAsia"/>
          <w:rtl/>
        </w:rPr>
        <w:t>את</w:t>
      </w:r>
      <w:r w:rsidRPr="007B67E7">
        <w:rPr>
          <w:rtl/>
        </w:rPr>
        <w:t xml:space="preserve"> </w:t>
      </w:r>
      <w:r w:rsidRPr="007B67E7">
        <w:rPr>
          <w:rFonts w:hint="eastAsia"/>
          <w:rtl/>
        </w:rPr>
        <w:t>השיקום</w:t>
      </w:r>
      <w:r w:rsidRPr="007B67E7">
        <w:rPr>
          <w:rtl/>
        </w:rPr>
        <w:t xml:space="preserve"> </w:t>
      </w:r>
      <w:r w:rsidRPr="007B67E7">
        <w:rPr>
          <w:rFonts w:hint="eastAsia"/>
          <w:rtl/>
        </w:rPr>
        <w:t>ללא</w:t>
      </w:r>
      <w:r w:rsidRPr="007B67E7">
        <w:rPr>
          <w:rtl/>
        </w:rPr>
        <w:t xml:space="preserve"> </w:t>
      </w:r>
      <w:r w:rsidRPr="007B67E7">
        <w:rPr>
          <w:rFonts w:hint="eastAsia"/>
          <w:rtl/>
        </w:rPr>
        <w:t>כל</w:t>
      </w:r>
      <w:r w:rsidRPr="007B67E7">
        <w:rPr>
          <w:rtl/>
        </w:rPr>
        <w:t xml:space="preserve"> </w:t>
      </w:r>
      <w:r w:rsidRPr="007B67E7">
        <w:rPr>
          <w:rFonts w:hint="eastAsia"/>
          <w:rtl/>
        </w:rPr>
        <w:t>התנגדות</w:t>
      </w:r>
      <w:r w:rsidRPr="007B67E7">
        <w:rPr>
          <w:rtl/>
        </w:rPr>
        <w:t xml:space="preserve">, </w:t>
      </w:r>
      <w:r w:rsidRPr="007B67E7">
        <w:rPr>
          <w:rFonts w:hint="eastAsia"/>
          <w:rtl/>
        </w:rPr>
        <w:t>זאת</w:t>
      </w:r>
      <w:r w:rsidRPr="007B67E7">
        <w:rPr>
          <w:rtl/>
        </w:rPr>
        <w:t xml:space="preserve"> </w:t>
      </w:r>
      <w:r w:rsidRPr="007B67E7">
        <w:rPr>
          <w:rFonts w:hint="eastAsia"/>
          <w:rtl/>
        </w:rPr>
        <w:t>בזמן</w:t>
      </w:r>
      <w:r w:rsidRPr="007B67E7">
        <w:rPr>
          <w:rtl/>
        </w:rPr>
        <w:t xml:space="preserve"> </w:t>
      </w:r>
      <w:r w:rsidRPr="007B67E7">
        <w:rPr>
          <w:rFonts w:hint="eastAsia"/>
          <w:rtl/>
        </w:rPr>
        <w:t>שהמדינה</w:t>
      </w:r>
      <w:r w:rsidRPr="007B67E7">
        <w:rPr>
          <w:rtl/>
        </w:rPr>
        <w:t xml:space="preserve"> </w:t>
      </w:r>
      <w:r w:rsidRPr="007B67E7">
        <w:rPr>
          <w:rFonts w:hint="eastAsia"/>
          <w:rtl/>
        </w:rPr>
        <w:t>לא</w:t>
      </w:r>
      <w:r w:rsidRPr="007B67E7">
        <w:rPr>
          <w:rtl/>
        </w:rPr>
        <w:t xml:space="preserve"> </w:t>
      </w:r>
      <w:r w:rsidRPr="007B67E7">
        <w:rPr>
          <w:rFonts w:hint="eastAsia"/>
          <w:rtl/>
        </w:rPr>
        <w:t>גבתה</w:t>
      </w:r>
      <w:r w:rsidRPr="007B67E7">
        <w:rPr>
          <w:rtl/>
        </w:rPr>
        <w:t xml:space="preserve"> </w:t>
      </w:r>
      <w:r w:rsidRPr="007B67E7">
        <w:rPr>
          <w:rFonts w:hint="eastAsia"/>
          <w:rtl/>
        </w:rPr>
        <w:t>כל</w:t>
      </w:r>
      <w:r w:rsidRPr="007B67E7">
        <w:rPr>
          <w:rtl/>
        </w:rPr>
        <w:t xml:space="preserve"> </w:t>
      </w:r>
      <w:r w:rsidRPr="007B67E7">
        <w:rPr>
          <w:rFonts w:hint="eastAsia"/>
          <w:rtl/>
        </w:rPr>
        <w:t>ערובה</w:t>
      </w:r>
      <w:r w:rsidRPr="007B67E7">
        <w:rPr>
          <w:rtl/>
        </w:rPr>
        <w:t xml:space="preserve"> </w:t>
      </w:r>
      <w:r w:rsidRPr="007B67E7">
        <w:rPr>
          <w:rFonts w:hint="eastAsia"/>
          <w:rtl/>
        </w:rPr>
        <w:t>לכך</w:t>
      </w:r>
      <w:r w:rsidRPr="007B67E7">
        <w:rPr>
          <w:rtl/>
        </w:rPr>
        <w:t xml:space="preserve"> </w:t>
      </w:r>
      <w:r w:rsidRPr="007B67E7">
        <w:rPr>
          <w:rFonts w:hint="eastAsia"/>
          <w:rtl/>
        </w:rPr>
        <w:t>שהשיקום</w:t>
      </w:r>
      <w:r w:rsidRPr="007B67E7">
        <w:rPr>
          <w:rtl/>
        </w:rPr>
        <w:t xml:space="preserve"> </w:t>
      </w:r>
      <w:r w:rsidRPr="007B67E7">
        <w:rPr>
          <w:rFonts w:hint="eastAsia"/>
          <w:rtl/>
        </w:rPr>
        <w:t>אכן</w:t>
      </w:r>
      <w:r w:rsidRPr="007B67E7">
        <w:rPr>
          <w:rtl/>
        </w:rPr>
        <w:t xml:space="preserve"> </w:t>
      </w:r>
      <w:r w:rsidRPr="007B67E7">
        <w:rPr>
          <w:rFonts w:hint="eastAsia"/>
          <w:rtl/>
        </w:rPr>
        <w:t>יתבצע</w:t>
      </w:r>
      <w:r w:rsidRPr="007B67E7">
        <w:rPr>
          <w:rtl/>
        </w:rPr>
        <w:t>.</w:t>
      </w:r>
    </w:p>
    <w:p w:rsidR="006734B0" w:rsidRPr="00F129DB" w:rsidP="00F129DB" w14:paraId="73E73478" w14:textId="6DF04A83">
      <w:pPr>
        <w:pStyle w:val="7318"/>
        <w:rPr>
          <w:rtl/>
        </w:rPr>
      </w:pPr>
      <w:r w:rsidRPr="00F129DB">
        <w:rPr>
          <w:rFonts w:hint="cs"/>
          <w:rtl/>
        </w:rPr>
        <w:t xml:space="preserve">על משרד האוצר, כמשרד האחראי לחוק הזיכיון, על משרדי </w:t>
      </w:r>
      <w:r w:rsidRPr="00F129DB">
        <w:rPr>
          <w:rFonts w:hint="cs"/>
          <w:rtl/>
        </w:rPr>
        <w:t>האנרגייה</w:t>
      </w:r>
      <w:r w:rsidRPr="00F129DB">
        <w:rPr>
          <w:rFonts w:hint="cs"/>
          <w:rtl/>
        </w:rPr>
        <w:t xml:space="preserve"> </w:t>
      </w:r>
      <w:r w:rsidRPr="00F129DB">
        <w:rPr>
          <w:rFonts w:hint="cs"/>
          <w:rtl/>
        </w:rPr>
        <w:t>והג"ס</w:t>
      </w:r>
      <w:r w:rsidRPr="00F129DB">
        <w:rPr>
          <w:rFonts w:hint="cs"/>
          <w:rtl/>
        </w:rPr>
        <w:t xml:space="preserve"> ועל </w:t>
      </w:r>
      <w:r w:rsidRPr="00F129DB">
        <w:rPr>
          <w:rFonts w:hint="cs"/>
          <w:rtl/>
        </w:rPr>
        <w:t>רמ"י</w:t>
      </w:r>
      <w:r w:rsidRPr="00F129DB">
        <w:rPr>
          <w:rFonts w:hint="cs"/>
          <w:rtl/>
        </w:rPr>
        <w:t xml:space="preserve"> לפעול כדי להבטיח כי אתרי הכרייה הנטושים שבהם </w:t>
      </w:r>
      <w:r w:rsidRPr="00F129DB">
        <w:rPr>
          <w:rFonts w:hint="cs"/>
          <w:rtl/>
        </w:rPr>
        <w:t>מי"ה</w:t>
      </w:r>
      <w:r w:rsidRPr="00F129DB">
        <w:rPr>
          <w:rFonts w:hint="cs"/>
          <w:rtl/>
        </w:rPr>
        <w:t xml:space="preserve"> השתמשה במשך השנים ישוקמו ולא יהוו מפגע סביבתי, באופן המגשים את עקרון </w:t>
      </w:r>
      <w:r w:rsidRPr="00F129DB" w:rsidR="009A33AB">
        <w:rPr>
          <w:rFonts w:hint="cs"/>
          <w:rtl/>
        </w:rPr>
        <w:t>"</w:t>
      </w:r>
      <w:r w:rsidRPr="00F129DB">
        <w:rPr>
          <w:rFonts w:hint="cs"/>
          <w:rtl/>
        </w:rPr>
        <w:t>המזהם משלם</w:t>
      </w:r>
      <w:r w:rsidRPr="00F129DB" w:rsidR="009A33AB">
        <w:rPr>
          <w:rFonts w:hint="cs"/>
          <w:rtl/>
        </w:rPr>
        <w:t>"</w:t>
      </w:r>
      <w:r w:rsidRPr="00F129DB">
        <w:rPr>
          <w:rFonts w:hint="cs"/>
          <w:rtl/>
        </w:rPr>
        <w:t xml:space="preserve">. מאחר שתקופת הזיכיון עתידה להסתיים בשנת 2030, ועל הפרק עומד פרסום מכרז לזכיין העתידי, על המשרדים האמורים לוודא כי אתרי הכרייה הנטושים ישוקמו עד תום תקופת הזיכיון וכן לבחון את האפשרות לגבות ערבות או בטוחה אחרת שיבטיחו כי </w:t>
      </w:r>
      <w:r w:rsidRPr="00F129DB">
        <w:rPr>
          <w:rFonts w:hint="cs"/>
          <w:rtl/>
        </w:rPr>
        <w:t>מי"ה</w:t>
      </w:r>
      <w:r w:rsidRPr="00F129DB">
        <w:rPr>
          <w:rFonts w:hint="cs"/>
          <w:rtl/>
        </w:rPr>
        <w:t xml:space="preserve"> תבצע את השיקום הנדרש. </w:t>
      </w:r>
    </w:p>
    <w:p w:rsidR="006734B0" w:rsidRPr="008D2DC1" w:rsidP="008D2DC1" w14:paraId="0B8C3304" w14:textId="77777777">
      <w:pPr>
        <w:pStyle w:val="733155"/>
        <w:rPr>
          <w:rtl/>
        </w:rPr>
      </w:pPr>
      <w:r w:rsidRPr="008D2DC1">
        <w:rPr>
          <w:rFonts w:hint="cs"/>
          <w:rtl/>
        </w:rPr>
        <w:t xml:space="preserve">ליקויים ביישום הוראות האסדרה התכנונית של אתרי הכרייה של </w:t>
      </w:r>
      <w:r w:rsidRPr="008D2DC1">
        <w:rPr>
          <w:rFonts w:hint="cs"/>
          <w:rtl/>
        </w:rPr>
        <w:t>מי"ה</w:t>
      </w:r>
      <w:r w:rsidRPr="008D2DC1">
        <w:rPr>
          <w:rFonts w:hint="cs"/>
          <w:rtl/>
        </w:rPr>
        <w:t xml:space="preserve"> </w:t>
      </w:r>
    </w:p>
    <w:p w:rsidR="006734B0" w:rsidP="00F129DB" w14:paraId="1C8DDE32" w14:textId="610334C5">
      <w:pPr>
        <w:pStyle w:val="7392"/>
        <w:rPr>
          <w:rtl/>
        </w:rPr>
      </w:pPr>
      <w:r>
        <w:rPr>
          <w:rFonts w:hint="cs"/>
          <w:rtl/>
        </w:rPr>
        <w:t xml:space="preserve">תוכניות סטטוטוריות לכרייה וחציבה מסדירות </w:t>
      </w:r>
      <w:r w:rsidRPr="00332288" w:rsidR="00332288">
        <w:rPr>
          <w:rtl/>
        </w:rPr>
        <w:t>כמה היבטים סביבתיים משמעותיים ובהם:</w:t>
      </w:r>
      <w:r>
        <w:rPr>
          <w:rFonts w:hint="cs"/>
          <w:rtl/>
        </w:rPr>
        <w:t xml:space="preserve"> הגדרה ותחימה של השטח המותר לכרייה וחציבה, קביעת הוראות בדבר שלביות והחובה למצות תאי שטח קיימים לפני הכניסה לתאי שטח חדשים, קביעת חובות היוועצות (למשל עם רשות הניקוז, </w:t>
      </w:r>
      <w:r>
        <w:rPr>
          <w:rFonts w:hint="cs"/>
          <w:rtl/>
        </w:rPr>
        <w:t>רט"ג</w:t>
      </w:r>
      <w:r>
        <w:rPr>
          <w:rFonts w:hint="cs"/>
          <w:rtl/>
        </w:rPr>
        <w:t xml:space="preserve"> ומהנדס המועצה), קביעת הוראות למניעת מטרדים (כדוגמת אבק, מניעת דליפת דלקים ושמנים) והוראות בדבר שיקום. </w:t>
      </w:r>
    </w:p>
    <w:p w:rsidR="006734B0" w:rsidP="00F129DB" w14:paraId="0991F16B" w14:textId="77777777">
      <w:pPr>
        <w:pStyle w:val="7392"/>
        <w:rPr>
          <w:highlight w:val="yellow"/>
          <w:rtl/>
        </w:rPr>
      </w:pPr>
      <w:r>
        <w:rPr>
          <w:rFonts w:hint="cs"/>
          <w:rtl/>
        </w:rPr>
        <w:t>פעולות הכרייה והחציבה בשטח הזיכיון בוצעו במשך עשרות שנים ללא אסדרה סטטוטורית</w:t>
      </w:r>
      <w:r>
        <w:rPr>
          <w:rStyle w:val="FootnoteReference1"/>
          <w:rtl/>
        </w:rPr>
        <w:footnoteReference w:id="51"/>
      </w:r>
      <w:r>
        <w:rPr>
          <w:rFonts w:hint="cs"/>
          <w:rtl/>
        </w:rPr>
        <w:t xml:space="preserve">. כפועל יוצא מכך, לא ניתנה הדעת על ביצוע החציבה באופן המביא לניצול מיטבי של השטח, ולא בוצעו פעולות הנלוות לאסדרה תכנונית שתכליתן שמירה על הסביבה (כגון תיאום או התייעצות עם רשות הניקוז </w:t>
      </w:r>
      <w:r>
        <w:rPr>
          <w:rFonts w:hint="cs"/>
          <w:rtl/>
        </w:rPr>
        <w:t>ורט"ג</w:t>
      </w:r>
      <w:r>
        <w:rPr>
          <w:rFonts w:hint="cs"/>
          <w:rtl/>
        </w:rPr>
        <w:t xml:space="preserve">, הצבת דרישות למזעור ההשפעות הסביבתיות השליליות (כגון התחתרות נחלים) ולשיקום השטח בד בבד עם הכרייה ולאחר סיום העבודות. בשנת 2008 החלו להתאשר תוכניות המסדירות את פעילות הכרייה והחציבה: בשנת 2008 אושרו תוכנית אתר הכרייה נחל </w:t>
      </w:r>
      <w:r>
        <w:rPr>
          <w:rFonts w:hint="cs"/>
          <w:rtl/>
        </w:rPr>
        <w:t>חימר</w:t>
      </w:r>
      <w:r>
        <w:rPr>
          <w:rFonts w:hint="cs"/>
          <w:rtl/>
        </w:rPr>
        <w:t xml:space="preserve"> - </w:t>
      </w:r>
      <w:r w:rsidRPr="00DF72DE">
        <w:rPr>
          <w:rFonts w:hint="cs"/>
          <w:rtl/>
        </w:rPr>
        <w:t>74/100/02/10</w:t>
      </w:r>
      <w:r>
        <w:rPr>
          <w:rFonts w:hint="cs"/>
          <w:rtl/>
        </w:rPr>
        <w:t xml:space="preserve"> (להלן - תוכנית נחל </w:t>
      </w:r>
      <w:r>
        <w:rPr>
          <w:rFonts w:hint="cs"/>
          <w:rtl/>
        </w:rPr>
        <w:t>חימר</w:t>
      </w:r>
      <w:r>
        <w:rPr>
          <w:rFonts w:hint="cs"/>
          <w:rtl/>
        </w:rPr>
        <w:t xml:space="preserve">) ותוכנית אתר הכרייה נחל צין - </w:t>
      </w:r>
      <w:r w:rsidRPr="00DF72DE">
        <w:rPr>
          <w:rFonts w:hint="cs"/>
          <w:rtl/>
        </w:rPr>
        <w:t>73/100/02/10</w:t>
      </w:r>
      <w:r>
        <w:rPr>
          <w:rFonts w:hint="cs"/>
          <w:rtl/>
        </w:rPr>
        <w:t xml:space="preserve"> (להלן - תוכנית נחל צין); בשנת 2010 אושרה תוכנית האתר לכריית חרסית בתחום שטח המיועד לתעשייה - 77/100/02/10; ובשנת 2017 אושרה תוכנית מרחב נחל </w:t>
      </w:r>
      <w:r>
        <w:rPr>
          <w:rFonts w:hint="cs"/>
          <w:rtl/>
        </w:rPr>
        <w:t>חימר</w:t>
      </w:r>
      <w:r>
        <w:rPr>
          <w:rFonts w:hint="cs"/>
          <w:rtl/>
        </w:rPr>
        <w:t xml:space="preserve"> משולבת לכרייה, הסדרה ושיקום - 656-0206805, הקובעת הוראות נוספות ביחס לאתר הכרייה, לרבות בנושא שיקום השטח (להלן - תוכנית מרחב נחל </w:t>
      </w:r>
      <w:r>
        <w:rPr>
          <w:rFonts w:hint="cs"/>
          <w:rtl/>
        </w:rPr>
        <w:t>חימר</w:t>
      </w:r>
      <w:r>
        <w:rPr>
          <w:rFonts w:hint="cs"/>
          <w:rtl/>
        </w:rPr>
        <w:t>).</w:t>
      </w:r>
    </w:p>
    <w:p w:rsidR="006734B0" w:rsidP="00F129DB" w14:paraId="3EE753C3" w14:textId="0BD1F5E3">
      <w:pPr>
        <w:pStyle w:val="7392"/>
        <w:rPr>
          <w:rtl/>
        </w:rPr>
      </w:pPr>
      <w:r>
        <w:rPr>
          <w:rFonts w:hint="cs"/>
          <w:rtl/>
        </w:rPr>
        <w:t xml:space="preserve">נכון לתקופת הביקורת בשטח הזיכיון יש שלוש מחצבות פעילות: נחל </w:t>
      </w:r>
      <w:r>
        <w:rPr>
          <w:rFonts w:hint="cs"/>
          <w:rtl/>
        </w:rPr>
        <w:t>חימר</w:t>
      </w:r>
      <w:r>
        <w:rPr>
          <w:rFonts w:hint="cs"/>
          <w:rtl/>
        </w:rPr>
        <w:t xml:space="preserve">, נחל צין והאתר לכריית חרסית בתחום שטח המיועד לתעשייה. </w:t>
      </w:r>
    </w:p>
    <w:p w:rsidR="006734B0" w:rsidRPr="00F129DB" w:rsidP="00F129DB" w14:paraId="4B853B07" w14:textId="0F20A7E6">
      <w:pPr>
        <w:pStyle w:val="734"/>
        <w:rPr>
          <w:rtl/>
        </w:rPr>
      </w:pPr>
      <w:r w:rsidRPr="00F129DB">
        <w:rPr>
          <w:rFonts w:hint="cs"/>
          <w:b w:val="0"/>
          <w:bCs w:val="0"/>
          <w:rtl/>
        </w:rPr>
        <w:t xml:space="preserve">תמונה </w:t>
      </w:r>
      <w:r w:rsidR="00D0542F">
        <w:rPr>
          <w:rFonts w:hint="cs"/>
          <w:b w:val="0"/>
          <w:bCs w:val="0"/>
          <w:rtl/>
        </w:rPr>
        <w:t>11</w:t>
      </w:r>
      <w:r w:rsidRPr="00F129DB">
        <w:rPr>
          <w:rFonts w:hint="cs"/>
          <w:b w:val="0"/>
          <w:bCs w:val="0"/>
          <w:rtl/>
        </w:rPr>
        <w:t>:</w:t>
      </w:r>
      <w:r w:rsidRPr="00F129DB">
        <w:rPr>
          <w:rFonts w:hint="cs"/>
          <w:rtl/>
        </w:rPr>
        <w:t xml:space="preserve"> אתר הכרייה של </w:t>
      </w:r>
      <w:r w:rsidRPr="00F129DB">
        <w:rPr>
          <w:rFonts w:hint="cs"/>
          <w:rtl/>
        </w:rPr>
        <w:t>מי"ה</w:t>
      </w:r>
      <w:r w:rsidRPr="00F129DB">
        <w:rPr>
          <w:rFonts w:hint="cs"/>
          <w:rtl/>
        </w:rPr>
        <w:t xml:space="preserve"> בנחל צין, 2024</w:t>
      </w:r>
    </w:p>
    <w:p w:rsidR="006734B0" w:rsidP="006734B0" w14:paraId="5136578E" w14:textId="77777777">
      <w:pPr>
        <w:spacing w:line="360" w:lineRule="auto"/>
        <w:jc w:val="center"/>
        <w:rPr>
          <w:rtl/>
        </w:rPr>
      </w:pPr>
      <w:r>
        <w:rPr>
          <w:noProof/>
        </w:rPr>
        <w:drawing>
          <wp:inline distT="0" distB="0" distL="0" distR="0">
            <wp:extent cx="4790965" cy="3043816"/>
            <wp:effectExtent l="0" t="0" r="0" b="4445"/>
            <wp:docPr id="206460664" name="תמונה 206460664" descr="תמונה שמכילה בחוץ, שמיים, דיונות, חול&#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60664" name="תמונה 206460664" descr="תמונה שמכילה בחוץ, שמיים, דיונות, חול&#10;&#10;תוכן שנוצר על-ידי בינה מלאכותית עשוי להיות שגוי."/>
                    <pic:cNvPicPr/>
                  </pic:nvPicPr>
                  <pic:blipFill>
                    <a:blip xmlns:r="http://schemas.openxmlformats.org/officeDocument/2006/relationships" r:embed="rId50"/>
                    <a:stretch>
                      <a:fillRect/>
                    </a:stretch>
                  </pic:blipFill>
                  <pic:spPr>
                    <a:xfrm>
                      <a:off x="0" y="0"/>
                      <a:ext cx="4799029" cy="3048939"/>
                    </a:xfrm>
                    <a:prstGeom prst="rect">
                      <a:avLst/>
                    </a:prstGeom>
                  </pic:spPr>
                </pic:pic>
              </a:graphicData>
            </a:graphic>
          </wp:inline>
        </w:drawing>
      </w:r>
    </w:p>
    <w:p w:rsidR="006734B0" w:rsidRPr="00F129DB" w:rsidP="00F129DB" w14:paraId="2CC9BE86" w14:textId="6468ECFC">
      <w:pPr>
        <w:pStyle w:val="738"/>
        <w:rPr>
          <w:rtl/>
        </w:rPr>
      </w:pPr>
      <w:r w:rsidRPr="00F129DB">
        <w:rPr>
          <w:rFonts w:hint="cs"/>
          <w:rtl/>
        </w:rPr>
        <w:t xml:space="preserve">המקור: משרד </w:t>
      </w:r>
      <w:r w:rsidRPr="00F129DB">
        <w:rPr>
          <w:rFonts w:hint="cs"/>
          <w:rtl/>
        </w:rPr>
        <w:t>האנרגייה</w:t>
      </w:r>
      <w:r w:rsidRPr="00F129DB">
        <w:rPr>
          <w:rFonts w:hint="cs"/>
          <w:rtl/>
        </w:rPr>
        <w:t>.</w:t>
      </w:r>
    </w:p>
    <w:p w:rsidR="006734B0" w:rsidP="00F129DB" w14:paraId="529EEFA6" w14:textId="516387AD">
      <w:pPr>
        <w:pStyle w:val="7392"/>
        <w:rPr>
          <w:rFonts w:ascii="David" w:hAnsi="David"/>
          <w:rtl/>
        </w:rPr>
      </w:pPr>
      <w:r>
        <w:rPr>
          <w:rFonts w:hint="cs"/>
          <w:rtl/>
        </w:rPr>
        <w:t xml:space="preserve">בתוכנית נחל </w:t>
      </w:r>
      <w:r>
        <w:rPr>
          <w:rFonts w:hint="cs"/>
          <w:rtl/>
        </w:rPr>
        <w:t>חימר</w:t>
      </w:r>
      <w:r>
        <w:rPr>
          <w:rFonts w:hint="cs"/>
          <w:rtl/>
        </w:rPr>
        <w:t xml:space="preserve"> </w:t>
      </w:r>
      <w:r w:rsidRPr="005817FE" w:rsidR="005817FE">
        <w:rPr>
          <w:rtl/>
        </w:rPr>
        <w:t>נקבע</w:t>
      </w:r>
      <w:r w:rsidR="005817FE">
        <w:rPr>
          <w:rFonts w:hint="cs"/>
          <w:rtl/>
        </w:rPr>
        <w:t xml:space="preserve"> </w:t>
      </w:r>
      <w:r>
        <w:rPr>
          <w:rFonts w:hint="cs"/>
          <w:rtl/>
        </w:rPr>
        <w:t xml:space="preserve">כי "מפעיל האתר יעביר לרשות הניקוז אחת לשנה, תכנית מדידה עדכנית, בה ניתן יהיה לראות את מצב בור הכרייה". הוראה זהה קיימת בתוכנית נחל צין. תוכנית מרחב נחל </w:t>
      </w:r>
      <w:r>
        <w:rPr>
          <w:rFonts w:hint="cs"/>
          <w:rtl/>
        </w:rPr>
        <w:t>חימר</w:t>
      </w:r>
      <w:r>
        <w:rPr>
          <w:rFonts w:hint="cs"/>
          <w:rtl/>
        </w:rPr>
        <w:t xml:space="preserve"> כוללת הוראות ולפיהן במהלך העבודה ובגמר השיקום יתבצעו ניטור ומעקב לצורך בחינת תפקודי המערכת האקולוגית ומשטר הזרימה בגופי המים, בתיאום עם </w:t>
      </w:r>
      <w:r>
        <w:rPr>
          <w:rFonts w:hint="cs"/>
          <w:rtl/>
        </w:rPr>
        <w:t>רט"ג</w:t>
      </w:r>
      <w:r>
        <w:rPr>
          <w:rFonts w:hint="cs"/>
          <w:rtl/>
        </w:rPr>
        <w:t xml:space="preserve">, וכי במהלך עבודות הכרייה והחציבה יתבצע אחת לשנה ניטור של מינים פולשים. </w:t>
      </w:r>
    </w:p>
    <w:p w:rsidR="006734B0" w:rsidRPr="00F129DB" w:rsidP="00F129DB" w14:paraId="365C8C65" w14:textId="77777777">
      <w:pPr>
        <w:pStyle w:val="7318"/>
        <w:rPr>
          <w:rtl/>
        </w:rPr>
      </w:pPr>
      <w:r w:rsidRPr="00F129DB">
        <w:rPr>
          <w:rFonts w:hint="cs"/>
          <w:rtl/>
        </w:rPr>
        <w:t xml:space="preserve">נמצא כי על אף הקבוע בהוראות התוכניות </w:t>
      </w:r>
      <w:r w:rsidRPr="00F129DB">
        <w:rPr>
          <w:rFonts w:hint="cs"/>
          <w:rtl/>
        </w:rPr>
        <w:t>הסטוטוטוריות</w:t>
      </w:r>
      <w:r w:rsidRPr="00F129DB">
        <w:rPr>
          <w:rFonts w:hint="cs"/>
          <w:rtl/>
        </w:rPr>
        <w:t xml:space="preserve"> נחל </w:t>
      </w:r>
      <w:r w:rsidRPr="00F129DB">
        <w:rPr>
          <w:rFonts w:hint="cs"/>
          <w:rtl/>
        </w:rPr>
        <w:t>חימר</w:t>
      </w:r>
      <w:r w:rsidRPr="00F129DB">
        <w:rPr>
          <w:rFonts w:hint="cs"/>
          <w:rtl/>
        </w:rPr>
        <w:t xml:space="preserve"> ונחל צין, רשות ניקוז ים המלח לא דרשה לקבל תוכנית מדידה מעודכנת בדבר הכרייה </w:t>
      </w:r>
      <w:r w:rsidRPr="00F129DB">
        <w:rPr>
          <w:rFonts w:hint="cs"/>
          <w:rtl/>
        </w:rPr>
        <w:t>שמי"ה</w:t>
      </w:r>
      <w:r w:rsidRPr="00F129DB">
        <w:rPr>
          <w:rFonts w:hint="cs"/>
          <w:rtl/>
        </w:rPr>
        <w:t xml:space="preserve"> מבצעת באתרים אלה </w:t>
      </w:r>
      <w:r w:rsidRPr="00F129DB">
        <w:rPr>
          <w:rFonts w:hint="eastAsia"/>
          <w:rtl/>
        </w:rPr>
        <w:t>ולא</w:t>
      </w:r>
      <w:r w:rsidRPr="00F129DB">
        <w:rPr>
          <w:rtl/>
        </w:rPr>
        <w:t xml:space="preserve"> ביצעה מעקב ובקרה בנושא </w:t>
      </w:r>
      <w:r w:rsidRPr="00F129DB">
        <w:rPr>
          <w:rFonts w:hint="eastAsia"/>
          <w:rtl/>
        </w:rPr>
        <w:t>ו</w:t>
      </w:r>
      <w:r w:rsidRPr="00F129DB">
        <w:rPr>
          <w:rFonts w:hint="cs"/>
          <w:rtl/>
        </w:rPr>
        <w:t>רט"ג</w:t>
      </w:r>
      <w:r w:rsidRPr="00F129DB">
        <w:rPr>
          <w:rFonts w:hint="cs"/>
          <w:rtl/>
        </w:rPr>
        <w:t xml:space="preserve"> לא דרשה ביצוע ניטור של המערכת האקולוגית ומשטר הזרימה אף שגם לדברי </w:t>
      </w:r>
      <w:r w:rsidRPr="00F129DB">
        <w:rPr>
          <w:rFonts w:hint="cs"/>
          <w:rtl/>
        </w:rPr>
        <w:t>רט"ג</w:t>
      </w:r>
      <w:r w:rsidRPr="00F129DB">
        <w:rPr>
          <w:rFonts w:hint="cs"/>
          <w:rtl/>
        </w:rPr>
        <w:t xml:space="preserve"> וגם לדברי רשות הניקוז עבודות כרייה מתבצעות באתר נחל </w:t>
      </w:r>
      <w:r w:rsidRPr="00F129DB">
        <w:rPr>
          <w:rFonts w:hint="cs"/>
          <w:rtl/>
        </w:rPr>
        <w:t>חימר</w:t>
      </w:r>
      <w:r w:rsidRPr="00F129DB">
        <w:rPr>
          <w:rFonts w:hint="cs"/>
          <w:rtl/>
        </w:rPr>
        <w:t xml:space="preserve">. הוראות אלו נועדו למזער את ההשפעה הסביבתית של הכרייה, ובכלל זאת למנוע התפשטות של מינים פולשים, פגיעה במערכת האקולוגית ושינוי במשטר הזרימה של נגר עילי, סחף ונחלים. </w:t>
      </w:r>
    </w:p>
    <w:p w:rsidR="006734B0" w:rsidRPr="00F129DB" w:rsidP="00F129DB" w14:paraId="1782D769" w14:textId="7258C698">
      <w:pPr>
        <w:pStyle w:val="7392"/>
        <w:rPr>
          <w:rtl/>
        </w:rPr>
      </w:pPr>
      <w:r w:rsidRPr="00F129DB">
        <w:rPr>
          <w:rFonts w:hint="eastAsia"/>
          <w:rtl/>
        </w:rPr>
        <w:t>רט</w:t>
      </w:r>
      <w:r w:rsidRPr="00F129DB">
        <w:rPr>
          <w:rtl/>
        </w:rPr>
        <w:t>"ג</w:t>
      </w:r>
      <w:r w:rsidRPr="00F129DB">
        <w:rPr>
          <w:rtl/>
        </w:rPr>
        <w:t xml:space="preserve"> </w:t>
      </w:r>
      <w:r w:rsidRPr="00F129DB">
        <w:rPr>
          <w:rFonts w:hint="eastAsia"/>
          <w:rtl/>
        </w:rPr>
        <w:t>מסרה</w:t>
      </w:r>
      <w:r w:rsidRPr="00F129DB">
        <w:rPr>
          <w:rtl/>
        </w:rPr>
        <w:t xml:space="preserve"> </w:t>
      </w:r>
      <w:r w:rsidRPr="00F129DB">
        <w:rPr>
          <w:rFonts w:hint="eastAsia"/>
          <w:rtl/>
        </w:rPr>
        <w:t>בתשובתה</w:t>
      </w:r>
      <w:r w:rsidRPr="00F129DB">
        <w:rPr>
          <w:rtl/>
        </w:rPr>
        <w:t xml:space="preserve"> </w:t>
      </w:r>
      <w:r w:rsidRPr="00F129DB">
        <w:rPr>
          <w:rFonts w:hint="eastAsia"/>
          <w:rtl/>
        </w:rPr>
        <w:t>למשרד</w:t>
      </w:r>
      <w:r w:rsidRPr="00F129DB">
        <w:rPr>
          <w:rtl/>
        </w:rPr>
        <w:t xml:space="preserve"> </w:t>
      </w:r>
      <w:r w:rsidRPr="00F129DB">
        <w:rPr>
          <w:rFonts w:hint="eastAsia"/>
          <w:rtl/>
        </w:rPr>
        <w:t>מבקר</w:t>
      </w:r>
      <w:r w:rsidRPr="00F129DB">
        <w:rPr>
          <w:rtl/>
        </w:rPr>
        <w:t xml:space="preserve"> </w:t>
      </w:r>
      <w:r w:rsidRPr="00F129DB">
        <w:rPr>
          <w:rFonts w:hint="eastAsia"/>
          <w:rtl/>
        </w:rPr>
        <w:t>המדינה</w:t>
      </w:r>
      <w:r w:rsidRPr="00F129DB">
        <w:rPr>
          <w:rtl/>
        </w:rPr>
        <w:t xml:space="preserve"> </w:t>
      </w:r>
      <w:r w:rsidRPr="00F129DB">
        <w:rPr>
          <w:rFonts w:hint="eastAsia"/>
          <w:rtl/>
        </w:rPr>
        <w:t>מאוקטובר</w:t>
      </w:r>
      <w:r w:rsidRPr="00F129DB">
        <w:rPr>
          <w:rtl/>
        </w:rPr>
        <w:t xml:space="preserve"> 2024 </w:t>
      </w:r>
      <w:r w:rsidRPr="00F129DB">
        <w:rPr>
          <w:rFonts w:hint="eastAsia"/>
          <w:rtl/>
        </w:rPr>
        <w:t>כי</w:t>
      </w:r>
      <w:r w:rsidRPr="00F129DB">
        <w:rPr>
          <w:rtl/>
        </w:rPr>
        <w:t xml:space="preserve"> </w:t>
      </w:r>
      <w:r w:rsidRPr="00F129DB">
        <w:rPr>
          <w:rFonts w:hint="eastAsia"/>
          <w:rtl/>
        </w:rPr>
        <w:t>לדעתה</w:t>
      </w:r>
      <w:r w:rsidRPr="00F129DB">
        <w:rPr>
          <w:rtl/>
        </w:rPr>
        <w:t xml:space="preserve"> </w:t>
      </w:r>
      <w:r w:rsidRPr="00F129DB">
        <w:rPr>
          <w:rFonts w:hint="eastAsia"/>
          <w:rtl/>
        </w:rPr>
        <w:t>נכון</w:t>
      </w:r>
      <w:r w:rsidRPr="00F129DB">
        <w:rPr>
          <w:rtl/>
        </w:rPr>
        <w:t xml:space="preserve"> לעת הזו וכל עוד מתקיימות עבודות הכרייה אין צורך בביצוע ניטור ומעקב לצורך בחינת תפקודי המערכת האקולוגית ומשטר הזרימה</w:t>
      </w:r>
      <w:r w:rsidRPr="00F129DB">
        <w:rPr>
          <w:rFonts w:hint="cs"/>
          <w:rtl/>
        </w:rPr>
        <w:t>, וכי</w:t>
      </w:r>
      <w:r w:rsidRPr="00F129DB">
        <w:rPr>
          <w:rtl/>
        </w:rPr>
        <w:t xml:space="preserve"> דרישה לביצוע הפעולות האמורות תצא לקראת ביצוע עבודות השיקום באתר</w:t>
      </w:r>
      <w:r w:rsidRPr="00F129DB">
        <w:rPr>
          <w:rFonts w:hint="cs"/>
          <w:rtl/>
        </w:rPr>
        <w:t xml:space="preserve">. </w:t>
      </w:r>
    </w:p>
    <w:p w:rsidR="006734B0" w:rsidRPr="00F129DB" w:rsidP="00F129DB" w14:paraId="118E8D05" w14:textId="4F866DDE">
      <w:pPr>
        <w:pStyle w:val="7318"/>
        <w:rPr>
          <w:rtl/>
        </w:rPr>
      </w:pPr>
      <w:r w:rsidRPr="00F129DB">
        <w:rPr>
          <w:rFonts w:hint="cs"/>
          <w:rtl/>
        </w:rPr>
        <w:t xml:space="preserve">על רשות ניקוז ים המלח להקפיד למלא אחר ההוראות הקבועות בתוכניות </w:t>
      </w:r>
      <w:r w:rsidRPr="00F129DB">
        <w:rPr>
          <w:rFonts w:hint="cs"/>
          <w:rtl/>
        </w:rPr>
        <w:t>הסטוטוטוריות</w:t>
      </w:r>
      <w:r w:rsidRPr="00F129DB">
        <w:rPr>
          <w:rFonts w:hint="cs"/>
          <w:rtl/>
        </w:rPr>
        <w:t xml:space="preserve"> נחל צין ונחל </w:t>
      </w:r>
      <w:r w:rsidRPr="00F129DB">
        <w:rPr>
          <w:rFonts w:hint="cs"/>
          <w:rtl/>
        </w:rPr>
        <w:t>חימר</w:t>
      </w:r>
      <w:r w:rsidRPr="00F129DB">
        <w:rPr>
          <w:rFonts w:hint="cs"/>
          <w:rtl/>
        </w:rPr>
        <w:t xml:space="preserve">, לקבל לידיה </w:t>
      </w:r>
      <w:r w:rsidRPr="00F129DB">
        <w:rPr>
          <w:rFonts w:hint="cs"/>
          <w:rtl/>
        </w:rPr>
        <w:t>ממי"ה</w:t>
      </w:r>
      <w:r w:rsidRPr="00F129DB">
        <w:rPr>
          <w:rFonts w:hint="cs"/>
          <w:rtl/>
        </w:rPr>
        <w:t xml:space="preserve"> מדי שנה את תוכניות המדידה בדבר </w:t>
      </w:r>
      <w:r w:rsidRPr="005817FE" w:rsidR="005817FE">
        <w:rPr>
          <w:rtl/>
        </w:rPr>
        <w:t>בורות</w:t>
      </w:r>
      <w:r w:rsidR="005817FE">
        <w:rPr>
          <w:rFonts w:hint="cs"/>
          <w:rtl/>
        </w:rPr>
        <w:t xml:space="preserve"> </w:t>
      </w:r>
      <w:r w:rsidRPr="00F129DB">
        <w:rPr>
          <w:rFonts w:hint="cs"/>
          <w:rtl/>
        </w:rPr>
        <w:t xml:space="preserve">הכרייה ולוודא כי הכרייה מתבצעת בהתאם לקבוע בתוכנית. אם </w:t>
      </w:r>
      <w:r w:rsidRPr="00F129DB">
        <w:rPr>
          <w:rFonts w:hint="cs"/>
          <w:rtl/>
        </w:rPr>
        <w:t>רט"ג</w:t>
      </w:r>
      <w:r w:rsidRPr="00F129DB">
        <w:rPr>
          <w:rFonts w:hint="cs"/>
          <w:rtl/>
        </w:rPr>
        <w:t xml:space="preserve"> סבורה כי הדרישה הקבועה בתוכנית נחל </w:t>
      </w:r>
      <w:r w:rsidRPr="00F129DB">
        <w:rPr>
          <w:rFonts w:hint="cs"/>
          <w:rtl/>
        </w:rPr>
        <w:t>חימר</w:t>
      </w:r>
      <w:r w:rsidRPr="00F129DB">
        <w:rPr>
          <w:rFonts w:hint="cs"/>
          <w:rtl/>
        </w:rPr>
        <w:t xml:space="preserve"> היא דרישה מיותרת וכי אין מקום לבצע ניטור במהלך עבודות הכרייה, מן הראוי כי היא תפנה לוועדת התכנון שקבעה דרישה זו בתוכנית ותציין לפניה באופן סדור כי אין מקום לדרישה האמורה ויש לשנות את הוראות התוכנית. ואולם, כל עוד ההוראה שרירה וקיימת, על </w:t>
      </w:r>
      <w:r w:rsidRPr="00F129DB">
        <w:rPr>
          <w:rFonts w:hint="cs"/>
          <w:rtl/>
        </w:rPr>
        <w:t>רט"ג</w:t>
      </w:r>
      <w:r w:rsidRPr="00F129DB">
        <w:rPr>
          <w:rFonts w:hint="cs"/>
          <w:rtl/>
        </w:rPr>
        <w:t xml:space="preserve"> לממש את סמכויותיה ולדרוש </w:t>
      </w:r>
      <w:r w:rsidRPr="00F129DB">
        <w:rPr>
          <w:rFonts w:hint="cs"/>
          <w:rtl/>
        </w:rPr>
        <w:t>ממי"ה</w:t>
      </w:r>
      <w:r w:rsidRPr="00F129DB">
        <w:rPr>
          <w:rFonts w:hint="cs"/>
          <w:rtl/>
        </w:rPr>
        <w:t xml:space="preserve"> כי היא תבצע ניטור של המערכת האקולוגית ומשטר הזרימה בנחל </w:t>
      </w:r>
      <w:r w:rsidRPr="00F129DB">
        <w:rPr>
          <w:rFonts w:hint="cs"/>
          <w:rtl/>
        </w:rPr>
        <w:t>חימר</w:t>
      </w:r>
      <w:r w:rsidRPr="00F129DB">
        <w:rPr>
          <w:rFonts w:hint="cs"/>
          <w:rtl/>
        </w:rPr>
        <w:t xml:space="preserve">, זאת כדי לצמצם ולמזער את ההשפעות הסביבתיות של הכרייה. </w:t>
      </w:r>
    </w:p>
    <w:p w:rsidR="006734B0" w:rsidRPr="00F129DB" w:rsidP="00F129DB" w14:paraId="24C4C34C" w14:textId="77777777">
      <w:pPr>
        <w:pStyle w:val="7392"/>
        <w:rPr>
          <w:rtl/>
        </w:rPr>
      </w:pPr>
      <w:r w:rsidRPr="00F129DB">
        <w:rPr>
          <w:rtl/>
        </w:rPr>
        <w:t xml:space="preserve">רשות הניקוז </w:t>
      </w:r>
      <w:r w:rsidRPr="00F129DB">
        <w:rPr>
          <w:rFonts w:hint="cs"/>
          <w:rtl/>
        </w:rPr>
        <w:t xml:space="preserve">מסרה בתשובתה למשרד מבקר המדינה כי היא </w:t>
      </w:r>
      <w:r w:rsidRPr="00F129DB">
        <w:rPr>
          <w:rtl/>
        </w:rPr>
        <w:t xml:space="preserve">מבינה </w:t>
      </w:r>
      <w:r w:rsidRPr="00F129DB">
        <w:rPr>
          <w:rFonts w:hint="cs"/>
          <w:rtl/>
        </w:rPr>
        <w:t>ש</w:t>
      </w:r>
      <w:r w:rsidRPr="00F129DB">
        <w:rPr>
          <w:rtl/>
        </w:rPr>
        <w:t xml:space="preserve">יש צורך לקיים מעקב שנתי </w:t>
      </w:r>
      <w:r w:rsidRPr="00F129DB">
        <w:rPr>
          <w:rFonts w:hint="cs"/>
          <w:rtl/>
        </w:rPr>
        <w:t>אחר</w:t>
      </w:r>
      <w:r w:rsidRPr="00F129DB">
        <w:rPr>
          <w:rtl/>
        </w:rPr>
        <w:t xml:space="preserve"> אתרי הכרייה צין </w:t>
      </w:r>
      <w:r w:rsidRPr="00F129DB">
        <w:rPr>
          <w:rtl/>
        </w:rPr>
        <w:t>וחימר</w:t>
      </w:r>
      <w:r w:rsidRPr="00F129DB">
        <w:rPr>
          <w:rFonts w:hint="cs"/>
          <w:rtl/>
        </w:rPr>
        <w:t>.</w:t>
      </w:r>
    </w:p>
    <w:p w:rsidR="006734B0" w:rsidRPr="00F129DB" w:rsidP="00F129DB" w14:paraId="2B850337" w14:textId="77777777">
      <w:pPr>
        <w:pStyle w:val="7321"/>
        <w:rPr>
          <w:rtl/>
        </w:rPr>
      </w:pPr>
      <w:r w:rsidRPr="00F129DB">
        <w:rPr>
          <w:rFonts w:hint="cs"/>
          <w:rtl/>
        </w:rPr>
        <w:t>✰</w:t>
      </w:r>
    </w:p>
    <w:p w:rsidR="006734B0" w:rsidRPr="002D4E23" w:rsidP="00F129DB" w14:paraId="28D92F32" w14:textId="77777777">
      <w:pPr>
        <w:pStyle w:val="7318"/>
        <w:rPr>
          <w:rtl/>
        </w:rPr>
      </w:pPr>
      <w:r>
        <w:rPr>
          <w:rFonts w:hint="cs"/>
          <w:rtl/>
        </w:rPr>
        <w:t xml:space="preserve">לפי </w:t>
      </w:r>
      <w:r w:rsidRPr="002D4E23">
        <w:rPr>
          <w:rFonts w:hint="cs"/>
          <w:rtl/>
        </w:rPr>
        <w:t xml:space="preserve">חוק הזיכיון, רשאית </w:t>
      </w:r>
      <w:r w:rsidRPr="002D4E23">
        <w:rPr>
          <w:rFonts w:hint="cs"/>
          <w:rtl/>
        </w:rPr>
        <w:t>מי"ה</w:t>
      </w:r>
      <w:r w:rsidRPr="002D4E23">
        <w:rPr>
          <w:rFonts w:hint="cs"/>
          <w:rtl/>
        </w:rPr>
        <w:t xml:space="preserve"> לבצע פעולות כרייה וחציבה בשטח הזיכיון, בכפוף לאישור משרד </w:t>
      </w:r>
      <w:r w:rsidRPr="002D4E23">
        <w:rPr>
          <w:rFonts w:hint="cs"/>
          <w:rtl/>
        </w:rPr>
        <w:t>האנרג</w:t>
      </w:r>
      <w:r>
        <w:rPr>
          <w:rFonts w:hint="cs"/>
          <w:rtl/>
        </w:rPr>
        <w:t>י</w:t>
      </w:r>
      <w:r w:rsidRPr="002D4E23">
        <w:rPr>
          <w:rFonts w:hint="cs"/>
          <w:rtl/>
        </w:rPr>
        <w:t>יה</w:t>
      </w:r>
      <w:r>
        <w:rPr>
          <w:rFonts w:hint="cs"/>
          <w:rtl/>
        </w:rPr>
        <w:t>,</w:t>
      </w:r>
      <w:r w:rsidRPr="002D4E23">
        <w:rPr>
          <w:rFonts w:hint="cs"/>
          <w:rtl/>
        </w:rPr>
        <w:t xml:space="preserve"> האחראי </w:t>
      </w:r>
      <w:r>
        <w:rPr>
          <w:rFonts w:hint="cs"/>
          <w:rtl/>
        </w:rPr>
        <w:t xml:space="preserve">משנת 1996 </w:t>
      </w:r>
      <w:r w:rsidRPr="002D4E23">
        <w:rPr>
          <w:rFonts w:hint="cs"/>
          <w:rtl/>
        </w:rPr>
        <w:t>לאסדרת</w:t>
      </w:r>
      <w:r w:rsidRPr="002D4E23">
        <w:rPr>
          <w:rFonts w:hint="cs"/>
          <w:rtl/>
        </w:rPr>
        <w:t xml:space="preserve"> תחום הכרייה והחציבה</w:t>
      </w:r>
      <w:r>
        <w:rPr>
          <w:rFonts w:hint="cs"/>
          <w:rtl/>
        </w:rPr>
        <w:t xml:space="preserve"> ולהבטחת</w:t>
      </w:r>
      <w:r w:rsidRPr="009309DE">
        <w:rPr>
          <w:rFonts w:hint="cs"/>
          <w:rtl/>
        </w:rPr>
        <w:t xml:space="preserve"> קיומו של משק מחצבים יעיל מההיבט הכלכלי ומבוקר ואחראי </w:t>
      </w:r>
      <w:r w:rsidRPr="0066537A">
        <w:rPr>
          <w:rFonts w:hint="eastAsia"/>
          <w:rtl/>
        </w:rPr>
        <w:t>מההיבט</w:t>
      </w:r>
      <w:r w:rsidRPr="0066537A">
        <w:rPr>
          <w:rtl/>
        </w:rPr>
        <w:t xml:space="preserve"> </w:t>
      </w:r>
      <w:r w:rsidRPr="0066537A">
        <w:rPr>
          <w:rFonts w:hint="eastAsia"/>
          <w:rtl/>
        </w:rPr>
        <w:t>הסביבתי</w:t>
      </w:r>
      <w:r w:rsidRPr="0066537A">
        <w:rPr>
          <w:rtl/>
        </w:rPr>
        <w:t>.</w:t>
      </w:r>
    </w:p>
    <w:p w:rsidR="006734B0" w:rsidP="00F129DB" w14:paraId="2EF45F51" w14:textId="32687FEC">
      <w:pPr>
        <w:pStyle w:val="7318"/>
        <w:rPr>
          <w:rtl/>
        </w:rPr>
      </w:pPr>
      <w:r>
        <w:rPr>
          <w:rFonts w:hint="cs"/>
          <w:rtl/>
        </w:rPr>
        <w:t xml:space="preserve">מממצאי פרק זה עולה כי במשך שנים ארוכות לא </w:t>
      </w:r>
      <w:r w:rsidRPr="0041189C">
        <w:rPr>
          <w:rFonts w:hint="cs"/>
          <w:rtl/>
        </w:rPr>
        <w:t>מילא</w:t>
      </w:r>
      <w:r w:rsidRPr="00C264DE">
        <w:rPr>
          <w:rtl/>
        </w:rPr>
        <w:t xml:space="preserve"> </w:t>
      </w:r>
      <w:r w:rsidRPr="00C264DE">
        <w:rPr>
          <w:rFonts w:hint="eastAsia"/>
          <w:rtl/>
        </w:rPr>
        <w:t>משרד</w:t>
      </w:r>
      <w:r w:rsidRPr="00C264DE">
        <w:rPr>
          <w:rtl/>
        </w:rPr>
        <w:t xml:space="preserve"> </w:t>
      </w:r>
      <w:r w:rsidRPr="00C264DE">
        <w:rPr>
          <w:rFonts w:hint="eastAsia"/>
          <w:rtl/>
        </w:rPr>
        <w:t>האנרגייה</w:t>
      </w:r>
      <w:r>
        <w:rPr>
          <w:rFonts w:cs="David"/>
          <w:rtl/>
        </w:rPr>
        <w:t xml:space="preserve"> </w:t>
      </w:r>
      <w:r w:rsidRPr="0041189C">
        <w:rPr>
          <w:rFonts w:hint="cs"/>
          <w:rtl/>
        </w:rPr>
        <w:t>את אחריותו הציבורית בנוגע לפעילות</w:t>
      </w:r>
      <w:r>
        <w:rPr>
          <w:rFonts w:hint="cs"/>
          <w:rtl/>
        </w:rPr>
        <w:t xml:space="preserve"> הכרייה רחבת ההיקף שקיימה </w:t>
      </w:r>
      <w:r>
        <w:rPr>
          <w:rFonts w:hint="cs"/>
          <w:rtl/>
        </w:rPr>
        <w:t>מי"ה</w:t>
      </w:r>
      <w:r>
        <w:rPr>
          <w:rFonts w:hint="cs"/>
          <w:rtl/>
        </w:rPr>
        <w:t xml:space="preserve"> בשטח הזיכיון, והלכה למעשה, עד מועד סיום הביקורת נחצבו בתחום הזיכיון מאות אלפי מ"ק בלי שהוא ביצע פיקוח ומעקב בנוגע לכמויות שנכרו; בלי שהאסדרה </w:t>
      </w:r>
      <w:r>
        <w:rPr>
          <w:rFonts w:hint="cs"/>
          <w:rtl/>
        </w:rPr>
        <w:t>המינהלית</w:t>
      </w:r>
      <w:r>
        <w:rPr>
          <w:rFonts w:hint="cs"/>
          <w:rtl/>
        </w:rPr>
        <w:t xml:space="preserve"> באמצעות רישיון חציבה שמיושמת על ידו בשאר המחצבות ברחבי הארץ יושמה למול פעילות הכרייה של </w:t>
      </w:r>
      <w:r>
        <w:rPr>
          <w:rFonts w:hint="cs"/>
          <w:rtl/>
        </w:rPr>
        <w:t>מי"ה</w:t>
      </w:r>
      <w:r>
        <w:rPr>
          <w:rFonts w:hint="cs"/>
          <w:rtl/>
        </w:rPr>
        <w:t xml:space="preserve">, ובלי שהוא בחן לעומק את ההצדקות לכך; וללא שמשרד </w:t>
      </w:r>
      <w:r>
        <w:rPr>
          <w:rFonts w:hint="cs"/>
          <w:rtl/>
        </w:rPr>
        <w:t>האנרגייה</w:t>
      </w:r>
      <w:r>
        <w:rPr>
          <w:rFonts w:hint="cs"/>
          <w:rtl/>
        </w:rPr>
        <w:t xml:space="preserve"> </w:t>
      </w:r>
      <w:r>
        <w:rPr>
          <w:rFonts w:hint="cs"/>
          <w:rtl/>
        </w:rPr>
        <w:t>ורמ"י</w:t>
      </w:r>
      <w:r>
        <w:rPr>
          <w:rFonts w:hint="cs"/>
          <w:rtl/>
        </w:rPr>
        <w:t xml:space="preserve"> דרשו</w:t>
      </w:r>
      <w:r w:rsidRPr="00A76F6E">
        <w:rPr>
          <w:rFonts w:hint="cs"/>
          <w:rtl/>
        </w:rPr>
        <w:t xml:space="preserve"> תשלום בגין כמויות הכרייה </w:t>
      </w:r>
      <w:r w:rsidRPr="00A76F6E">
        <w:rPr>
          <w:rFonts w:hint="cs"/>
          <w:rtl/>
        </w:rPr>
        <w:t>ש</w:t>
      </w:r>
      <w:r>
        <w:rPr>
          <w:rFonts w:hint="cs"/>
          <w:rtl/>
        </w:rPr>
        <w:t>מי"ה</w:t>
      </w:r>
      <w:r>
        <w:rPr>
          <w:rFonts w:hint="cs"/>
          <w:rtl/>
        </w:rPr>
        <w:t xml:space="preserve"> הפיקה או בחנו את האפשרות לגבות תשלום כאמור</w:t>
      </w:r>
      <w:r w:rsidRPr="00A76F6E">
        <w:rPr>
          <w:rFonts w:hint="cs"/>
          <w:rtl/>
        </w:rPr>
        <w:t xml:space="preserve">, אשר לפי חישוב שביצע משרד מבקר המדינה </w:t>
      </w:r>
      <w:r w:rsidRPr="00A76F6E">
        <w:rPr>
          <w:rFonts w:hint="eastAsia"/>
          <w:rtl/>
        </w:rPr>
        <w:t>מגיעים</w:t>
      </w:r>
      <w:r>
        <w:rPr>
          <w:rFonts w:hint="cs"/>
          <w:rtl/>
        </w:rPr>
        <w:t xml:space="preserve"> בעשור האחרון ליותר מ-120 מיליון ש"ח </w:t>
      </w:r>
      <w:r w:rsidR="00DA1994">
        <w:rPr>
          <w:rtl/>
        </w:rPr>
        <w:br/>
      </w:r>
      <w:r>
        <w:rPr>
          <w:rFonts w:hint="cs"/>
          <w:rtl/>
        </w:rPr>
        <w:t>(</w:t>
      </w:r>
      <w:r w:rsidRPr="00B250D5">
        <w:rPr>
          <w:rFonts w:hint="cs"/>
          <w:rtl/>
        </w:rPr>
        <w:t>כ-</w:t>
      </w:r>
      <w:r w:rsidRPr="00B250D5">
        <w:rPr>
          <w:rtl/>
        </w:rPr>
        <w:t xml:space="preserve">112 </w:t>
      </w:r>
      <w:r w:rsidRPr="00B250D5">
        <w:rPr>
          <w:rFonts w:hint="eastAsia"/>
          <w:rtl/>
        </w:rPr>
        <w:t>מיליון</w:t>
      </w:r>
      <w:r w:rsidRPr="00B250D5">
        <w:rPr>
          <w:rFonts w:hint="cs"/>
          <w:rtl/>
        </w:rPr>
        <w:t xml:space="preserve"> </w:t>
      </w:r>
      <w:r>
        <w:rPr>
          <w:rFonts w:hint="cs"/>
          <w:rtl/>
        </w:rPr>
        <w:t xml:space="preserve">ש"ח </w:t>
      </w:r>
      <w:r w:rsidRPr="00B250D5">
        <w:rPr>
          <w:rFonts w:hint="cs"/>
          <w:rtl/>
        </w:rPr>
        <w:t xml:space="preserve">תמלוגים </w:t>
      </w:r>
      <w:r w:rsidRPr="00B250D5">
        <w:rPr>
          <w:rFonts w:hint="cs"/>
          <w:rtl/>
        </w:rPr>
        <w:t>לרמ"י</w:t>
      </w:r>
      <w:r w:rsidRPr="00B250D5">
        <w:rPr>
          <w:rFonts w:hint="cs"/>
          <w:rtl/>
        </w:rPr>
        <w:t xml:space="preserve"> ו</w:t>
      </w:r>
      <w:r>
        <w:rPr>
          <w:rFonts w:hint="cs"/>
          <w:rtl/>
        </w:rPr>
        <w:t>יותר</w:t>
      </w:r>
      <w:r w:rsidRPr="00B250D5">
        <w:rPr>
          <w:rFonts w:hint="cs"/>
          <w:rtl/>
        </w:rPr>
        <w:t xml:space="preserve"> מ</w:t>
      </w:r>
      <w:r>
        <w:rPr>
          <w:rFonts w:hint="cs"/>
          <w:rtl/>
        </w:rPr>
        <w:t>-8.5</w:t>
      </w:r>
      <w:r w:rsidRPr="00B250D5">
        <w:rPr>
          <w:rFonts w:hint="cs"/>
          <w:rtl/>
        </w:rPr>
        <w:t xml:space="preserve"> מיליון ש"ח ת</w:t>
      </w:r>
      <w:r>
        <w:rPr>
          <w:rFonts w:hint="cs"/>
          <w:rtl/>
        </w:rPr>
        <w:t>ש</w:t>
      </w:r>
      <w:r w:rsidRPr="00B250D5">
        <w:rPr>
          <w:rFonts w:hint="cs"/>
          <w:rtl/>
        </w:rPr>
        <w:t>לו</w:t>
      </w:r>
      <w:r>
        <w:rPr>
          <w:rFonts w:hint="cs"/>
          <w:rtl/>
        </w:rPr>
        <w:t>מ</w:t>
      </w:r>
      <w:r w:rsidRPr="00B250D5">
        <w:rPr>
          <w:rFonts w:hint="cs"/>
          <w:rtl/>
        </w:rPr>
        <w:t>ים לקרן לשיקום מחצבו</w:t>
      </w:r>
      <w:r>
        <w:rPr>
          <w:rFonts w:hint="cs"/>
          <w:rtl/>
        </w:rPr>
        <w:t>ת)</w:t>
      </w:r>
      <w:r w:rsidRPr="00A76F6E">
        <w:rPr>
          <w:rtl/>
        </w:rPr>
        <w:t>.</w:t>
      </w:r>
      <w:r w:rsidRPr="00A76F6E">
        <w:rPr>
          <w:rFonts w:hint="cs"/>
          <w:rtl/>
        </w:rPr>
        <w:t xml:space="preserve"> בחלק מהתקופה הכרייה</w:t>
      </w:r>
      <w:r>
        <w:rPr>
          <w:rFonts w:hint="cs"/>
          <w:rtl/>
        </w:rPr>
        <w:t xml:space="preserve"> אף נעשתה ללא אסדרה תכנונית מתאימה. עוד נמצא כי המשרד </w:t>
      </w:r>
      <w:r>
        <w:rPr>
          <w:rFonts w:hint="cs"/>
          <w:rtl/>
        </w:rPr>
        <w:t>להג"ס</w:t>
      </w:r>
      <w:r>
        <w:rPr>
          <w:rFonts w:hint="cs"/>
          <w:rtl/>
        </w:rPr>
        <w:t xml:space="preserve"> ומשרד </w:t>
      </w:r>
      <w:r>
        <w:rPr>
          <w:rFonts w:hint="cs"/>
          <w:rtl/>
        </w:rPr>
        <w:t>האנרגייה</w:t>
      </w:r>
      <w:r>
        <w:rPr>
          <w:rFonts w:hint="cs"/>
          <w:rtl/>
        </w:rPr>
        <w:t xml:space="preserve"> לא דרשו </w:t>
      </w:r>
      <w:r>
        <w:rPr>
          <w:rFonts w:hint="cs"/>
          <w:rtl/>
        </w:rPr>
        <w:t>ממי"ה</w:t>
      </w:r>
      <w:r>
        <w:rPr>
          <w:rFonts w:hint="cs"/>
          <w:rtl/>
        </w:rPr>
        <w:t xml:space="preserve"> כי תבצע </w:t>
      </w:r>
      <w:r w:rsidRPr="005817FE" w:rsidR="005817FE">
        <w:rPr>
          <w:rtl/>
        </w:rPr>
        <w:t>שיקום סביבתי מלא לאתרי הכרייה</w:t>
      </w:r>
      <w:r>
        <w:rPr>
          <w:rFonts w:hint="cs"/>
          <w:rtl/>
        </w:rPr>
        <w:t xml:space="preserve"> שבהם השתמשה. </w:t>
      </w:r>
      <w:r w:rsidRPr="00EF2A98">
        <w:rPr>
          <w:rFonts w:hint="cs"/>
          <w:rtl/>
        </w:rPr>
        <w:t xml:space="preserve">מדובר </w:t>
      </w:r>
      <w:r w:rsidR="00727D4C">
        <w:rPr>
          <w:rFonts w:hint="cs"/>
          <w:rtl/>
        </w:rPr>
        <w:t>במחדל</w:t>
      </w:r>
      <w:r w:rsidRPr="007B67E7">
        <w:rPr>
          <w:rtl/>
        </w:rPr>
        <w:t xml:space="preserve"> </w:t>
      </w:r>
      <w:r w:rsidRPr="007B67E7">
        <w:rPr>
          <w:rFonts w:hint="eastAsia"/>
          <w:rtl/>
        </w:rPr>
        <w:t>רגולטורי</w:t>
      </w:r>
      <w:r w:rsidRPr="007B67E7">
        <w:rPr>
          <w:rtl/>
        </w:rPr>
        <w:t xml:space="preserve"> </w:t>
      </w:r>
      <w:r w:rsidRPr="007B67E7">
        <w:rPr>
          <w:rFonts w:hint="eastAsia"/>
          <w:rtl/>
        </w:rPr>
        <w:t>מתמשך</w:t>
      </w:r>
      <w:r w:rsidRPr="007B67E7">
        <w:rPr>
          <w:rtl/>
        </w:rPr>
        <w:t xml:space="preserve"> </w:t>
      </w:r>
      <w:r w:rsidRPr="007B67E7">
        <w:rPr>
          <w:rFonts w:hint="eastAsia"/>
          <w:rtl/>
        </w:rPr>
        <w:t>ומטריד</w:t>
      </w:r>
      <w:r>
        <w:rPr>
          <w:rFonts w:hint="cs"/>
          <w:rtl/>
        </w:rPr>
        <w:t xml:space="preserve">, עם השפעות סביבתיות וכלכליות מרחיקות לכת. </w:t>
      </w:r>
    </w:p>
    <w:p w:rsidR="006734B0" w:rsidP="00F129DB" w14:paraId="6FF96B35" w14:textId="77777777">
      <w:pPr>
        <w:pStyle w:val="7318"/>
        <w:rPr>
          <w:rtl/>
        </w:rPr>
      </w:pPr>
      <w:r>
        <w:rPr>
          <w:rFonts w:hint="cs"/>
          <w:rtl/>
        </w:rPr>
        <w:t xml:space="preserve">על משרד </w:t>
      </w:r>
      <w:r>
        <w:rPr>
          <w:rFonts w:hint="cs"/>
          <w:rtl/>
        </w:rPr>
        <w:t>האנרגייה</w:t>
      </w:r>
      <w:r>
        <w:rPr>
          <w:rFonts w:hint="cs"/>
          <w:rtl/>
        </w:rPr>
        <w:t xml:space="preserve"> לפעול בהקדם לביצוע פיקוח ראוי על פעולות הכרייה המתקיימות בשטח הזיכיון ולשוב ולבחון את עמדתו בנוגע למתן רישיון חציבה לאתרי הכרייה בתחום הזיכיון </w:t>
      </w:r>
      <w:r w:rsidRPr="008F46F9">
        <w:rPr>
          <w:rFonts w:hint="cs"/>
          <w:rtl/>
        </w:rPr>
        <w:t>ולפעול בהתאם לה</w:t>
      </w:r>
      <w:r w:rsidRPr="00521BB7">
        <w:rPr>
          <w:rtl/>
        </w:rPr>
        <w:t>.</w:t>
      </w:r>
      <w:r w:rsidRPr="00521BB7">
        <w:rPr>
          <w:rFonts w:hint="cs"/>
          <w:rtl/>
        </w:rPr>
        <w:t xml:space="preserve"> </w:t>
      </w:r>
      <w:r>
        <w:rPr>
          <w:rFonts w:hint="cs"/>
          <w:rtl/>
        </w:rPr>
        <w:t xml:space="preserve">על משרד </w:t>
      </w:r>
      <w:r>
        <w:rPr>
          <w:rFonts w:hint="cs"/>
          <w:rtl/>
        </w:rPr>
        <w:t>האנרגייה</w:t>
      </w:r>
      <w:r>
        <w:rPr>
          <w:rFonts w:hint="cs"/>
          <w:rtl/>
        </w:rPr>
        <w:t xml:space="preserve"> ועל </w:t>
      </w:r>
      <w:r>
        <w:rPr>
          <w:rFonts w:hint="cs"/>
          <w:rtl/>
        </w:rPr>
        <w:t>רמ"י</w:t>
      </w:r>
      <w:r>
        <w:rPr>
          <w:rFonts w:hint="cs"/>
          <w:rtl/>
        </w:rPr>
        <w:t xml:space="preserve"> לפעול לבחינה יסודית של סוגיית גביית התשלום </w:t>
      </w:r>
      <w:r>
        <w:rPr>
          <w:rFonts w:hint="cs"/>
          <w:rtl/>
        </w:rPr>
        <w:t>ממי"ה</w:t>
      </w:r>
      <w:r>
        <w:rPr>
          <w:rFonts w:hint="cs"/>
          <w:rtl/>
        </w:rPr>
        <w:t xml:space="preserve"> בגין פעולות הכרייה שהיא מבצעת ולנקוט פעולות בהתאם לתוצאות הבחינה. על משרדי האוצר, </w:t>
      </w:r>
      <w:r>
        <w:rPr>
          <w:rFonts w:hint="cs"/>
          <w:rtl/>
        </w:rPr>
        <w:t>האנרגייה</w:t>
      </w:r>
      <w:r>
        <w:rPr>
          <w:rFonts w:hint="cs"/>
          <w:rtl/>
        </w:rPr>
        <w:t xml:space="preserve"> </w:t>
      </w:r>
      <w:r>
        <w:rPr>
          <w:rFonts w:hint="cs"/>
          <w:rtl/>
        </w:rPr>
        <w:t>והג"</w:t>
      </w:r>
      <w:r w:rsidRPr="009A359B">
        <w:rPr>
          <w:rFonts w:hint="cs"/>
          <w:rtl/>
        </w:rPr>
        <w:t>ס</w:t>
      </w:r>
      <w:r w:rsidRPr="009A359B">
        <w:rPr>
          <w:rFonts w:hint="cs"/>
          <w:rtl/>
        </w:rPr>
        <w:t xml:space="preserve"> לדרוש </w:t>
      </w:r>
      <w:r w:rsidRPr="009A359B">
        <w:rPr>
          <w:rFonts w:hint="cs"/>
          <w:rtl/>
        </w:rPr>
        <w:t>ממי"ה</w:t>
      </w:r>
      <w:r w:rsidRPr="009A359B">
        <w:rPr>
          <w:rFonts w:hint="cs"/>
          <w:rtl/>
        </w:rPr>
        <w:t xml:space="preserve"> כי תבצע שיקום מלא של אתרי הכרייה בתחום הזיכיון ולוודא כי שיקום זה אכן מתבצע ומסתיים לכל המאוחר עד תום תקופת הזיכיון. השרים </w:t>
      </w:r>
      <w:r>
        <w:rPr>
          <w:rFonts w:hint="cs"/>
          <w:rtl/>
        </w:rPr>
        <w:t xml:space="preserve">והמנכ"לים </w:t>
      </w:r>
      <w:r w:rsidRPr="009A359B">
        <w:rPr>
          <w:rFonts w:hint="cs"/>
          <w:rtl/>
        </w:rPr>
        <w:t xml:space="preserve">של משרדי </w:t>
      </w:r>
      <w:r>
        <w:rPr>
          <w:rFonts w:hint="cs"/>
          <w:rtl/>
        </w:rPr>
        <w:t xml:space="preserve">האוצר, </w:t>
      </w:r>
      <w:r w:rsidRPr="009A359B">
        <w:rPr>
          <w:rFonts w:hint="cs"/>
          <w:rtl/>
        </w:rPr>
        <w:t>האנרגייה</w:t>
      </w:r>
      <w:r w:rsidRPr="009A359B">
        <w:rPr>
          <w:rFonts w:hint="cs"/>
          <w:rtl/>
        </w:rPr>
        <w:t xml:space="preserve"> </w:t>
      </w:r>
      <w:r w:rsidRPr="009A359B">
        <w:rPr>
          <w:rFonts w:hint="cs"/>
          <w:rtl/>
        </w:rPr>
        <w:t>והג"ס</w:t>
      </w:r>
      <w:r w:rsidRPr="009A359B">
        <w:rPr>
          <w:rFonts w:hint="cs"/>
          <w:rtl/>
        </w:rPr>
        <w:t xml:space="preserve">, וכן </w:t>
      </w:r>
      <w:r>
        <w:rPr>
          <w:rFonts w:hint="cs"/>
          <w:rtl/>
        </w:rPr>
        <w:t>רמ"י</w:t>
      </w:r>
      <w:r w:rsidRPr="009A359B">
        <w:rPr>
          <w:rFonts w:hint="cs"/>
          <w:rtl/>
        </w:rPr>
        <w:t xml:space="preserve">, מחויבים להבטיח כי </w:t>
      </w:r>
      <w:r>
        <w:rPr>
          <w:rFonts w:hint="cs"/>
          <w:rtl/>
        </w:rPr>
        <w:t>י</w:t>
      </w:r>
      <w:r w:rsidRPr="009A359B">
        <w:rPr>
          <w:rFonts w:hint="cs"/>
          <w:rtl/>
        </w:rPr>
        <w:t>ינקטו כלל הפעולות הנדרשות מהממצאים שהועלו בנושא זה.</w:t>
      </w:r>
      <w:r>
        <w:rPr>
          <w:rFonts w:hint="cs"/>
          <w:rtl/>
        </w:rPr>
        <w:t xml:space="preserve"> </w:t>
      </w:r>
    </w:p>
    <w:p w:rsidR="006734B0" w:rsidRPr="00331AB4" w:rsidP="00331AB4" w14:paraId="6FDE3B0F" w14:textId="77777777">
      <w:pPr>
        <w:pStyle w:val="7329"/>
      </w:pPr>
      <w:bookmarkStart w:id="35" w:name="_Toc170709955"/>
      <w:bookmarkStart w:id="36" w:name="_Toc171509544"/>
      <w:bookmarkStart w:id="37" w:name="_Hlk183509940"/>
      <w:r w:rsidRPr="00331AB4">
        <w:rPr>
          <w:rFonts w:hint="cs"/>
          <w:rtl/>
        </w:rPr>
        <w:t xml:space="preserve">האסדרה והפיקוח של </w:t>
      </w:r>
      <w:r w:rsidRPr="00331AB4">
        <w:rPr>
          <w:rFonts w:hint="cs"/>
          <w:rtl/>
        </w:rPr>
        <w:t>רמ"י</w:t>
      </w:r>
      <w:r w:rsidRPr="00331AB4">
        <w:rPr>
          <w:rFonts w:hint="cs"/>
          <w:rtl/>
        </w:rPr>
        <w:t xml:space="preserve"> על השימושים </w:t>
      </w:r>
      <w:r w:rsidRPr="00331AB4">
        <w:rPr>
          <w:rFonts w:hint="cs"/>
          <w:rtl/>
        </w:rPr>
        <w:t>שמי"ה</w:t>
      </w:r>
      <w:r w:rsidRPr="00331AB4">
        <w:rPr>
          <w:rFonts w:hint="cs"/>
          <w:rtl/>
        </w:rPr>
        <w:t xml:space="preserve"> מבצעת בשטח הזיכיון</w:t>
      </w:r>
    </w:p>
    <w:p w:rsidR="006734B0" w:rsidP="00541FAA" w14:paraId="3B8CB3D2" w14:textId="77777777">
      <w:pPr>
        <w:pStyle w:val="719"/>
        <w:spacing w:line="312" w:lineRule="auto"/>
        <w:ind w:left="397" w:right="397"/>
        <w:rPr>
          <w:shd w:val="clear" w:color="auto" w:fill="FFFFFF"/>
          <w:rtl/>
        </w:rPr>
      </w:pPr>
      <w:r>
        <w:rPr>
          <w:rFonts w:hint="cs"/>
          <w:shd w:val="clear" w:color="auto" w:fill="FFFFFF"/>
          <w:rtl/>
        </w:rPr>
        <w:t xml:space="preserve">"המקרקעין הם נכס יחיד במינו מבין נכסיה של המדינה. קשה להפריז בחשיבותם לחברה ולמדינה. אם האומה ומפעלה התרבותי הם ה'נשמה' של העם, הרי שמקרקעיה הם ה'גוף' </w:t>
      </w:r>
      <w:r w:rsidRPr="00545FFF">
        <w:rPr>
          <w:rFonts w:hint="cs"/>
          <w:rtl/>
        </w:rPr>
        <w:t>שלו</w:t>
      </w:r>
      <w:r>
        <w:rPr>
          <w:rFonts w:hint="cs"/>
          <w:shd w:val="clear" w:color="auto" w:fill="FFFFFF"/>
          <w:rtl/>
        </w:rPr>
        <w:t>. על בסיס הקרקע מנהלים הפרט והחברה את כל מעגל חייהם... יש להם חשיבות גדולה במיוחד במדינה כמו ישראל, אשר גבולותיה צרים, צפיפות האוכלוסייה בה גדולה ובהיותה ארץ קולטת עולים"</w:t>
      </w:r>
      <w:r>
        <w:rPr>
          <w:rStyle w:val="FootnoteReference1"/>
          <w:shd w:val="clear" w:color="auto" w:fill="FFFFFF"/>
          <w:rtl/>
        </w:rPr>
        <w:footnoteReference w:id="52"/>
      </w:r>
      <w:r>
        <w:rPr>
          <w:rFonts w:hint="cs"/>
          <w:shd w:val="clear" w:color="auto" w:fill="FFFFFF"/>
          <w:rtl/>
        </w:rPr>
        <w:t>.</w:t>
      </w:r>
    </w:p>
    <w:p w:rsidR="006734B0" w:rsidP="00545FFF" w14:paraId="1FDB656B" w14:textId="77777777">
      <w:pPr>
        <w:pStyle w:val="7392"/>
        <w:rPr>
          <w:rtl/>
        </w:rPr>
      </w:pPr>
      <w:r>
        <w:rPr>
          <w:rFonts w:hint="cs"/>
          <w:rtl/>
        </w:rPr>
        <w:t xml:space="preserve">על פי חוק רשות מקרקעי </w:t>
      </w:r>
      <w:r w:rsidRPr="00B9019E">
        <w:rPr>
          <w:rFonts w:hint="cs"/>
          <w:rtl/>
        </w:rPr>
        <w:t xml:space="preserve">ישראל, התש"ך-1960 (להלן - חוק </w:t>
      </w:r>
      <w:r w:rsidRPr="00B9019E">
        <w:rPr>
          <w:rFonts w:hint="eastAsia"/>
          <w:rtl/>
        </w:rPr>
        <w:t>רשות</w:t>
      </w:r>
      <w:r w:rsidRPr="00B9019E">
        <w:rPr>
          <w:rFonts w:hint="cs"/>
          <w:rtl/>
        </w:rPr>
        <w:t xml:space="preserve"> מקרקעי ישראל), </w:t>
      </w:r>
      <w:r w:rsidRPr="00B9019E">
        <w:rPr>
          <w:rFonts w:hint="cs"/>
          <w:rtl/>
        </w:rPr>
        <w:t>רמ"י</w:t>
      </w:r>
      <w:r w:rsidRPr="00B9019E">
        <w:rPr>
          <w:rFonts w:hint="cs"/>
          <w:rtl/>
        </w:rPr>
        <w:t xml:space="preserve"> מופקדת על ניהול מקרקעי ישראל המוגדרים בחוק יסוד: מקרקעי ישראל כמקרקעין השייכים למדינה, לרשות הפיתוח ולקרן הקיימת לישראל (להלן - מקרקעי ישראל), אשר שטחם הכולל הוא כ-93% משטח המדינה. על פי חוק </w:t>
      </w:r>
      <w:r w:rsidRPr="00B9019E">
        <w:rPr>
          <w:rFonts w:hint="eastAsia"/>
          <w:rtl/>
        </w:rPr>
        <w:t>רשות</w:t>
      </w:r>
      <w:r w:rsidRPr="00B9019E">
        <w:rPr>
          <w:rFonts w:hint="cs"/>
          <w:rtl/>
        </w:rPr>
        <w:t xml:space="preserve"> מקרקעי</w:t>
      </w:r>
      <w:r>
        <w:rPr>
          <w:rFonts w:hint="cs"/>
          <w:rtl/>
        </w:rPr>
        <w:t xml:space="preserve"> ישראל, מטרותיה של </w:t>
      </w:r>
      <w:r>
        <w:rPr>
          <w:rFonts w:hint="cs"/>
          <w:rtl/>
        </w:rPr>
        <w:t>רמ"י</w:t>
      </w:r>
      <w:r>
        <w:rPr>
          <w:rFonts w:hint="cs"/>
          <w:rtl/>
        </w:rPr>
        <w:t xml:space="preserve"> כוללות את ניהול מקרקעי ישראל כמשאב לשם פיתוחה של המדינה ולטובת הציבור, הסביבה והדורות הבאים. ניהול המקרקעין בידי </w:t>
      </w:r>
      <w:r>
        <w:rPr>
          <w:rFonts w:hint="cs"/>
          <w:rtl/>
        </w:rPr>
        <w:t>רמ"י</w:t>
      </w:r>
      <w:r>
        <w:rPr>
          <w:rFonts w:hint="cs"/>
          <w:rtl/>
        </w:rPr>
        <w:t xml:space="preserve"> מתבצע, בין השאר, באמצעות חוזי חכירה וחוזים אחרים, ובמסגרתם מוסדרים השימושים המותרים בקרקע מושא ההסכם, ונקבעים הסכומים שבעל הזכות במקרקעין נדרש לשלם בגין השימוש בקרקע</w:t>
      </w:r>
      <w:r>
        <w:rPr>
          <w:rStyle w:val="FootnoteReference1"/>
          <w:rtl/>
        </w:rPr>
        <w:footnoteReference w:id="53"/>
      </w:r>
      <w:r>
        <w:rPr>
          <w:rFonts w:hint="cs"/>
          <w:rtl/>
        </w:rPr>
        <w:t xml:space="preserve"> וכן אמצעי האכיפה במקרה של הפרת החוזה. </w:t>
      </w:r>
    </w:p>
    <w:p w:rsidR="006734B0" w:rsidP="00545FFF" w14:paraId="3ECE8373" w14:textId="77777777">
      <w:pPr>
        <w:pStyle w:val="7392"/>
        <w:rPr>
          <w:rtl/>
        </w:rPr>
      </w:pPr>
      <w:r w:rsidRPr="00E01FBE">
        <w:rPr>
          <w:rFonts w:hint="cs"/>
          <w:rtl/>
        </w:rPr>
        <w:t>פרק 3 בקובץ החלטות</w:t>
      </w:r>
      <w:r>
        <w:rPr>
          <w:rFonts w:hint="cs"/>
          <w:rtl/>
        </w:rPr>
        <w:t xml:space="preserve"> מועצת מקרקעי ישראל שכותרתו "תכנון, פיתוח ושמירה על מקרקעי ישראל - יצירה ושמירה על עתודות קרקע" קובע כי "מועצת מקרקעי ישראל והרשות רואים את השמירה על השטחים הפתוחים וכן את קיומם של פארקים ויערות, כמרכיב חיוני שיקבל ביטוי בכל החלטה על הקצאה וניהול קרקע, וזאת בין היתר בהיבטים הבאים: (1) חיסכון מיטבי בהקצאת קרקע לפעולות פיתוח; (2) ביסוס ניהול הקרקע על מצאי ערכי טבע, נוף ומורשת תרבות המאפיינים את הארץ...". </w:t>
      </w:r>
    </w:p>
    <w:p w:rsidR="006734B0" w:rsidP="00545FFF" w14:paraId="1395BADB" w14:textId="77777777">
      <w:pPr>
        <w:pStyle w:val="7392"/>
        <w:rPr>
          <w:rtl/>
        </w:rPr>
      </w:pPr>
      <w:r>
        <w:rPr>
          <w:rFonts w:hint="cs"/>
          <w:rtl/>
        </w:rPr>
        <w:t xml:space="preserve">ניהול מקרקעי ישראל בידי </w:t>
      </w:r>
      <w:r>
        <w:rPr>
          <w:rFonts w:hint="cs"/>
          <w:rtl/>
        </w:rPr>
        <w:t>רמ"י</w:t>
      </w:r>
      <w:r>
        <w:rPr>
          <w:rFonts w:hint="cs"/>
          <w:rtl/>
        </w:rPr>
        <w:t xml:space="preserve"> בא לידי ביטוי גם בדרישה הקבועה בתקנות התכנון והבנייה (רישוי בנייה), התשע"ו-2016, המתנה קבלת היתר בנייה במקרקעי ישראל בהסכמת </w:t>
      </w:r>
      <w:r>
        <w:rPr>
          <w:rFonts w:hint="cs"/>
          <w:rtl/>
        </w:rPr>
        <w:t>רמ"י</w:t>
      </w:r>
      <w:r>
        <w:rPr>
          <w:rFonts w:hint="cs"/>
          <w:rtl/>
        </w:rPr>
        <w:t xml:space="preserve">. </w:t>
      </w:r>
    </w:p>
    <w:p w:rsidR="006734B0" w:rsidP="00545FFF" w14:paraId="722E227F" w14:textId="00B93CA1">
      <w:pPr>
        <w:pStyle w:val="7392"/>
        <w:rPr>
          <w:rtl/>
        </w:rPr>
      </w:pPr>
      <w:r>
        <w:rPr>
          <w:rFonts w:hint="cs"/>
          <w:rtl/>
          <w:lang w:eastAsia="he-IL"/>
        </w:rPr>
        <w:t xml:space="preserve">חטיבת השמירה על </w:t>
      </w:r>
      <w:r>
        <w:rPr>
          <w:rFonts w:hint="cs"/>
          <w:rtl/>
        </w:rPr>
        <w:t xml:space="preserve">הקרקע </w:t>
      </w:r>
      <w:r>
        <w:rPr>
          <w:rFonts w:hint="cs"/>
          <w:rtl/>
        </w:rPr>
        <w:t>ברמ"י</w:t>
      </w:r>
      <w:r>
        <w:rPr>
          <w:rFonts w:hint="cs"/>
          <w:rtl/>
        </w:rPr>
        <w:t xml:space="preserve"> היא הזרוע של </w:t>
      </w:r>
      <w:r>
        <w:rPr>
          <w:rFonts w:hint="cs"/>
          <w:rtl/>
        </w:rPr>
        <w:t>רמ"י</w:t>
      </w:r>
      <w:r>
        <w:rPr>
          <w:rFonts w:hint="cs"/>
          <w:rtl/>
        </w:rPr>
        <w:t xml:space="preserve"> האמונה על שמירה נאותה ויעילה של מקרקעי ישראל. מטרתה העיקרית של החטיבה היא שמירה על מקרקעי ישראל כמשאב לאומי, ציבורי וזמין ליעדי </w:t>
      </w:r>
      <w:r>
        <w:rPr>
          <w:rFonts w:hint="cs"/>
          <w:rtl/>
        </w:rPr>
        <w:t>רמ"י</w:t>
      </w:r>
      <w:r>
        <w:t>.</w:t>
      </w:r>
      <w:r>
        <w:rPr>
          <w:rStyle w:val="FootnoteReference1"/>
        </w:rPr>
        <w:footnoteReference w:id="54"/>
      </w:r>
      <w:r>
        <w:rPr>
          <w:rFonts w:hint="cs"/>
          <w:rtl/>
        </w:rPr>
        <w:t xml:space="preserve"> לחטיבה עשרות מפקחי שמירה על הקרקע שתפקידם לשמור על </w:t>
      </w:r>
      <w:r w:rsidRPr="005817FE" w:rsidR="005817FE">
        <w:rPr>
          <w:rtl/>
        </w:rPr>
        <w:t>המקרקעין,</w:t>
      </w:r>
      <w:r w:rsidR="005817FE">
        <w:rPr>
          <w:rFonts w:hint="cs"/>
          <w:rtl/>
        </w:rPr>
        <w:t xml:space="preserve"> </w:t>
      </w:r>
      <w:r>
        <w:rPr>
          <w:rFonts w:hint="cs"/>
          <w:rtl/>
        </w:rPr>
        <w:t xml:space="preserve">בין השאר באמצעות ביצוע סיורים באופן רציף ושיטתי בשטח שבאחריותם, תיאום וייזום שיתופי פעולה עם גורמי אכיפה אחרים ובכלל זה מפקחי </w:t>
      </w:r>
      <w:r>
        <w:rPr>
          <w:rFonts w:hint="cs"/>
          <w:rtl/>
        </w:rPr>
        <w:t>רט"ג</w:t>
      </w:r>
      <w:r>
        <w:rPr>
          <w:rFonts w:hint="cs"/>
          <w:rtl/>
        </w:rPr>
        <w:t xml:space="preserve">, מפקחי ועדות התכנון והבנייה המחוזית והמקומית ומפקחי המשרד </w:t>
      </w:r>
      <w:r>
        <w:rPr>
          <w:rFonts w:hint="cs"/>
          <w:rtl/>
        </w:rPr>
        <w:t>להג"ס</w:t>
      </w:r>
      <w:r>
        <w:rPr>
          <w:rFonts w:hint="cs"/>
          <w:rtl/>
        </w:rPr>
        <w:t xml:space="preserve">, וביצוע אכיפה בהתאם לסמכויות על פי דין. </w:t>
      </w:r>
    </w:p>
    <w:p w:rsidR="006734B0" w:rsidRPr="00545FFF" w:rsidP="00545FFF" w14:paraId="6EEE5227" w14:textId="77777777">
      <w:pPr>
        <w:pStyle w:val="7392"/>
        <w:rPr>
          <w:rtl/>
        </w:rPr>
      </w:pPr>
      <w:r w:rsidRPr="00545FFF">
        <w:rPr>
          <w:rFonts w:hint="cs"/>
          <w:rtl/>
        </w:rPr>
        <w:t xml:space="preserve">חוק הזיכיון חילק את השטחים בתחום הזיכיון לשלושה סוגים: קרקעות חכורות - אשר צבועות בשחור במפה שלהלן שצורפה לשטר הזיכיון שצורף כתוספת לחוק (להלן - שטר הזיכיון); </w:t>
      </w:r>
      <w:r w:rsidRPr="00545FFF">
        <w:rPr>
          <w:rFonts w:hint="cs"/>
          <w:rtl/>
        </w:rPr>
        <w:t>קרקעות שמורות - אשר מקווקוות שתי וערב בקווים שחורים עבים במפה שצורפה לשטר הזיכיון; ושטח ים המלח -</w:t>
      </w:r>
      <w:r w:rsidRPr="00545FFF">
        <w:rPr>
          <w:rFonts w:hint="cs"/>
        </w:rPr>
        <w:t xml:space="preserve"> </w:t>
      </w:r>
      <w:r w:rsidRPr="00545FFF">
        <w:rPr>
          <w:rFonts w:hint="cs"/>
          <w:rtl/>
        </w:rPr>
        <w:t>הכולל את מי ים המלח שבגבול מדינת ישראל, את שטח האידוי המסומן על גבי המפה שצורפה לשטר ואת רצועת החוף כפי שהוגדרה בחוק. להלן מפת גבולות הזיכיון שצורפה לשטר הזיכיון:</w:t>
      </w:r>
    </w:p>
    <w:p w:rsidR="006734B0" w:rsidRPr="00545FFF" w:rsidP="00545FFF" w14:paraId="47D29149" w14:textId="19988C62">
      <w:pPr>
        <w:pStyle w:val="734"/>
        <w:rPr>
          <w:rtl/>
        </w:rPr>
      </w:pPr>
      <w:r w:rsidRPr="00545FFF">
        <w:rPr>
          <w:rFonts w:hint="cs"/>
          <w:b w:val="0"/>
          <w:bCs w:val="0"/>
          <w:rtl/>
        </w:rPr>
        <w:t>מפה</w:t>
      </w:r>
      <w:r w:rsidR="00D0542F">
        <w:rPr>
          <w:rFonts w:hint="cs"/>
          <w:b w:val="0"/>
          <w:bCs w:val="0"/>
          <w:rtl/>
        </w:rPr>
        <w:t xml:space="preserve"> 5</w:t>
      </w:r>
      <w:r w:rsidRPr="00545FFF">
        <w:rPr>
          <w:rFonts w:hint="cs"/>
          <w:b w:val="0"/>
          <w:bCs w:val="0"/>
          <w:rtl/>
        </w:rPr>
        <w:t>:</w:t>
      </w:r>
      <w:r w:rsidRPr="00545FFF">
        <w:rPr>
          <w:rFonts w:hint="cs"/>
          <w:rtl/>
        </w:rPr>
        <w:t xml:space="preserve"> מפת גבולות הזיכיון שצורפה לשטר הזיכיון</w:t>
      </w:r>
      <w:r w:rsidR="005817FE">
        <w:rPr>
          <w:rFonts w:hint="cs"/>
          <w:rtl/>
        </w:rPr>
        <w:t xml:space="preserve"> </w:t>
      </w:r>
      <w:r w:rsidRPr="005817FE" w:rsidR="005817FE">
        <w:rPr>
          <w:rtl/>
        </w:rPr>
        <w:t>משנת 1961</w:t>
      </w:r>
    </w:p>
    <w:p w:rsidR="006734B0" w:rsidP="006734B0" w14:paraId="741C85BE" w14:textId="77777777">
      <w:pPr>
        <w:spacing w:line="360" w:lineRule="auto"/>
        <w:jc w:val="center"/>
        <w:rPr>
          <w:rtl/>
        </w:rPr>
      </w:pPr>
      <w:r>
        <w:rPr>
          <w:noProof/>
        </w:rPr>
        <w:drawing>
          <wp:inline distT="0" distB="0" distL="0" distR="0">
            <wp:extent cx="3421246" cy="4328082"/>
            <wp:effectExtent l="0" t="0" r="0" b="3175"/>
            <wp:docPr id="1856207391" name="תמונה 1856207391" descr="תמונה שמכילה שרטוט, ציור, מפה, שחור ולבן&#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207391" name="תמונה 1856207391" descr="תמונה שמכילה שרטוט, ציור, מפה, שחור ולבן&#10;&#10;תוכן שנוצר על-ידי בינה מלאכותית עשוי להיות שגוי."/>
                    <pic:cNvPicPr>
                      <a:picLocks noChangeAspect="1" noChangeArrowheads="1"/>
                    </pic:cNvPicPr>
                  </pic:nvPicPr>
                  <pic:blipFill>
                    <a:blip xmlns:r="http://schemas.openxmlformats.org/officeDocument/2006/relationships" r:embed="rId51">
                      <a:extLst>
                        <a:ext xmlns:a="http://schemas.openxmlformats.org/drawingml/2006/main" uri="{28A0092B-C50C-407E-A947-70E740481C1C}">
                          <a14:useLocalDpi xmlns:a14="http://schemas.microsoft.com/office/drawing/2010/main" val="0"/>
                        </a:ext>
                      </a:extLst>
                    </a:blip>
                    <a:stretch>
                      <a:fillRect/>
                    </a:stretch>
                  </pic:blipFill>
                  <pic:spPr bwMode="auto">
                    <a:xfrm>
                      <a:off x="0" y="0"/>
                      <a:ext cx="3431477" cy="4341025"/>
                    </a:xfrm>
                    <a:prstGeom prst="rect">
                      <a:avLst/>
                    </a:prstGeom>
                    <a:noFill/>
                    <a:ln>
                      <a:noFill/>
                    </a:ln>
                  </pic:spPr>
                </pic:pic>
              </a:graphicData>
            </a:graphic>
          </wp:inline>
        </w:drawing>
      </w:r>
    </w:p>
    <w:p w:rsidR="006734B0" w:rsidRPr="00545FFF" w:rsidP="00545FFF" w14:paraId="0543BD44" w14:textId="77777777">
      <w:pPr>
        <w:pStyle w:val="738"/>
        <w:rPr>
          <w:rtl/>
        </w:rPr>
      </w:pPr>
      <w:r w:rsidRPr="00545FFF">
        <w:rPr>
          <w:rFonts w:hint="cs"/>
          <w:rtl/>
        </w:rPr>
        <w:t>המקור: מאגר משפטי ממוחשב.</w:t>
      </w:r>
    </w:p>
    <w:p w:rsidR="006734B0" w:rsidRPr="00545FFF" w:rsidP="00545FFF" w14:paraId="12C09B45" w14:textId="77777777">
      <w:pPr>
        <w:pStyle w:val="7392"/>
        <w:rPr>
          <w:rtl/>
        </w:rPr>
      </w:pPr>
      <w:r w:rsidRPr="00545FFF">
        <w:rPr>
          <w:rFonts w:hint="cs"/>
          <w:rtl/>
        </w:rPr>
        <w:t>לגבי כל אחד מסוגי השטחים מעניק החוק לבעל הזיכיון זכויות שונות, כדלהלן:</w:t>
      </w:r>
    </w:p>
    <w:p w:rsidR="006734B0" w:rsidRPr="00545FFF" w:rsidP="005817FE" w14:paraId="02115713" w14:textId="32B2D4A0">
      <w:pPr>
        <w:pStyle w:val="7392"/>
        <w:numPr>
          <w:ilvl w:val="0"/>
          <w:numId w:val="34"/>
        </w:numPr>
        <w:rPr>
          <w:rtl/>
        </w:rPr>
      </w:pPr>
      <w:r w:rsidRPr="00545FFF">
        <w:rPr>
          <w:rFonts w:hint="cs"/>
          <w:rtl/>
        </w:rPr>
        <w:t xml:space="preserve">בנוגע לשטח ים המלח, החוק מעניק </w:t>
      </w:r>
      <w:r w:rsidRPr="00545FFF">
        <w:rPr>
          <w:rFonts w:hint="cs"/>
          <w:rtl/>
        </w:rPr>
        <w:t>למי"ה</w:t>
      </w:r>
      <w:r w:rsidRPr="00545FFF">
        <w:rPr>
          <w:rFonts w:hint="cs"/>
          <w:rtl/>
        </w:rPr>
        <w:t xml:space="preserve"> זכויות ייחודיות לבצע פעולות לצורך הפקת חומרים, לרבות את הזכות "לעשות, להרחיב, לשנות, להחזיק </w:t>
      </w:r>
      <w:r w:rsidRPr="005817FE" w:rsidR="005817FE">
        <w:rPr>
          <w:rtl/>
        </w:rPr>
        <w:t xml:space="preserve">ולהרוס, בים המלח </w:t>
      </w:r>
      <w:r w:rsidRPr="00F27CAE" w:rsidR="00F27CAE">
        <w:rPr>
          <w:rtl/>
        </w:rPr>
        <w:t>ומתחתיו</w:t>
      </w:r>
      <w:r w:rsidRPr="005817FE" w:rsidR="005817FE">
        <w:rPr>
          <w:rtl/>
        </w:rPr>
        <w:t xml:space="preserve"> כל עבודות", בד בבד עם זכות</w:t>
      </w:r>
      <w:r w:rsidR="005817FE">
        <w:rPr>
          <w:rFonts w:hint="cs"/>
          <w:rtl/>
        </w:rPr>
        <w:t xml:space="preserve"> </w:t>
      </w:r>
      <w:r w:rsidRPr="00545FFF">
        <w:rPr>
          <w:rFonts w:hint="cs"/>
          <w:rtl/>
        </w:rPr>
        <w:t xml:space="preserve">הגישה הייחודית לאותן עבודות ולשימוש בהן. </w:t>
      </w:r>
    </w:p>
    <w:p w:rsidR="006734B0" w:rsidRPr="00545FFF" w:rsidP="005817FE" w14:paraId="6E461F6F" w14:textId="62C250ED">
      <w:pPr>
        <w:pStyle w:val="735"/>
        <w:numPr>
          <w:ilvl w:val="0"/>
          <w:numId w:val="34"/>
        </w:numPr>
      </w:pPr>
      <w:r w:rsidRPr="00545FFF">
        <w:rPr>
          <w:rFonts w:hint="cs"/>
          <w:rtl/>
        </w:rPr>
        <w:t>בנוגע לשטח הקרקעות החכורות, חוק הזיכיון קובע כי בעל הזיכיון ישתמש בהן אך ורק לצורכי המפעל</w:t>
      </w:r>
      <w:r>
        <w:rPr>
          <w:rStyle w:val="FootnoteReference1"/>
          <w:rtl/>
        </w:rPr>
        <w:footnoteReference w:id="55"/>
      </w:r>
      <w:r w:rsidRPr="00545FFF">
        <w:rPr>
          <w:rtl/>
        </w:rPr>
        <w:t xml:space="preserve"> </w:t>
      </w:r>
      <w:r w:rsidRPr="00545FFF">
        <w:rPr>
          <w:rFonts w:hint="cs"/>
          <w:rtl/>
        </w:rPr>
        <w:t xml:space="preserve">אשר מוגדר לפי החוק כ"עסק של השגת מלחי-מחצבים, מחצבים וכימיקלים, התקנתם לשיווק, מכירתם </w:t>
      </w:r>
      <w:r w:rsidRPr="00545FFF">
        <w:rPr>
          <w:rFonts w:hint="cs"/>
          <w:rtl/>
        </w:rPr>
        <w:t>והעשיה</w:t>
      </w:r>
      <w:r w:rsidRPr="00545FFF">
        <w:rPr>
          <w:rFonts w:hint="cs"/>
          <w:rtl/>
        </w:rPr>
        <w:t xml:space="preserve"> בהם וכל אותם עסקים, רכוש ודברים שיהיו דרושים או מתלווים לכך, </w:t>
      </w:r>
      <w:r w:rsidRPr="00545FFF">
        <w:rPr>
          <w:rFonts w:hint="cs"/>
          <w:rtl/>
        </w:rPr>
        <w:t>הכל</w:t>
      </w:r>
      <w:r w:rsidRPr="00545FFF">
        <w:rPr>
          <w:rFonts w:hint="cs"/>
          <w:rtl/>
        </w:rPr>
        <w:t xml:space="preserve"> לפי </w:t>
      </w:r>
      <w:r w:rsidRPr="00545FFF">
        <w:rPr>
          <w:rFonts w:hint="cs"/>
          <w:rtl/>
        </w:rPr>
        <w:t>זכיון</w:t>
      </w:r>
      <w:r w:rsidRPr="00545FFF">
        <w:rPr>
          <w:rFonts w:hint="cs"/>
          <w:rtl/>
        </w:rPr>
        <w:t xml:space="preserve"> זה". סעיף 6 לחוק קובע כי דמי החכירה בגין הקרקעות החכורות יהיו 10 ל"י (לירה ישראלית) בעד כל עשר שנות החכירה הראשונות, ולאחר מכן ישולמו דמי חכירה הוגנים, המבוססים על ערך הקרקעות. באוגוסט 1975 נחתם זיכרון דברים בין </w:t>
      </w:r>
      <w:r w:rsidRPr="00545FFF">
        <w:rPr>
          <w:rFonts w:hint="cs"/>
          <w:rtl/>
        </w:rPr>
        <w:t>רמ"י</w:t>
      </w:r>
      <w:r w:rsidRPr="00545FFF">
        <w:rPr>
          <w:rFonts w:hint="cs"/>
          <w:rtl/>
        </w:rPr>
        <w:t xml:space="preserve"> (בזמנו </w:t>
      </w:r>
      <w:r w:rsidRPr="00545FFF">
        <w:rPr>
          <w:rFonts w:hint="cs"/>
          <w:rtl/>
        </w:rPr>
        <w:t>מינהל</w:t>
      </w:r>
      <w:r w:rsidRPr="00545FFF">
        <w:rPr>
          <w:rFonts w:hint="cs"/>
          <w:rtl/>
        </w:rPr>
        <w:t xml:space="preserve"> מקרקעי ישראל) לבין </w:t>
      </w:r>
      <w:r w:rsidRPr="005817FE" w:rsidR="005817FE">
        <w:rPr>
          <w:rtl/>
        </w:rPr>
        <w:t>מי"ה</w:t>
      </w:r>
      <w:r w:rsidRPr="00545FFF">
        <w:rPr>
          <w:rFonts w:hint="cs"/>
          <w:rtl/>
        </w:rPr>
        <w:t xml:space="preserve"> המגדיר את דמי החכירה מאותו המועד וכן את מנגנון העדכון שלהם (להלן - זיכרון הדברים). </w:t>
      </w:r>
      <w:r w:rsidRPr="00545FFF">
        <w:rPr>
          <w:rFonts w:hint="eastAsia"/>
          <w:rtl/>
        </w:rPr>
        <w:t>זיכרון</w:t>
      </w:r>
      <w:r w:rsidRPr="00545FFF">
        <w:rPr>
          <w:rtl/>
        </w:rPr>
        <w:t xml:space="preserve"> הדברים מחלק את הקרקעות </w:t>
      </w:r>
      <w:r w:rsidRPr="00545FFF">
        <w:rPr>
          <w:rFonts w:hint="cs"/>
          <w:rtl/>
        </w:rPr>
        <w:t>ה</w:t>
      </w:r>
      <w:r w:rsidRPr="00545FFF">
        <w:rPr>
          <w:rtl/>
        </w:rPr>
        <w:t xml:space="preserve">חכורות לשלשה סוגים: קרקע מפעל, קרקע מתקן מים וקרקע חכורה רגילה וקובע ביחס לכל אחד מהסוגים את דמי החכירה. </w:t>
      </w:r>
      <w:r w:rsidRPr="00545FFF">
        <w:rPr>
          <w:rFonts w:hint="eastAsia"/>
          <w:rtl/>
        </w:rPr>
        <w:t>נכון</w:t>
      </w:r>
      <w:r w:rsidRPr="00545FFF">
        <w:rPr>
          <w:rtl/>
        </w:rPr>
        <w:t xml:space="preserve"> למועד הביקורת, </w:t>
      </w:r>
      <w:r w:rsidRPr="00545FFF">
        <w:rPr>
          <w:rtl/>
        </w:rPr>
        <w:t>מי"ה</w:t>
      </w:r>
      <w:r w:rsidRPr="00545FFF">
        <w:rPr>
          <w:rtl/>
        </w:rPr>
        <w:t xml:space="preserve"> משלמת </w:t>
      </w:r>
      <w:r w:rsidRPr="00545FFF">
        <w:rPr>
          <w:rtl/>
        </w:rPr>
        <w:t>לרמ"י</w:t>
      </w:r>
      <w:r w:rsidRPr="00545FFF">
        <w:rPr>
          <w:rtl/>
        </w:rPr>
        <w:t xml:space="preserve"> </w:t>
      </w:r>
      <w:r w:rsidRPr="00545FFF">
        <w:rPr>
          <w:rFonts w:hint="eastAsia"/>
          <w:rtl/>
        </w:rPr>
        <w:t>סכום</w:t>
      </w:r>
      <w:r w:rsidRPr="00545FFF">
        <w:rPr>
          <w:rtl/>
        </w:rPr>
        <w:t xml:space="preserve"> </w:t>
      </w:r>
      <w:r w:rsidRPr="00545FFF">
        <w:rPr>
          <w:rFonts w:hint="eastAsia"/>
          <w:rtl/>
        </w:rPr>
        <w:t>שנתי</w:t>
      </w:r>
      <w:r w:rsidRPr="00545FFF">
        <w:rPr>
          <w:rtl/>
        </w:rPr>
        <w:t xml:space="preserve"> </w:t>
      </w:r>
      <w:r w:rsidRPr="00545FFF">
        <w:rPr>
          <w:rFonts w:hint="eastAsia"/>
          <w:rtl/>
        </w:rPr>
        <w:t>של</w:t>
      </w:r>
      <w:r w:rsidRPr="00545FFF">
        <w:rPr>
          <w:rtl/>
        </w:rPr>
        <w:t xml:space="preserve"> </w:t>
      </w:r>
      <w:r w:rsidRPr="00545FFF">
        <w:rPr>
          <w:rFonts w:hint="eastAsia"/>
          <w:rtl/>
        </w:rPr>
        <w:t>כ</w:t>
      </w:r>
      <w:r w:rsidRPr="00545FFF">
        <w:rPr>
          <w:rtl/>
        </w:rPr>
        <w:t>-</w:t>
      </w:r>
      <w:r w:rsidRPr="00545FFF">
        <w:rPr>
          <w:rFonts w:hint="cs"/>
          <w:rtl/>
        </w:rPr>
        <w:t>2.7</w:t>
      </w:r>
      <w:r w:rsidRPr="00545FFF">
        <w:rPr>
          <w:rtl/>
        </w:rPr>
        <w:t xml:space="preserve"> </w:t>
      </w:r>
      <w:r w:rsidRPr="00545FFF">
        <w:rPr>
          <w:rFonts w:hint="eastAsia"/>
          <w:rtl/>
        </w:rPr>
        <w:t>מיליון</w:t>
      </w:r>
      <w:r w:rsidRPr="00545FFF">
        <w:rPr>
          <w:rtl/>
        </w:rPr>
        <w:t xml:space="preserve"> </w:t>
      </w:r>
      <w:r w:rsidRPr="00545FFF">
        <w:rPr>
          <w:rFonts w:hint="eastAsia"/>
          <w:rtl/>
        </w:rPr>
        <w:t>ש</w:t>
      </w:r>
      <w:r w:rsidRPr="00545FFF">
        <w:rPr>
          <w:rtl/>
        </w:rPr>
        <w:t xml:space="preserve">"ח (כולל </w:t>
      </w:r>
      <w:r w:rsidRPr="00E97F6C" w:rsidR="00E97F6C">
        <w:rPr>
          <w:rtl/>
        </w:rPr>
        <w:t>מע"ם</w:t>
      </w:r>
      <w:r w:rsidRPr="00545FFF">
        <w:rPr>
          <w:rtl/>
        </w:rPr>
        <w:t>) לפי החלוקה הבאה: כ-</w:t>
      </w:r>
      <w:r w:rsidRPr="00545FFF">
        <w:rPr>
          <w:rFonts w:hint="cs"/>
          <w:rtl/>
        </w:rPr>
        <w:t xml:space="preserve">2.1 </w:t>
      </w:r>
      <w:r w:rsidRPr="00545FFF">
        <w:rPr>
          <w:rtl/>
        </w:rPr>
        <w:t>מיליון ש"ח בגין קרקע מפעל (</w:t>
      </w:r>
      <w:r w:rsidRPr="00545FFF">
        <w:rPr>
          <w:rFonts w:hint="cs"/>
          <w:rtl/>
        </w:rPr>
        <w:t>1,839</w:t>
      </w:r>
      <w:r w:rsidRPr="00545FFF">
        <w:rPr>
          <w:rtl/>
        </w:rPr>
        <w:t xml:space="preserve"> דונם), </w:t>
      </w:r>
      <w:r w:rsidRPr="00545FFF">
        <w:rPr>
          <w:rFonts w:hint="eastAsia"/>
          <w:rtl/>
        </w:rPr>
        <w:t>כ</w:t>
      </w:r>
      <w:r w:rsidRPr="00545FFF">
        <w:rPr>
          <w:rFonts w:hint="cs"/>
          <w:rtl/>
        </w:rPr>
        <w:t>-</w:t>
      </w:r>
      <w:r w:rsidRPr="00545FFF">
        <w:rPr>
          <w:rtl/>
        </w:rPr>
        <w:t xml:space="preserve">8,000 </w:t>
      </w:r>
      <w:r w:rsidRPr="00545FFF">
        <w:rPr>
          <w:rFonts w:hint="eastAsia"/>
          <w:rtl/>
        </w:rPr>
        <w:t>ש</w:t>
      </w:r>
      <w:r w:rsidRPr="00545FFF">
        <w:rPr>
          <w:rtl/>
        </w:rPr>
        <w:t>"ח בגין קרקע בסיווג מתקן מים (91</w:t>
      </w:r>
      <w:r w:rsidRPr="00545FFF">
        <w:rPr>
          <w:rFonts w:hint="cs"/>
          <w:rtl/>
        </w:rPr>
        <w:t>.5</w:t>
      </w:r>
      <w:r w:rsidRPr="00545FFF">
        <w:rPr>
          <w:rtl/>
        </w:rPr>
        <w:t xml:space="preserve"> דונם) ו</w:t>
      </w:r>
      <w:r w:rsidRPr="00545FFF">
        <w:rPr>
          <w:rFonts w:hint="eastAsia"/>
          <w:rtl/>
        </w:rPr>
        <w:t>כ</w:t>
      </w:r>
      <w:r w:rsidRPr="00545FFF">
        <w:rPr>
          <w:rFonts w:hint="cs"/>
          <w:rtl/>
        </w:rPr>
        <w:t>-600,000</w:t>
      </w:r>
      <w:r w:rsidRPr="00545FFF">
        <w:rPr>
          <w:rtl/>
        </w:rPr>
        <w:t xml:space="preserve"> ש"ח בגין קרקע חכורה רגילה (28,300 דונם). </w:t>
      </w:r>
    </w:p>
    <w:p w:rsidR="006734B0" w:rsidRPr="00545FFF" w:rsidP="005817FE" w14:paraId="1330D3A0" w14:textId="77777777">
      <w:pPr>
        <w:pStyle w:val="735"/>
        <w:numPr>
          <w:ilvl w:val="0"/>
          <w:numId w:val="34"/>
        </w:numPr>
      </w:pPr>
      <w:r w:rsidRPr="00545FFF">
        <w:rPr>
          <w:rFonts w:hint="cs"/>
          <w:rtl/>
        </w:rPr>
        <w:t xml:space="preserve">בנוגע לקרקעות השמורות, החוק קובע כי במשך תקופת הזיכיון הממשלה "לא תעניק לאדם אחר זולת בעל </w:t>
      </w:r>
      <w:r w:rsidRPr="00545FFF">
        <w:rPr>
          <w:rFonts w:hint="cs"/>
          <w:rtl/>
        </w:rPr>
        <w:t>הזכיון</w:t>
      </w:r>
      <w:r w:rsidRPr="00545FFF">
        <w:rPr>
          <w:rFonts w:hint="cs"/>
          <w:rtl/>
        </w:rPr>
        <w:t xml:space="preserve"> שום חכירה, חזקה או </w:t>
      </w:r>
      <w:r w:rsidRPr="00545FFF">
        <w:rPr>
          <w:rFonts w:hint="cs"/>
          <w:rtl/>
        </w:rPr>
        <w:t>רשיון</w:t>
      </w:r>
      <w:r w:rsidRPr="00545FFF">
        <w:rPr>
          <w:rFonts w:hint="cs"/>
          <w:rtl/>
        </w:rPr>
        <w:t xml:space="preserve"> בקרקעות השמורות בלא שתציע אותם ראשונה לבעל </w:t>
      </w:r>
      <w:r w:rsidRPr="00545FFF">
        <w:rPr>
          <w:rFonts w:hint="cs"/>
          <w:rtl/>
        </w:rPr>
        <w:t>הזכיון</w:t>
      </w:r>
      <w:r w:rsidRPr="00545FFF">
        <w:rPr>
          <w:rFonts w:hint="cs"/>
          <w:rtl/>
        </w:rPr>
        <w:t>", וכן לא תעניק בהן רישיון או זיכיון כרייה בלי שתציע אותם ראשונה לבעל הזיכיון</w:t>
      </w:r>
      <w:r>
        <w:rPr>
          <w:rStyle w:val="FootnoteReference1"/>
          <w:rtl/>
        </w:rPr>
        <w:footnoteReference w:id="56"/>
      </w:r>
      <w:r w:rsidRPr="00D805B9">
        <w:rPr>
          <w:rtl/>
        </w:rPr>
        <w:t>.</w:t>
      </w:r>
      <w:r w:rsidRPr="00545FFF">
        <w:rPr>
          <w:rtl/>
        </w:rPr>
        <w:t xml:space="preserve"> </w:t>
      </w:r>
    </w:p>
    <w:p w:rsidR="006734B0" w:rsidRPr="008D2DC1" w:rsidP="008D2DC1" w14:paraId="731EEB2B" w14:textId="77777777">
      <w:pPr>
        <w:pStyle w:val="733155"/>
        <w:rPr>
          <w:rtl/>
        </w:rPr>
      </w:pPr>
      <w:bookmarkStart w:id="38" w:name="_Toc170709956"/>
      <w:bookmarkStart w:id="39" w:name="_Toc171509545"/>
      <w:r w:rsidRPr="008D2DC1">
        <w:rPr>
          <w:rFonts w:hint="cs"/>
          <w:rtl/>
        </w:rPr>
        <w:t>אי-</w:t>
      </w:r>
      <w:r w:rsidRPr="008D2DC1">
        <w:rPr>
          <w:rFonts w:hint="cs"/>
          <w:rtl/>
        </w:rPr>
        <w:t>אסדרת</w:t>
      </w:r>
      <w:r w:rsidRPr="008D2DC1">
        <w:rPr>
          <w:rFonts w:hint="cs"/>
          <w:rtl/>
        </w:rPr>
        <w:t xml:space="preserve"> שימושים בשטח הזיכיון </w:t>
      </w:r>
      <w:bookmarkEnd w:id="38"/>
      <w:bookmarkEnd w:id="39"/>
      <w:r w:rsidRPr="008D2DC1">
        <w:rPr>
          <w:rFonts w:hint="cs"/>
          <w:rtl/>
        </w:rPr>
        <w:t xml:space="preserve">והיעדר פיקוח וגביית תשלום בגינם </w:t>
      </w:r>
    </w:p>
    <w:p w:rsidR="006734B0" w:rsidRPr="00331AB4" w:rsidP="00331AB4" w14:paraId="0430B51B" w14:textId="77777777">
      <w:pPr>
        <w:pStyle w:val="735"/>
        <w:numPr>
          <w:ilvl w:val="0"/>
          <w:numId w:val="29"/>
        </w:numPr>
        <w:rPr>
          <w:rtl/>
        </w:rPr>
      </w:pPr>
      <w:r w:rsidRPr="00331AB4">
        <w:rPr>
          <w:rFonts w:hint="cs"/>
          <w:rtl/>
        </w:rPr>
        <w:t>חוק הזיכיון קובע</w:t>
      </w:r>
      <w:r>
        <w:rPr>
          <w:rStyle w:val="FootnoteReference1"/>
          <w:rtl/>
        </w:rPr>
        <w:footnoteReference w:id="57"/>
      </w:r>
      <w:r w:rsidRPr="00331AB4">
        <w:rPr>
          <w:rFonts w:hint="cs"/>
          <w:rtl/>
        </w:rPr>
        <w:t xml:space="preserve"> את המנגנון שלפיו קרקע הנמצאת במעמד "קרקע שמורה" תוחכר ותהפוך ל"קרקע חכורה". לפי המנגנון הקבוע בחוק, הממשלה תחכיר לבעל הזיכיון כל חלק מהקרקעות השמורות שיהיה דרוש למפעל, ובמשך עשר השנים הראשונות לחכירה דמי החכירה שישולמו בנוגע לאותן הקרקעות יהיו סמליים, ולאחר מכן ישולמו דמי חכירה הוגנים שיהיו מבוססים על שווין של קרקעות אלה</w:t>
      </w:r>
      <w:r>
        <w:rPr>
          <w:rStyle w:val="FootnoteReference1"/>
          <w:rtl/>
        </w:rPr>
        <w:footnoteReference w:id="58"/>
      </w:r>
      <w:r w:rsidRPr="00331AB4">
        <w:rPr>
          <w:rFonts w:hint="cs"/>
          <w:rtl/>
        </w:rPr>
        <w:t>.</w:t>
      </w:r>
    </w:p>
    <w:p w:rsidR="006734B0" w:rsidRPr="00331AB4" w:rsidP="00331AB4" w14:paraId="5BA07040" w14:textId="7D360E0E">
      <w:pPr>
        <w:pStyle w:val="7310"/>
        <w:rPr>
          <w:rtl/>
        </w:rPr>
      </w:pPr>
      <w:bookmarkStart w:id="40" w:name="_Hlk173951229"/>
      <w:r w:rsidRPr="00331AB4">
        <w:rPr>
          <w:rFonts w:hint="cs"/>
          <w:rtl/>
        </w:rPr>
        <w:t xml:space="preserve">בביקורת נמצא כי אף שבמהלך השנים הקימה </w:t>
      </w:r>
      <w:r w:rsidRPr="00331AB4">
        <w:rPr>
          <w:rFonts w:hint="cs"/>
          <w:rtl/>
        </w:rPr>
        <w:t>מי"ה</w:t>
      </w:r>
      <w:r w:rsidRPr="00331AB4">
        <w:rPr>
          <w:rFonts w:hint="cs"/>
          <w:rtl/>
        </w:rPr>
        <w:t xml:space="preserve"> בשטח הקרקעות השמורות מתקנים המשמשים אותה (</w:t>
      </w:r>
      <w:r w:rsidRPr="00331AB4">
        <w:rPr>
          <w:rFonts w:hint="eastAsia"/>
          <w:rtl/>
        </w:rPr>
        <w:t>כגון</w:t>
      </w:r>
      <w:r w:rsidRPr="00331AB4">
        <w:rPr>
          <w:rtl/>
        </w:rPr>
        <w:t xml:space="preserve"> </w:t>
      </w:r>
      <w:r w:rsidRPr="00331AB4">
        <w:rPr>
          <w:rFonts w:hint="eastAsia"/>
          <w:rtl/>
        </w:rPr>
        <w:t>ת</w:t>
      </w:r>
      <w:r w:rsidRPr="00331AB4">
        <w:rPr>
          <w:rFonts w:hint="cs"/>
          <w:rtl/>
        </w:rPr>
        <w:t>עלת ההזנה, תשתיות הולכה ואתרי כרייה וחציבה), ואף שלפי חוק הזיכיון, שימוש בקרקעות השמורות מצריך שינוי של מעמדן לקרקעות חכורות ותשלום דמי חכירה בהתאם, במהלך השנים ועד למועד הביקורת</w:t>
      </w:r>
      <w:r w:rsidR="009A33AB">
        <w:rPr>
          <w:rFonts w:hint="cs"/>
          <w:rtl/>
        </w:rPr>
        <w:t xml:space="preserve">, </w:t>
      </w:r>
      <w:r w:rsidRPr="00331AB4">
        <w:rPr>
          <w:rFonts w:hint="cs"/>
          <w:rtl/>
        </w:rPr>
        <w:t>רמ"י</w:t>
      </w:r>
      <w:r w:rsidRPr="00331AB4">
        <w:rPr>
          <w:rFonts w:hint="cs"/>
          <w:rtl/>
        </w:rPr>
        <w:t xml:space="preserve"> לא פעלה לשנות את מעמד הקרקע בשטחים אלה לקרקעות חכורות כמתחייב, והיא אינה דורשת </w:t>
      </w:r>
      <w:r w:rsidRPr="00331AB4">
        <w:rPr>
          <w:rFonts w:hint="cs"/>
          <w:rtl/>
        </w:rPr>
        <w:t>ממי"ה</w:t>
      </w:r>
      <w:r w:rsidRPr="00331AB4">
        <w:rPr>
          <w:rFonts w:hint="cs"/>
          <w:rtl/>
        </w:rPr>
        <w:t xml:space="preserve"> תשלום בגין השימוש בהן. </w:t>
      </w:r>
    </w:p>
    <w:p w:rsidR="006734B0" w:rsidRPr="00331AB4" w:rsidP="00331AB4" w14:paraId="34FF1DDE" w14:textId="77777777">
      <w:pPr>
        <w:pStyle w:val="7310"/>
        <w:rPr>
          <w:rtl/>
        </w:rPr>
      </w:pPr>
      <w:r w:rsidRPr="00331AB4">
        <w:rPr>
          <w:rFonts w:hint="cs"/>
          <w:rtl/>
        </w:rPr>
        <w:t xml:space="preserve">עוד נמצא כי אף שמדובר במקרקעי ישראל, ובפרט כאשר מדובר במקרקעין הכוללים ערכי טבע, נוף ומורשת, </w:t>
      </w:r>
      <w:r w:rsidRPr="00331AB4">
        <w:rPr>
          <w:rFonts w:hint="cs"/>
          <w:rtl/>
        </w:rPr>
        <w:t>רמ"י</w:t>
      </w:r>
      <w:r w:rsidRPr="00331AB4">
        <w:rPr>
          <w:rFonts w:hint="cs"/>
          <w:rtl/>
        </w:rPr>
        <w:t xml:space="preserve"> לא קיימה סיורי פיקוח בשטח הקרקעות השמורות, והיא אינה מכירה את השימושים השונים שמבצעת </w:t>
      </w:r>
      <w:r w:rsidRPr="00331AB4">
        <w:rPr>
          <w:rFonts w:hint="cs"/>
          <w:rtl/>
        </w:rPr>
        <w:t>מי"ה</w:t>
      </w:r>
      <w:r w:rsidRPr="00331AB4">
        <w:rPr>
          <w:rFonts w:hint="cs"/>
          <w:rtl/>
        </w:rPr>
        <w:t xml:space="preserve"> בקרקעות האמורות או מודעת להם. </w:t>
      </w:r>
    </w:p>
    <w:p w:rsidR="006734B0" w:rsidRPr="00331AB4" w:rsidP="00331AB4" w14:paraId="3A29A697" w14:textId="77777777">
      <w:pPr>
        <w:pStyle w:val="7310"/>
        <w:rPr>
          <w:rtl/>
        </w:rPr>
      </w:pPr>
      <w:r w:rsidRPr="00331AB4">
        <w:rPr>
          <w:rFonts w:hint="cs"/>
          <w:rtl/>
        </w:rPr>
        <w:t xml:space="preserve">במהלך הביקורת מסרה </w:t>
      </w:r>
      <w:r w:rsidRPr="00331AB4">
        <w:rPr>
          <w:rFonts w:hint="cs"/>
          <w:rtl/>
        </w:rPr>
        <w:t>רמ"י</w:t>
      </w:r>
      <w:r w:rsidRPr="00331AB4">
        <w:rPr>
          <w:rFonts w:hint="cs"/>
          <w:rtl/>
        </w:rPr>
        <w:t xml:space="preserve"> למשרד מבקר המדינה כי "מבדיקה שנערכה על ידי הגורמים המקצועיים, לא נמצאו היתרים חתומים בתחום הקרקעות השמורות ולא ידוע לנו על שימוש שמצריך היתר ו/או גביית תשלום. בהיעדר מידע קונקרטי על שימוש כאמור גם לא ראינו לנכון להידרש לסוגיה הנ"ל של עדכון דמי החכירה בהתאם למנגנון הקבוע בסעיף 6(ג) לחוק". בהמשך, ולאחר שצוות הביקורת הציג בפני </w:t>
      </w:r>
      <w:r w:rsidRPr="00331AB4">
        <w:rPr>
          <w:rFonts w:hint="cs"/>
          <w:rtl/>
        </w:rPr>
        <w:t>רמ"י</w:t>
      </w:r>
      <w:r w:rsidRPr="00331AB4">
        <w:rPr>
          <w:rFonts w:hint="cs"/>
          <w:rtl/>
        </w:rPr>
        <w:t xml:space="preserve"> חלק מהשימושים שמבצעת </w:t>
      </w:r>
      <w:r w:rsidRPr="00331AB4">
        <w:rPr>
          <w:rFonts w:hint="cs"/>
          <w:rtl/>
        </w:rPr>
        <w:t>מי"ה</w:t>
      </w:r>
      <w:r w:rsidRPr="00331AB4">
        <w:rPr>
          <w:rFonts w:hint="cs"/>
          <w:rtl/>
        </w:rPr>
        <w:t xml:space="preserve"> בקרקעות השמורות, מסרה </w:t>
      </w:r>
      <w:r w:rsidRPr="00331AB4">
        <w:rPr>
          <w:rFonts w:hint="cs"/>
          <w:rtl/>
        </w:rPr>
        <w:t>רמ"י</w:t>
      </w:r>
      <w:r w:rsidRPr="00331AB4">
        <w:rPr>
          <w:rFonts w:hint="cs"/>
          <w:rtl/>
        </w:rPr>
        <w:t xml:space="preserve"> כי מדובר בנושא רגיש וסבוך, וכי הזיכיון הוא בתחום אחריות משרד האוצר ולכן נדרש לקיים דיון רחב בנושא. </w:t>
      </w:r>
    </w:p>
    <w:p w:rsidR="006734B0" w:rsidRPr="00331AB4" w:rsidP="00331AB4" w14:paraId="6AE8B9A2" w14:textId="77777777">
      <w:pPr>
        <w:pStyle w:val="7317"/>
        <w:rPr>
          <w:rtl/>
        </w:rPr>
      </w:pPr>
      <w:r w:rsidRPr="00331AB4">
        <w:rPr>
          <w:rFonts w:hint="cs"/>
          <w:rtl/>
        </w:rPr>
        <w:t>רמ"י</w:t>
      </w:r>
      <w:r w:rsidRPr="00331AB4">
        <w:rPr>
          <w:rFonts w:hint="cs"/>
          <w:rtl/>
        </w:rPr>
        <w:t xml:space="preserve"> מסרה בתשובתה למשרד מבקר המדינה כי לא התעורר צורך בהזמנת פיקוח. עוד מסרה </w:t>
      </w:r>
      <w:r w:rsidRPr="00331AB4">
        <w:rPr>
          <w:rFonts w:hint="cs"/>
          <w:rtl/>
        </w:rPr>
        <w:t>רמ"י</w:t>
      </w:r>
      <w:r w:rsidRPr="00331AB4">
        <w:rPr>
          <w:rFonts w:hint="cs"/>
          <w:rtl/>
        </w:rPr>
        <w:t xml:space="preserve"> כי בנוגע לפעולות המתבצעות בקרקעות השמורות ניתן להניח כי משרד </w:t>
      </w:r>
      <w:r w:rsidRPr="00331AB4">
        <w:rPr>
          <w:rFonts w:hint="cs"/>
          <w:rtl/>
        </w:rPr>
        <w:t>האנרגייה</w:t>
      </w:r>
      <w:r w:rsidRPr="00331AB4">
        <w:rPr>
          <w:rFonts w:hint="cs"/>
          <w:rtl/>
        </w:rPr>
        <w:t xml:space="preserve"> עקב אחר הנושא אולם אין ברשותו מידע ודאי בקשר לכך, וכי בהיעדר סמכות </w:t>
      </w:r>
      <w:r w:rsidRPr="00331AB4">
        <w:rPr>
          <w:rFonts w:hint="cs"/>
          <w:rtl/>
        </w:rPr>
        <w:t>רמ"י</w:t>
      </w:r>
      <w:r w:rsidRPr="00331AB4">
        <w:rPr>
          <w:rFonts w:hint="cs"/>
          <w:rtl/>
        </w:rPr>
        <w:t xml:space="preserve"> אינה מפקחת על הנעשה במקרקעין. משרד </w:t>
      </w:r>
      <w:r w:rsidRPr="00331AB4">
        <w:rPr>
          <w:rFonts w:hint="cs"/>
          <w:rtl/>
        </w:rPr>
        <w:t>האנרגייה</w:t>
      </w:r>
      <w:r w:rsidRPr="00331AB4">
        <w:rPr>
          <w:rFonts w:hint="cs"/>
          <w:rtl/>
        </w:rPr>
        <w:t xml:space="preserve"> </w:t>
      </w:r>
      <w:r w:rsidRPr="00331AB4">
        <w:rPr>
          <w:rFonts w:hint="eastAsia"/>
          <w:rtl/>
        </w:rPr>
        <w:t>הבהיר</w:t>
      </w:r>
      <w:r w:rsidRPr="00331AB4">
        <w:rPr>
          <w:rFonts w:hint="cs"/>
          <w:rtl/>
        </w:rPr>
        <w:t xml:space="preserve"> בתשובה משלימה למשרד מבקר המדינה כי הוא אינו מפקח על הפעולות והשימושים הנעשים בתחום הזיכיון. </w:t>
      </w:r>
    </w:p>
    <w:bookmarkEnd w:id="40"/>
    <w:p w:rsidR="006734B0" w:rsidRPr="00331AB4" w:rsidP="00331AB4" w14:paraId="7D266054" w14:textId="77777777">
      <w:pPr>
        <w:pStyle w:val="7310"/>
        <w:rPr>
          <w:rtl/>
        </w:rPr>
      </w:pPr>
      <w:r w:rsidRPr="00331AB4">
        <w:rPr>
          <w:rFonts w:hint="cs"/>
          <w:rtl/>
        </w:rPr>
        <w:t xml:space="preserve">משרד מבקר המדינה מציין כי טענת </w:t>
      </w:r>
      <w:r w:rsidRPr="00331AB4">
        <w:rPr>
          <w:rFonts w:hint="cs"/>
          <w:rtl/>
        </w:rPr>
        <w:t>רמ"י</w:t>
      </w:r>
      <w:r w:rsidRPr="00331AB4">
        <w:rPr>
          <w:rFonts w:hint="cs"/>
          <w:rtl/>
        </w:rPr>
        <w:t xml:space="preserve"> על כך שאין לה סמכות פיקוח על הנעשה בתחום הזיכיון תמוהה, לא </w:t>
      </w:r>
      <w:r w:rsidRPr="00331AB4">
        <w:rPr>
          <w:rFonts w:hint="eastAsia"/>
          <w:rtl/>
        </w:rPr>
        <w:t>נתמכה</w:t>
      </w:r>
      <w:r w:rsidRPr="00331AB4">
        <w:rPr>
          <w:rtl/>
        </w:rPr>
        <w:t xml:space="preserve"> </w:t>
      </w:r>
      <w:r w:rsidRPr="00331AB4">
        <w:rPr>
          <w:rFonts w:hint="eastAsia"/>
          <w:rtl/>
        </w:rPr>
        <w:t>ב</w:t>
      </w:r>
      <w:r w:rsidRPr="00331AB4">
        <w:rPr>
          <w:rFonts w:hint="cs"/>
          <w:rtl/>
        </w:rPr>
        <w:t xml:space="preserve">סימוכין והיא אינה עולה בקנה אחד עם מטרות הרשות הקבועות בחוק. </w:t>
      </w:r>
      <w:r w:rsidRPr="00331AB4">
        <w:rPr>
          <w:rFonts w:hint="eastAsia"/>
          <w:rtl/>
        </w:rPr>
        <w:t>הצהרת</w:t>
      </w:r>
      <w:r w:rsidRPr="00331AB4">
        <w:rPr>
          <w:rtl/>
        </w:rPr>
        <w:t xml:space="preserve"> </w:t>
      </w:r>
      <w:r w:rsidRPr="00331AB4">
        <w:rPr>
          <w:rFonts w:hint="eastAsia"/>
          <w:rtl/>
        </w:rPr>
        <w:t>רמ</w:t>
      </w:r>
      <w:r w:rsidRPr="00331AB4">
        <w:rPr>
          <w:rtl/>
        </w:rPr>
        <w:t>"י</w:t>
      </w:r>
      <w:r w:rsidRPr="00331AB4">
        <w:rPr>
          <w:rtl/>
        </w:rPr>
        <w:t xml:space="preserve"> </w:t>
      </w:r>
      <w:r w:rsidRPr="00331AB4">
        <w:rPr>
          <w:rFonts w:hint="cs"/>
          <w:rtl/>
        </w:rPr>
        <w:t xml:space="preserve">על כך שאין לה סמכויות בשטח נרחב זה מעידה כשלעצמה על היעדר המשילות של </w:t>
      </w:r>
      <w:r w:rsidRPr="00331AB4">
        <w:rPr>
          <w:rFonts w:hint="cs"/>
          <w:rtl/>
        </w:rPr>
        <w:t>רמ"י</w:t>
      </w:r>
      <w:r w:rsidRPr="00331AB4">
        <w:rPr>
          <w:rFonts w:hint="cs"/>
          <w:rtl/>
        </w:rPr>
        <w:t xml:space="preserve">. מאחר שאין בידי </w:t>
      </w:r>
      <w:r w:rsidRPr="00331AB4">
        <w:rPr>
          <w:rFonts w:hint="cs"/>
          <w:rtl/>
        </w:rPr>
        <w:t>רמ"י</w:t>
      </w:r>
      <w:r w:rsidRPr="00331AB4">
        <w:rPr>
          <w:rFonts w:hint="cs"/>
          <w:rtl/>
        </w:rPr>
        <w:t xml:space="preserve"> מידע לגבי היקף השימושים הנעשים בקרקעות השמורות, לא ניתן להעריך את היקף הכספים שהיו יכולים להשתלם לקופת המדינה לו </w:t>
      </w:r>
      <w:r w:rsidRPr="00331AB4">
        <w:rPr>
          <w:rFonts w:hint="cs"/>
          <w:rtl/>
        </w:rPr>
        <w:t>רמ"י</w:t>
      </w:r>
      <w:r w:rsidRPr="00331AB4">
        <w:rPr>
          <w:rFonts w:hint="cs"/>
          <w:rtl/>
        </w:rPr>
        <w:t xml:space="preserve"> הייתה גובה את התשלום הנדרש בגינם.</w:t>
      </w:r>
    </w:p>
    <w:p w:rsidR="006734B0" w:rsidRPr="00331AB4" w:rsidP="00331AB4" w14:paraId="444A66AF" w14:textId="3BD18283">
      <w:pPr>
        <w:pStyle w:val="7310"/>
        <w:rPr>
          <w:rtl/>
        </w:rPr>
      </w:pPr>
      <w:r w:rsidRPr="00331AB4">
        <w:rPr>
          <w:rFonts w:hint="cs"/>
          <w:rtl/>
        </w:rPr>
        <w:t xml:space="preserve">על </w:t>
      </w:r>
      <w:r w:rsidRPr="00331AB4">
        <w:rPr>
          <w:rFonts w:hint="cs"/>
          <w:rtl/>
        </w:rPr>
        <w:t>רמ"י</w:t>
      </w:r>
      <w:r w:rsidRPr="00331AB4">
        <w:rPr>
          <w:rFonts w:hint="cs"/>
          <w:rtl/>
        </w:rPr>
        <w:t xml:space="preserve"> לממש את סמכויותיה ולבצע בהקדם פיקוח על הקרקעות השמורות, קרקעות ששטחן כ-240,000 דונם, ולפעול להסדרת ההחכרה של הקרקעות השמורות שבהן </w:t>
      </w:r>
      <w:r w:rsidRPr="00331AB4">
        <w:rPr>
          <w:rFonts w:hint="cs"/>
          <w:rtl/>
        </w:rPr>
        <w:t>מי"ה</w:t>
      </w:r>
      <w:r w:rsidRPr="00331AB4">
        <w:rPr>
          <w:rFonts w:hint="cs"/>
          <w:rtl/>
        </w:rPr>
        <w:t xml:space="preserve"> מבצעת שימוש בפועל ולגביית הכספים שיכולים להשתלם לקופת המדינה בגין שימושים אלו. </w:t>
      </w:r>
    </w:p>
    <w:p w:rsidR="006734B0" w:rsidRPr="00331AB4" w:rsidP="00331AB4" w14:paraId="75521E43" w14:textId="33F38CE9">
      <w:pPr>
        <w:pStyle w:val="735"/>
        <w:numPr>
          <w:ilvl w:val="0"/>
          <w:numId w:val="29"/>
        </w:numPr>
        <w:rPr>
          <w:rtl/>
        </w:rPr>
      </w:pPr>
      <w:r w:rsidRPr="00331AB4">
        <w:rPr>
          <w:rFonts w:hint="eastAsia"/>
          <w:rtl/>
        </w:rPr>
        <w:t>כאמור</w:t>
      </w:r>
      <w:r w:rsidRPr="00331AB4">
        <w:rPr>
          <w:rtl/>
        </w:rPr>
        <w:t xml:space="preserve">, החוק </w:t>
      </w:r>
      <w:r w:rsidRPr="00331AB4">
        <w:rPr>
          <w:rFonts w:hint="eastAsia"/>
          <w:rtl/>
        </w:rPr>
        <w:t>קובע</w:t>
      </w:r>
      <w:r w:rsidRPr="00331AB4">
        <w:rPr>
          <w:rtl/>
        </w:rPr>
        <w:t xml:space="preserve"> </w:t>
      </w:r>
      <w:r w:rsidRPr="00331AB4">
        <w:rPr>
          <w:rFonts w:hint="eastAsia"/>
          <w:rtl/>
        </w:rPr>
        <w:t>כי</w:t>
      </w:r>
      <w:r w:rsidRPr="00331AB4">
        <w:rPr>
          <w:rtl/>
        </w:rPr>
        <w:t xml:space="preserve"> </w:t>
      </w:r>
      <w:r w:rsidRPr="00331AB4">
        <w:rPr>
          <w:rFonts w:hint="eastAsia"/>
          <w:rtl/>
        </w:rPr>
        <w:t>שטח</w:t>
      </w:r>
      <w:r w:rsidRPr="00331AB4">
        <w:rPr>
          <w:rtl/>
        </w:rPr>
        <w:t xml:space="preserve"> </w:t>
      </w:r>
      <w:r w:rsidRPr="00331AB4">
        <w:rPr>
          <w:rFonts w:hint="eastAsia"/>
          <w:rtl/>
        </w:rPr>
        <w:t>ים</w:t>
      </w:r>
      <w:r w:rsidRPr="00331AB4">
        <w:rPr>
          <w:rtl/>
        </w:rPr>
        <w:t xml:space="preserve"> </w:t>
      </w:r>
      <w:r w:rsidRPr="00331AB4">
        <w:rPr>
          <w:rFonts w:hint="eastAsia"/>
          <w:rtl/>
        </w:rPr>
        <w:t>המלח</w:t>
      </w:r>
      <w:r w:rsidRPr="00331AB4">
        <w:rPr>
          <w:rtl/>
        </w:rPr>
        <w:t xml:space="preserve"> </w:t>
      </w:r>
      <w:r w:rsidRPr="00331AB4">
        <w:rPr>
          <w:rFonts w:hint="eastAsia"/>
          <w:rtl/>
        </w:rPr>
        <w:t>כולל</w:t>
      </w:r>
      <w:r w:rsidRPr="00331AB4">
        <w:rPr>
          <w:rtl/>
        </w:rPr>
        <w:t xml:space="preserve"> </w:t>
      </w:r>
      <w:r w:rsidRPr="00331AB4">
        <w:rPr>
          <w:rFonts w:hint="eastAsia"/>
          <w:rtl/>
        </w:rPr>
        <w:t>את</w:t>
      </w:r>
      <w:r w:rsidRPr="00331AB4">
        <w:rPr>
          <w:rtl/>
        </w:rPr>
        <w:t xml:space="preserve"> </w:t>
      </w:r>
      <w:r w:rsidRPr="00331AB4">
        <w:rPr>
          <w:rFonts w:hint="eastAsia"/>
          <w:rtl/>
        </w:rPr>
        <w:t>מי</w:t>
      </w:r>
      <w:r w:rsidRPr="00331AB4">
        <w:rPr>
          <w:rtl/>
        </w:rPr>
        <w:t xml:space="preserve"> </w:t>
      </w:r>
      <w:r w:rsidRPr="00331AB4">
        <w:rPr>
          <w:rFonts w:hint="eastAsia"/>
          <w:rtl/>
        </w:rPr>
        <w:t>ים</w:t>
      </w:r>
      <w:r w:rsidRPr="00331AB4">
        <w:rPr>
          <w:rtl/>
        </w:rPr>
        <w:t xml:space="preserve"> </w:t>
      </w:r>
      <w:r w:rsidRPr="00331AB4">
        <w:rPr>
          <w:rFonts w:hint="eastAsia"/>
          <w:rtl/>
        </w:rPr>
        <w:t>המלח</w:t>
      </w:r>
      <w:r w:rsidRPr="00331AB4">
        <w:rPr>
          <w:rtl/>
        </w:rPr>
        <w:t xml:space="preserve"> </w:t>
      </w:r>
      <w:r w:rsidRPr="00331AB4">
        <w:rPr>
          <w:rFonts w:hint="eastAsia"/>
          <w:rtl/>
        </w:rPr>
        <w:t>שבגבול</w:t>
      </w:r>
      <w:r w:rsidRPr="00331AB4">
        <w:rPr>
          <w:rtl/>
        </w:rPr>
        <w:t xml:space="preserve"> </w:t>
      </w:r>
      <w:r w:rsidRPr="00331AB4">
        <w:rPr>
          <w:rFonts w:hint="eastAsia"/>
          <w:rtl/>
        </w:rPr>
        <w:t>מדינת</w:t>
      </w:r>
      <w:r w:rsidRPr="00331AB4">
        <w:rPr>
          <w:rtl/>
        </w:rPr>
        <w:t xml:space="preserve"> </w:t>
      </w:r>
      <w:r w:rsidRPr="00331AB4">
        <w:rPr>
          <w:rFonts w:hint="eastAsia"/>
          <w:rtl/>
        </w:rPr>
        <w:t>ישראל</w:t>
      </w:r>
      <w:r w:rsidRPr="00331AB4">
        <w:rPr>
          <w:rtl/>
        </w:rPr>
        <w:t xml:space="preserve">, </w:t>
      </w:r>
      <w:r w:rsidRPr="00331AB4">
        <w:rPr>
          <w:rFonts w:hint="eastAsia"/>
          <w:rtl/>
        </w:rPr>
        <w:t>את</w:t>
      </w:r>
      <w:r w:rsidRPr="00331AB4">
        <w:rPr>
          <w:rtl/>
        </w:rPr>
        <w:t xml:space="preserve"> </w:t>
      </w:r>
      <w:r w:rsidRPr="00331AB4">
        <w:rPr>
          <w:rFonts w:hint="eastAsia"/>
          <w:rtl/>
        </w:rPr>
        <w:t>שטח</w:t>
      </w:r>
      <w:r w:rsidRPr="00331AB4">
        <w:rPr>
          <w:rtl/>
        </w:rPr>
        <w:t xml:space="preserve"> </w:t>
      </w:r>
      <w:r w:rsidRPr="00331AB4">
        <w:rPr>
          <w:rFonts w:hint="eastAsia"/>
          <w:rtl/>
        </w:rPr>
        <w:t>האידוי</w:t>
      </w:r>
      <w:r w:rsidRPr="00331AB4">
        <w:rPr>
          <w:rtl/>
        </w:rPr>
        <w:t xml:space="preserve"> </w:t>
      </w:r>
      <w:r w:rsidRPr="00331AB4">
        <w:rPr>
          <w:rFonts w:hint="eastAsia"/>
          <w:rtl/>
        </w:rPr>
        <w:t>המסומן</w:t>
      </w:r>
      <w:r w:rsidRPr="00331AB4">
        <w:rPr>
          <w:rtl/>
        </w:rPr>
        <w:t xml:space="preserve"> </w:t>
      </w:r>
      <w:r w:rsidRPr="00331AB4">
        <w:rPr>
          <w:rFonts w:hint="eastAsia"/>
          <w:rtl/>
        </w:rPr>
        <w:t>על</w:t>
      </w:r>
      <w:r w:rsidRPr="00331AB4">
        <w:rPr>
          <w:rtl/>
        </w:rPr>
        <w:t xml:space="preserve"> </w:t>
      </w:r>
      <w:r w:rsidRPr="00331AB4">
        <w:rPr>
          <w:rFonts w:hint="eastAsia"/>
          <w:rtl/>
        </w:rPr>
        <w:t>גבי</w:t>
      </w:r>
      <w:r w:rsidRPr="00331AB4">
        <w:rPr>
          <w:rtl/>
        </w:rPr>
        <w:t xml:space="preserve"> </w:t>
      </w:r>
      <w:r w:rsidRPr="00331AB4">
        <w:rPr>
          <w:rFonts w:hint="eastAsia"/>
          <w:rtl/>
        </w:rPr>
        <w:t>המפה</w:t>
      </w:r>
      <w:r w:rsidRPr="00331AB4">
        <w:rPr>
          <w:rtl/>
        </w:rPr>
        <w:t xml:space="preserve"> </w:t>
      </w:r>
      <w:r w:rsidRPr="00331AB4">
        <w:rPr>
          <w:rFonts w:hint="eastAsia"/>
          <w:rtl/>
        </w:rPr>
        <w:t>שצורפה</w:t>
      </w:r>
      <w:r w:rsidRPr="00331AB4">
        <w:rPr>
          <w:rtl/>
        </w:rPr>
        <w:t xml:space="preserve"> </w:t>
      </w:r>
      <w:r w:rsidRPr="00331AB4">
        <w:rPr>
          <w:rFonts w:hint="eastAsia"/>
          <w:rtl/>
        </w:rPr>
        <w:t>לשטר</w:t>
      </w:r>
      <w:r w:rsidRPr="00331AB4">
        <w:rPr>
          <w:rtl/>
        </w:rPr>
        <w:t xml:space="preserve"> </w:t>
      </w:r>
      <w:r w:rsidRPr="00331AB4">
        <w:rPr>
          <w:rFonts w:hint="eastAsia"/>
          <w:rtl/>
        </w:rPr>
        <w:t>ואת</w:t>
      </w:r>
      <w:r w:rsidRPr="00331AB4">
        <w:rPr>
          <w:rtl/>
        </w:rPr>
        <w:t xml:space="preserve"> </w:t>
      </w:r>
      <w:r w:rsidRPr="00331AB4">
        <w:rPr>
          <w:rFonts w:hint="eastAsia"/>
          <w:rtl/>
        </w:rPr>
        <w:t>רצועת</w:t>
      </w:r>
      <w:r w:rsidRPr="00331AB4">
        <w:rPr>
          <w:rtl/>
        </w:rPr>
        <w:t xml:space="preserve"> </w:t>
      </w:r>
      <w:r w:rsidRPr="00331AB4">
        <w:rPr>
          <w:rFonts w:hint="eastAsia"/>
          <w:rtl/>
        </w:rPr>
        <w:t>החוף</w:t>
      </w:r>
      <w:r w:rsidRPr="00331AB4">
        <w:rPr>
          <w:rtl/>
        </w:rPr>
        <w:t xml:space="preserve"> </w:t>
      </w:r>
      <w:r w:rsidRPr="00331AB4">
        <w:rPr>
          <w:rFonts w:hint="eastAsia"/>
          <w:rtl/>
        </w:rPr>
        <w:t>כפי</w:t>
      </w:r>
      <w:r w:rsidRPr="00331AB4">
        <w:rPr>
          <w:rtl/>
        </w:rPr>
        <w:t xml:space="preserve"> </w:t>
      </w:r>
      <w:r w:rsidRPr="00331AB4">
        <w:rPr>
          <w:rFonts w:hint="eastAsia"/>
          <w:rtl/>
        </w:rPr>
        <w:t>שהוגדרה</w:t>
      </w:r>
      <w:r w:rsidRPr="00331AB4">
        <w:rPr>
          <w:rtl/>
        </w:rPr>
        <w:t>. לפי חוק</w:t>
      </w:r>
      <w:r w:rsidR="009A33AB">
        <w:rPr>
          <w:rFonts w:hint="cs"/>
          <w:rtl/>
        </w:rPr>
        <w:t xml:space="preserve"> הזיכיון</w:t>
      </w:r>
      <w:r w:rsidRPr="00331AB4">
        <w:rPr>
          <w:rtl/>
        </w:rPr>
        <w:t xml:space="preserve"> בשטח ים המלח </w:t>
      </w:r>
      <w:r w:rsidRPr="00331AB4">
        <w:rPr>
          <w:rFonts w:hint="cs"/>
          <w:rtl/>
        </w:rPr>
        <w:t xml:space="preserve">מוקנית </w:t>
      </w:r>
      <w:r w:rsidRPr="00331AB4">
        <w:rPr>
          <w:rFonts w:hint="eastAsia"/>
          <w:rtl/>
        </w:rPr>
        <w:t>זכות</w:t>
      </w:r>
      <w:r w:rsidRPr="00331AB4">
        <w:rPr>
          <w:rtl/>
        </w:rPr>
        <w:t xml:space="preserve"> ייחודית </w:t>
      </w:r>
      <w:r w:rsidRPr="00331AB4">
        <w:rPr>
          <w:rFonts w:hint="eastAsia"/>
          <w:rtl/>
        </w:rPr>
        <w:t>לבעל</w:t>
      </w:r>
      <w:r w:rsidRPr="00331AB4">
        <w:rPr>
          <w:rtl/>
        </w:rPr>
        <w:t xml:space="preserve"> הזיכיון </w:t>
      </w:r>
      <w:r w:rsidRPr="00331AB4">
        <w:rPr>
          <w:rFonts w:hint="eastAsia"/>
          <w:rtl/>
        </w:rPr>
        <w:t>לבצע</w:t>
      </w:r>
      <w:r w:rsidRPr="00331AB4">
        <w:rPr>
          <w:rtl/>
        </w:rPr>
        <w:t xml:space="preserve"> עבודות, ובכלל זאת גם להקים סוללות, בריכות אידוי ותחנות שאיבה. </w:t>
      </w:r>
      <w:r w:rsidRPr="00331AB4">
        <w:rPr>
          <w:rFonts w:hint="eastAsia"/>
          <w:rtl/>
        </w:rPr>
        <w:t>במועד</w:t>
      </w:r>
      <w:r w:rsidRPr="00331AB4">
        <w:rPr>
          <w:rtl/>
        </w:rPr>
        <w:t xml:space="preserve"> </w:t>
      </w:r>
      <w:r w:rsidRPr="00331AB4">
        <w:rPr>
          <w:rFonts w:hint="eastAsia"/>
          <w:rtl/>
        </w:rPr>
        <w:t>חקיקת</w:t>
      </w:r>
      <w:r w:rsidRPr="00331AB4">
        <w:rPr>
          <w:rtl/>
        </w:rPr>
        <w:t xml:space="preserve"> </w:t>
      </w:r>
      <w:r w:rsidRPr="00331AB4">
        <w:rPr>
          <w:rFonts w:hint="eastAsia"/>
          <w:rtl/>
        </w:rPr>
        <w:t>החוק</w:t>
      </w:r>
      <w:r w:rsidRPr="00331AB4">
        <w:rPr>
          <w:rtl/>
        </w:rPr>
        <w:t xml:space="preserve">, </w:t>
      </w:r>
      <w:r w:rsidRPr="00331AB4">
        <w:rPr>
          <w:rFonts w:hint="eastAsia"/>
          <w:rtl/>
        </w:rPr>
        <w:t>בשנת</w:t>
      </w:r>
      <w:r w:rsidRPr="00331AB4">
        <w:rPr>
          <w:rtl/>
        </w:rPr>
        <w:t xml:space="preserve"> 1961, </w:t>
      </w:r>
      <w:r w:rsidRPr="00331AB4">
        <w:rPr>
          <w:rFonts w:hint="eastAsia"/>
          <w:rtl/>
        </w:rPr>
        <w:t>ים</w:t>
      </w:r>
      <w:r w:rsidRPr="00331AB4">
        <w:rPr>
          <w:rtl/>
        </w:rPr>
        <w:t xml:space="preserve"> </w:t>
      </w:r>
      <w:r w:rsidRPr="00331AB4">
        <w:rPr>
          <w:rFonts w:hint="eastAsia"/>
          <w:rtl/>
        </w:rPr>
        <w:t>המלח</w:t>
      </w:r>
      <w:r w:rsidRPr="00331AB4">
        <w:rPr>
          <w:rtl/>
        </w:rPr>
        <w:t xml:space="preserve"> </w:t>
      </w:r>
      <w:r w:rsidRPr="00331AB4">
        <w:rPr>
          <w:rFonts w:hint="eastAsia"/>
          <w:rtl/>
        </w:rPr>
        <w:t>היה</w:t>
      </w:r>
      <w:r w:rsidRPr="00331AB4">
        <w:rPr>
          <w:rtl/>
        </w:rPr>
        <w:t xml:space="preserve"> </w:t>
      </w:r>
      <w:r w:rsidRPr="00331AB4">
        <w:rPr>
          <w:rFonts w:hint="eastAsia"/>
          <w:rtl/>
        </w:rPr>
        <w:t>אגן</w:t>
      </w:r>
      <w:r w:rsidRPr="00331AB4">
        <w:rPr>
          <w:rtl/>
        </w:rPr>
        <w:t xml:space="preserve"> </w:t>
      </w:r>
      <w:r w:rsidRPr="00331AB4">
        <w:rPr>
          <w:rFonts w:hint="eastAsia"/>
          <w:rtl/>
        </w:rPr>
        <w:t>אחד</w:t>
      </w:r>
      <w:r w:rsidRPr="00331AB4">
        <w:rPr>
          <w:rtl/>
        </w:rPr>
        <w:t xml:space="preserve"> </w:t>
      </w:r>
      <w:r w:rsidRPr="00331AB4">
        <w:rPr>
          <w:rFonts w:hint="eastAsia"/>
          <w:rtl/>
        </w:rPr>
        <w:t>רציף</w:t>
      </w:r>
      <w:r w:rsidRPr="00331AB4">
        <w:rPr>
          <w:rtl/>
        </w:rPr>
        <w:t xml:space="preserve"> </w:t>
      </w:r>
      <w:r w:rsidRPr="00331AB4">
        <w:rPr>
          <w:rFonts w:hint="eastAsia"/>
          <w:rtl/>
        </w:rPr>
        <w:t>ו</w:t>
      </w:r>
      <w:bookmarkStart w:id="41" w:name="_Hlk189389197"/>
      <w:r w:rsidRPr="00331AB4">
        <w:rPr>
          <w:rFonts w:hint="eastAsia"/>
          <w:rtl/>
        </w:rPr>
        <w:t>במרוצת</w:t>
      </w:r>
      <w:r w:rsidRPr="00331AB4">
        <w:rPr>
          <w:rtl/>
        </w:rPr>
        <w:t xml:space="preserve"> השנים </w:t>
      </w:r>
      <w:r w:rsidRPr="00331AB4">
        <w:rPr>
          <w:rFonts w:hint="eastAsia"/>
          <w:rtl/>
        </w:rPr>
        <w:t>חלקים</w:t>
      </w:r>
      <w:r w:rsidRPr="00331AB4">
        <w:rPr>
          <w:rtl/>
        </w:rPr>
        <w:t xml:space="preserve"> </w:t>
      </w:r>
      <w:r w:rsidRPr="00331AB4">
        <w:rPr>
          <w:rFonts w:hint="eastAsia"/>
          <w:rtl/>
        </w:rPr>
        <w:t>נרחבים</w:t>
      </w:r>
      <w:r w:rsidRPr="00331AB4">
        <w:rPr>
          <w:rtl/>
        </w:rPr>
        <w:t xml:space="preserve"> </w:t>
      </w:r>
      <w:r w:rsidRPr="00331AB4">
        <w:rPr>
          <w:rFonts w:hint="eastAsia"/>
          <w:rtl/>
        </w:rPr>
        <w:t>מהים</w:t>
      </w:r>
      <w:r w:rsidRPr="00331AB4">
        <w:rPr>
          <w:rtl/>
        </w:rPr>
        <w:t xml:space="preserve"> התייבשו </w:t>
      </w:r>
      <w:r w:rsidRPr="00331AB4">
        <w:rPr>
          <w:rFonts w:hint="eastAsia"/>
          <w:rtl/>
        </w:rPr>
        <w:t>כתוצאה</w:t>
      </w:r>
      <w:r w:rsidRPr="00331AB4">
        <w:rPr>
          <w:rtl/>
        </w:rPr>
        <w:t xml:space="preserve"> </w:t>
      </w:r>
      <w:r w:rsidRPr="00331AB4">
        <w:rPr>
          <w:rFonts w:hint="eastAsia"/>
          <w:rtl/>
        </w:rPr>
        <w:t>מירידת</w:t>
      </w:r>
      <w:r w:rsidRPr="00331AB4">
        <w:rPr>
          <w:rtl/>
        </w:rPr>
        <w:t xml:space="preserve"> </w:t>
      </w:r>
      <w:r w:rsidRPr="00331AB4">
        <w:rPr>
          <w:rFonts w:hint="eastAsia"/>
          <w:rtl/>
        </w:rPr>
        <w:t>מפלס</w:t>
      </w:r>
      <w:r w:rsidRPr="00331AB4">
        <w:rPr>
          <w:rtl/>
        </w:rPr>
        <w:t xml:space="preserve"> </w:t>
      </w:r>
      <w:r w:rsidRPr="00331AB4">
        <w:rPr>
          <w:rFonts w:hint="eastAsia"/>
          <w:rtl/>
        </w:rPr>
        <w:t>ים</w:t>
      </w:r>
      <w:r w:rsidRPr="00331AB4">
        <w:rPr>
          <w:rtl/>
        </w:rPr>
        <w:t xml:space="preserve"> </w:t>
      </w:r>
      <w:r w:rsidRPr="00331AB4">
        <w:rPr>
          <w:rFonts w:hint="eastAsia"/>
          <w:rtl/>
        </w:rPr>
        <w:t>המלח</w:t>
      </w:r>
      <w:r w:rsidRPr="00331AB4">
        <w:rPr>
          <w:rFonts w:hint="cs"/>
          <w:rtl/>
        </w:rPr>
        <w:t xml:space="preserve">. היקף השטח שהתייבש ממועד חקיקת חוק הזיכיון נאמד </w:t>
      </w:r>
      <w:r w:rsidRPr="00331AB4">
        <w:rPr>
          <w:rFonts w:hint="cs"/>
          <w:rtl/>
        </w:rPr>
        <w:t>בכ</w:t>
      </w:r>
      <w:r w:rsidRPr="00331AB4">
        <w:rPr>
          <w:rFonts w:hint="cs"/>
          <w:rtl/>
        </w:rPr>
        <w:t xml:space="preserve">- 250 קמ"ר. </w:t>
      </w:r>
    </w:p>
    <w:bookmarkEnd w:id="41"/>
    <w:p w:rsidR="006734B0" w:rsidP="00331AB4" w14:paraId="6A5FF69C" w14:textId="6B747F1D">
      <w:pPr>
        <w:pStyle w:val="7317"/>
        <w:rPr>
          <w:rtl/>
        </w:rPr>
      </w:pPr>
      <w:r>
        <w:rPr>
          <w:rFonts w:hint="cs"/>
          <w:rtl/>
        </w:rPr>
        <w:t xml:space="preserve">בביקורת הועלה כי </w:t>
      </w:r>
      <w:r>
        <w:rPr>
          <w:rFonts w:hint="cs"/>
          <w:rtl/>
        </w:rPr>
        <w:t>מי"ה</w:t>
      </w:r>
      <w:r>
        <w:rPr>
          <w:rFonts w:hint="cs"/>
          <w:rtl/>
        </w:rPr>
        <w:t xml:space="preserve"> הקימה על </w:t>
      </w:r>
      <w:r w:rsidRPr="00D805B9" w:rsidR="00D805B9">
        <w:rPr>
          <w:rtl/>
        </w:rPr>
        <w:t>חלק מהשטח</w:t>
      </w:r>
      <w:r w:rsidR="00D805B9">
        <w:rPr>
          <w:rFonts w:hint="cs"/>
          <w:rtl/>
        </w:rPr>
        <w:t xml:space="preserve"> </w:t>
      </w:r>
      <w:r>
        <w:rPr>
          <w:rFonts w:hint="cs"/>
          <w:rtl/>
        </w:rPr>
        <w:t xml:space="preserve">שהתייבש בריכות אידוי מלאכותיות המשמשות אותה בתהליך הייצור וכן מתקנים נוספים דוגמת תחנות שאיבה והר המלח (ראו להלן בפרק העוסק בטיפול במפגעי פסולת שיצרה </w:t>
      </w:r>
      <w:r>
        <w:rPr>
          <w:rFonts w:hint="cs"/>
          <w:rtl/>
        </w:rPr>
        <w:t>מי"ה</w:t>
      </w:r>
      <w:r>
        <w:rPr>
          <w:rFonts w:hint="cs"/>
          <w:rtl/>
        </w:rPr>
        <w:t xml:space="preserve"> בתחום הזיכיון). לפי המיפוי </w:t>
      </w:r>
      <w:r>
        <w:rPr>
          <w:rFonts w:hint="cs"/>
          <w:rtl/>
        </w:rPr>
        <w:t xml:space="preserve">שביצע המשרד </w:t>
      </w:r>
      <w:r>
        <w:rPr>
          <w:rFonts w:hint="cs"/>
          <w:rtl/>
        </w:rPr>
        <w:t>להג"ס</w:t>
      </w:r>
      <w:r>
        <w:rPr>
          <w:rFonts w:hint="cs"/>
          <w:rtl/>
        </w:rPr>
        <w:t xml:space="preserve"> שטח בריכות האידוי נכון למועד הביקורת הוא כ-146 קמ"ר. להלן מפה של בריכות האידוי המלאכותיות: </w:t>
      </w:r>
    </w:p>
    <w:p w:rsidR="006734B0" w:rsidRPr="00331AB4" w:rsidP="00331AB4" w14:paraId="7E84ABB0" w14:textId="79D7D16F">
      <w:pPr>
        <w:pStyle w:val="734"/>
        <w:ind w:left="397"/>
        <w:rPr>
          <w:rtl/>
        </w:rPr>
      </w:pPr>
      <w:r w:rsidRPr="00331AB4">
        <w:rPr>
          <w:rFonts w:hint="cs"/>
          <w:b w:val="0"/>
          <w:bCs w:val="0"/>
          <w:rtl/>
        </w:rPr>
        <w:t>מפה</w:t>
      </w:r>
      <w:r w:rsidR="00D0542F">
        <w:rPr>
          <w:rFonts w:hint="cs"/>
          <w:b w:val="0"/>
          <w:bCs w:val="0"/>
          <w:rtl/>
        </w:rPr>
        <w:t xml:space="preserve"> 6</w:t>
      </w:r>
      <w:r w:rsidRPr="00331AB4">
        <w:rPr>
          <w:rFonts w:hint="cs"/>
          <w:b w:val="0"/>
          <w:bCs w:val="0"/>
          <w:rtl/>
        </w:rPr>
        <w:t>:</w:t>
      </w:r>
      <w:r w:rsidRPr="00331AB4">
        <w:rPr>
          <w:rFonts w:hint="cs"/>
          <w:rtl/>
        </w:rPr>
        <w:t xml:space="preserve"> </w:t>
      </w:r>
      <w:r w:rsidRPr="00D805B9" w:rsidR="00D805B9">
        <w:rPr>
          <w:rtl/>
        </w:rPr>
        <w:t>בריכות האידוי המלאכותיות על רקע</w:t>
      </w:r>
      <w:r w:rsidR="00D805B9">
        <w:rPr>
          <w:rFonts w:hint="cs"/>
          <w:rtl/>
        </w:rPr>
        <w:t xml:space="preserve"> </w:t>
      </w:r>
      <w:r w:rsidRPr="00331AB4">
        <w:rPr>
          <w:rFonts w:hint="eastAsia"/>
          <w:rtl/>
        </w:rPr>
        <w:t>שטח</w:t>
      </w:r>
      <w:r w:rsidRPr="00331AB4">
        <w:rPr>
          <w:rtl/>
        </w:rPr>
        <w:t xml:space="preserve"> </w:t>
      </w:r>
      <w:r w:rsidRPr="00331AB4">
        <w:rPr>
          <w:rFonts w:hint="eastAsia"/>
          <w:rtl/>
        </w:rPr>
        <w:t>הזיכיון</w:t>
      </w:r>
      <w:r w:rsidRPr="00D805B9" w:rsidR="00D805B9">
        <w:rPr>
          <w:rtl/>
        </w:rPr>
        <w:t>, שנת 2024</w:t>
      </w:r>
    </w:p>
    <w:p w:rsidR="006734B0" w:rsidP="00331AB4" w14:paraId="42BB8A28" w14:textId="77777777">
      <w:pPr>
        <w:spacing w:line="360" w:lineRule="auto"/>
        <w:ind w:left="397"/>
        <w:jc w:val="center"/>
        <w:rPr>
          <w:rtl/>
        </w:rPr>
      </w:pPr>
      <w:r>
        <w:rPr>
          <w:noProof/>
        </w:rPr>
        <w:drawing>
          <wp:inline distT="0" distB="0" distL="0" distR="0">
            <wp:extent cx="3657133" cy="5175774"/>
            <wp:effectExtent l="0" t="0" r="635" b="6350"/>
            <wp:docPr id="9" name="תמונה 9" descr="C:\Users\zohar_sh\AppData\Local\Microsoft\Windows\INetCache\Content.Word\בריכות אידוי השטח החכור 11.2.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C:\Users\zohar_sh\AppData\Local\Microsoft\Windows\INetCache\Content.Word\בריכות אידוי השטח החכור 11.2.25.png"/>
                    <pic:cNvPicPr>
                      <a:picLocks noChangeAspect="1" noChangeArrowheads="1"/>
                    </pic:cNvPicPr>
                  </pic:nvPicPr>
                  <pic:blipFill>
                    <a:blip xmlns:r="http://schemas.openxmlformats.org/officeDocument/2006/relationships" r:embed="rId5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684386" cy="5214344"/>
                    </a:xfrm>
                    <a:prstGeom prst="rect">
                      <a:avLst/>
                    </a:prstGeom>
                    <a:noFill/>
                    <a:ln>
                      <a:noFill/>
                    </a:ln>
                  </pic:spPr>
                </pic:pic>
              </a:graphicData>
            </a:graphic>
          </wp:inline>
        </w:drawing>
      </w:r>
    </w:p>
    <w:p w:rsidR="006734B0" w:rsidRPr="00331AB4" w:rsidP="00331AB4" w14:paraId="2FAFE6E4" w14:textId="4066F9B0">
      <w:pPr>
        <w:pStyle w:val="738"/>
        <w:ind w:left="397"/>
        <w:rPr>
          <w:rtl/>
        </w:rPr>
      </w:pPr>
      <w:r w:rsidRPr="00331AB4">
        <w:rPr>
          <w:rtl/>
        </w:rPr>
        <w:t xml:space="preserve">המקור: </w:t>
      </w:r>
      <w:r w:rsidRPr="00331AB4">
        <w:rPr>
          <w:rFonts w:hint="cs"/>
          <w:rtl/>
        </w:rPr>
        <w:t xml:space="preserve">מפת </w:t>
      </w:r>
      <w:r w:rsidRPr="00331AB4">
        <w:rPr>
          <w:rtl/>
        </w:rPr>
        <w:t>הרקע "</w:t>
      </w:r>
      <w:r w:rsidRPr="00331AB4">
        <w:t>World_Imagery</w:t>
      </w:r>
      <w:r w:rsidRPr="00331AB4">
        <w:rPr>
          <w:rtl/>
        </w:rPr>
        <w:t>" -</w:t>
      </w:r>
      <w:r w:rsidRPr="00331AB4">
        <w:t xml:space="preserve"> Esri, Maxar, Earthstar Geographics, and the GIS User Community</w:t>
      </w:r>
      <w:r w:rsidRPr="00331AB4">
        <w:rPr>
          <w:rtl/>
        </w:rPr>
        <w:t xml:space="preserve">, שכבות </w:t>
      </w:r>
      <w:r w:rsidRPr="00331AB4">
        <w:rPr>
          <w:rFonts w:hint="cs"/>
          <w:rtl/>
        </w:rPr>
        <w:t xml:space="preserve">המשרד </w:t>
      </w:r>
      <w:r w:rsidRPr="00331AB4">
        <w:rPr>
          <w:rFonts w:hint="cs"/>
          <w:rtl/>
        </w:rPr>
        <w:t>להג"ס</w:t>
      </w:r>
      <w:r w:rsidRPr="00331AB4">
        <w:rPr>
          <w:rFonts w:hint="cs"/>
          <w:rtl/>
        </w:rPr>
        <w:t>,</w:t>
      </w:r>
      <w:r w:rsidRPr="00331AB4">
        <w:rPr>
          <w:rtl/>
        </w:rPr>
        <w:t xml:space="preserve"> בעיבוד משרד מבקר המדינה.</w:t>
      </w:r>
    </w:p>
    <w:p w:rsidR="006734B0" w:rsidP="00331AB4" w14:paraId="0A3981D0" w14:textId="77777777">
      <w:pPr>
        <w:pStyle w:val="7317"/>
        <w:rPr>
          <w:rtl/>
        </w:rPr>
      </w:pPr>
      <w:r>
        <w:rPr>
          <w:rFonts w:hint="cs"/>
          <w:rtl/>
        </w:rPr>
        <w:t xml:space="preserve">להלן תמונה המציגה את אחת מתחנות השאיבה שהוקמו על שטח ים המלח שהתייבש, שבאמצעותה שואבת </w:t>
      </w:r>
      <w:r>
        <w:rPr>
          <w:rFonts w:hint="cs"/>
          <w:rtl/>
        </w:rPr>
        <w:t>מי"ה</w:t>
      </w:r>
      <w:r>
        <w:rPr>
          <w:rFonts w:hint="cs"/>
          <w:rtl/>
        </w:rPr>
        <w:t xml:space="preserve"> את מי ים המלח לצורכי פעילות המפעלים: </w:t>
      </w:r>
    </w:p>
    <w:p w:rsidR="006734B0" w:rsidP="00545FFF" w14:paraId="5B35B8E4" w14:textId="68003EA6">
      <w:pPr>
        <w:pStyle w:val="734"/>
        <w:ind w:left="397"/>
        <w:rPr>
          <w:rtl/>
        </w:rPr>
      </w:pPr>
      <w:r w:rsidRPr="00545FFF">
        <w:rPr>
          <w:rFonts w:hint="cs"/>
          <w:b w:val="0"/>
          <w:bCs w:val="0"/>
          <w:rtl/>
        </w:rPr>
        <w:t>תמונה</w:t>
      </w:r>
      <w:r w:rsidR="00D0542F">
        <w:rPr>
          <w:rFonts w:hint="cs"/>
          <w:b w:val="0"/>
          <w:bCs w:val="0"/>
          <w:rtl/>
        </w:rPr>
        <w:t xml:space="preserve"> 12</w:t>
      </w:r>
      <w:r w:rsidRPr="00545FFF">
        <w:rPr>
          <w:rFonts w:hint="cs"/>
          <w:b w:val="0"/>
          <w:bCs w:val="0"/>
          <w:rtl/>
        </w:rPr>
        <w:t>:</w:t>
      </w:r>
      <w:r w:rsidRPr="00545FFF">
        <w:rPr>
          <w:rFonts w:hint="cs"/>
          <w:rtl/>
        </w:rPr>
        <w:t xml:space="preserve"> תחנת השאיבה </w:t>
      </w:r>
      <w:r w:rsidRPr="00545FFF">
        <w:t>P9</w:t>
      </w:r>
      <w:r w:rsidRPr="00545FFF">
        <w:rPr>
          <w:rFonts w:hint="cs"/>
          <w:rtl/>
        </w:rPr>
        <w:t xml:space="preserve"> הנמצאת על שטח ים המלח שהתייבש</w:t>
      </w:r>
    </w:p>
    <w:p w:rsidR="00545FFF" w:rsidRPr="00545FFF" w:rsidP="00545FFF" w14:paraId="15CB6A5C" w14:textId="435C61A6">
      <w:pPr>
        <w:ind w:left="397"/>
        <w:rPr>
          <w:rtl/>
        </w:rPr>
      </w:pPr>
      <w:r>
        <w:rPr>
          <w:noProof/>
          <w:rtl/>
          <w:lang w:val="he-IL"/>
        </w:rPr>
        <w:drawing>
          <wp:inline distT="0" distB="0" distL="0" distR="0">
            <wp:extent cx="4477649" cy="3021957"/>
            <wp:effectExtent l="0" t="0" r="0" b="1270"/>
            <wp:docPr id="730926492" name="תמונה 28" descr="תמונה שמכילה ענן, שמיים, בחוץ, מים&#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926492" name="תמונה 28" descr="תמונה שמכילה ענן, שמיים, בחוץ, מים&#10;&#10;תוכן שנוצר על-ידי בינה מלאכותית עשוי להיות שגוי."/>
                    <pic:cNvPicPr/>
                  </pic:nvPicPr>
                  <pic:blipFill>
                    <a:blip xmlns:r="http://schemas.openxmlformats.org/officeDocument/2006/relationships" r:embed="rId53" cstate="print">
                      <a:extLst>
                        <a:ext xmlns:a="http://schemas.openxmlformats.org/drawingml/2006/main" uri="{28A0092B-C50C-407E-A947-70E740481C1C}">
                          <a14:useLocalDpi xmlns:a14="http://schemas.microsoft.com/office/drawing/2010/main" val="0"/>
                        </a:ext>
                      </a:extLst>
                    </a:blip>
                    <a:stretch>
                      <a:fillRect/>
                    </a:stretch>
                  </pic:blipFill>
                  <pic:spPr>
                    <a:xfrm>
                      <a:off x="0" y="0"/>
                      <a:ext cx="4488554" cy="3029317"/>
                    </a:xfrm>
                    <a:prstGeom prst="rect">
                      <a:avLst/>
                    </a:prstGeom>
                  </pic:spPr>
                </pic:pic>
              </a:graphicData>
            </a:graphic>
          </wp:inline>
        </w:drawing>
      </w:r>
    </w:p>
    <w:p w:rsidR="006734B0" w:rsidRPr="00545FFF" w:rsidP="00545FFF" w14:paraId="3702E2BD" w14:textId="77777777">
      <w:pPr>
        <w:pStyle w:val="738"/>
        <w:ind w:left="397"/>
        <w:rPr>
          <w:rtl/>
        </w:rPr>
      </w:pPr>
      <w:r w:rsidRPr="00545FFF">
        <w:rPr>
          <w:rFonts w:hint="cs"/>
          <w:rtl/>
        </w:rPr>
        <w:t>המקור: המועצה האזורית תמר</w:t>
      </w:r>
    </w:p>
    <w:p w:rsidR="006734B0" w:rsidRPr="00331AB4" w:rsidP="00331AB4" w14:paraId="04C13352" w14:textId="50CA772A">
      <w:pPr>
        <w:pStyle w:val="7310"/>
        <w:rPr>
          <w:rtl/>
        </w:rPr>
      </w:pPr>
      <w:r w:rsidRPr="00331AB4">
        <w:rPr>
          <w:rFonts w:hint="cs"/>
          <w:rtl/>
        </w:rPr>
        <w:t xml:space="preserve">נמצא כי אף ששטחים נרחבים בהיקף של כ-250 קמ"ר מים המלח התייבשו מאז חוקק חוק הזיכיון </w:t>
      </w:r>
      <w:r w:rsidRPr="001D0522" w:rsidR="001D0522">
        <w:rPr>
          <w:rtl/>
        </w:rPr>
        <w:t>ועל חלק מהם</w:t>
      </w:r>
      <w:r w:rsidRPr="001D0522" w:rsidR="001D0522">
        <w:rPr>
          <w:rFonts w:hint="cs"/>
          <w:rtl/>
        </w:rPr>
        <w:t xml:space="preserve"> </w:t>
      </w:r>
      <w:r w:rsidRPr="00331AB4">
        <w:rPr>
          <w:rFonts w:hint="cs"/>
          <w:rtl/>
        </w:rPr>
        <w:t xml:space="preserve">הוקמו בריכות אידוי מלאכותיות ומתקנים נוספים, </w:t>
      </w:r>
      <w:r w:rsidRPr="00331AB4">
        <w:rPr>
          <w:rFonts w:hint="cs"/>
          <w:rtl/>
        </w:rPr>
        <w:t>רמ"י</w:t>
      </w:r>
      <w:r w:rsidRPr="00331AB4">
        <w:rPr>
          <w:rFonts w:hint="cs"/>
          <w:rtl/>
        </w:rPr>
        <w:t xml:space="preserve"> לא בחנה את מעמד הקרקע שנוצרה והאם לנוכח מעמדה יש מקום לגבות תשלום בגין השימושים המתקיימים בשטח זה. </w:t>
      </w:r>
    </w:p>
    <w:p w:rsidR="006734B0" w:rsidP="00331AB4" w14:paraId="02DA8F49" w14:textId="7B2A9D39">
      <w:pPr>
        <w:pStyle w:val="7317"/>
        <w:rPr>
          <w:rtl/>
        </w:rPr>
      </w:pPr>
      <w:r w:rsidRPr="004B3E98">
        <w:rPr>
          <w:rFonts w:hint="cs"/>
          <w:rtl/>
        </w:rPr>
        <w:t xml:space="preserve">לצורך </w:t>
      </w:r>
      <w:r w:rsidRPr="00727D4C" w:rsidR="00727D4C">
        <w:rPr>
          <w:rtl/>
        </w:rPr>
        <w:t xml:space="preserve">המחשה, לו הייתה </w:t>
      </w:r>
      <w:r w:rsidRPr="00727D4C" w:rsidR="00727D4C">
        <w:rPr>
          <w:rtl/>
        </w:rPr>
        <w:t>רמ"י</w:t>
      </w:r>
      <w:r w:rsidRPr="00727D4C" w:rsidR="00727D4C">
        <w:rPr>
          <w:rtl/>
        </w:rPr>
        <w:t xml:space="preserve"> בוחנת את מעמד הקרקע שנוצרה ומגיעה למסקנה שיש לגבות דמי חכירה לגבייה, דמי החכירה שהיו יכולים להשתלם </w:t>
      </w:r>
      <w:r w:rsidRPr="00727D4C" w:rsidR="00727D4C">
        <w:rPr>
          <w:rtl/>
        </w:rPr>
        <w:t>לרמ"י</w:t>
      </w:r>
      <w:r w:rsidRPr="00727D4C" w:rsidR="00727D4C">
        <w:rPr>
          <w:rtl/>
        </w:rPr>
        <w:t xml:space="preserve"> בעשור האחרון בגין הר המלח ושתי תחנות שאיבה הנמצאות על שטח ים המלח שהתייבש, לפי התחשיב שביצע משרד מבקר המדינה הם כדלקמן (יצוין כי על השטח שהתייבש קיימים מתקנים נוספים לרבות בריכות אידוי </w:t>
      </w:r>
      <w:r>
        <w:rPr>
          <w:rFonts w:hint="cs"/>
          <w:rtl/>
        </w:rPr>
        <w:t xml:space="preserve">מלאכותיות): </w:t>
      </w:r>
    </w:p>
    <w:p w:rsidR="00D0542F" w14:paraId="29BB58B8" w14:textId="77777777">
      <w:pPr>
        <w:bidi w:val="0"/>
        <w:spacing w:after="200" w:line="276" w:lineRule="auto"/>
        <w:rPr>
          <w:rFonts w:ascii="Tahoma" w:hAnsi="Tahoma" w:eastAsiaTheme="minorEastAsia" w:cs="Tahoma"/>
          <w:color w:val="0D0D0D" w:themeColor="text1" w:themeTint="F2"/>
          <w:szCs w:val="20"/>
          <w:rtl/>
        </w:rPr>
      </w:pPr>
      <w:r>
        <w:rPr>
          <w:b/>
          <w:bCs/>
          <w:rtl/>
        </w:rPr>
        <w:br w:type="page"/>
      </w:r>
    </w:p>
    <w:p w:rsidR="006734B0" w:rsidRPr="00545FFF" w:rsidP="00545FFF" w14:paraId="15B7835E" w14:textId="583A70AD">
      <w:pPr>
        <w:pStyle w:val="734"/>
        <w:ind w:left="397"/>
        <w:rPr>
          <w:rtl/>
        </w:rPr>
      </w:pPr>
      <w:r w:rsidRPr="00545FFF">
        <w:rPr>
          <w:rFonts w:hint="cs"/>
          <w:b w:val="0"/>
          <w:bCs w:val="0"/>
          <w:rtl/>
        </w:rPr>
        <w:t>לוח</w:t>
      </w:r>
      <w:r w:rsidR="00D0542F">
        <w:rPr>
          <w:rFonts w:hint="cs"/>
          <w:b w:val="0"/>
          <w:bCs w:val="0"/>
          <w:rtl/>
        </w:rPr>
        <w:t xml:space="preserve"> </w:t>
      </w:r>
      <w:r w:rsidR="00DA1994">
        <w:rPr>
          <w:rFonts w:hint="cs"/>
          <w:b w:val="0"/>
          <w:bCs w:val="0"/>
          <w:rtl/>
        </w:rPr>
        <w:t>3</w:t>
      </w:r>
      <w:r w:rsidRPr="00545FFF">
        <w:rPr>
          <w:rFonts w:hint="cs"/>
          <w:b w:val="0"/>
          <w:bCs w:val="0"/>
          <w:rtl/>
        </w:rPr>
        <w:t>:</w:t>
      </w:r>
      <w:r w:rsidRPr="00545FFF">
        <w:rPr>
          <w:rFonts w:hint="cs"/>
          <w:rtl/>
        </w:rPr>
        <w:t xml:space="preserve"> דמי החכירה שהיו עשויים להשתלם </w:t>
      </w:r>
      <w:r w:rsidRPr="00545FFF">
        <w:rPr>
          <w:rFonts w:hint="cs"/>
          <w:rtl/>
        </w:rPr>
        <w:t>לרמ"י</w:t>
      </w:r>
      <w:r w:rsidRPr="00545FFF">
        <w:rPr>
          <w:rFonts w:hint="cs"/>
          <w:rtl/>
        </w:rPr>
        <w:t xml:space="preserve"> בעשור האחרון בגין </w:t>
      </w:r>
      <w:r w:rsidRPr="00545FFF">
        <w:rPr>
          <w:rFonts w:hint="eastAsia"/>
          <w:rtl/>
        </w:rPr>
        <w:t>שתי</w:t>
      </w:r>
      <w:r w:rsidRPr="00545FFF">
        <w:rPr>
          <w:rtl/>
        </w:rPr>
        <w:t xml:space="preserve"> </w:t>
      </w:r>
      <w:r w:rsidRPr="00545FFF">
        <w:rPr>
          <w:rFonts w:hint="eastAsia"/>
          <w:rtl/>
        </w:rPr>
        <w:t>תחנות</w:t>
      </w:r>
      <w:r w:rsidRPr="00545FFF">
        <w:rPr>
          <w:rtl/>
        </w:rPr>
        <w:t xml:space="preserve"> </w:t>
      </w:r>
      <w:r w:rsidRPr="00545FFF">
        <w:rPr>
          <w:rFonts w:hint="eastAsia"/>
          <w:rtl/>
        </w:rPr>
        <w:t>שאיבה</w:t>
      </w:r>
      <w:r w:rsidRPr="00545FFF">
        <w:rPr>
          <w:rtl/>
        </w:rPr>
        <w:t xml:space="preserve"> </w:t>
      </w:r>
      <w:r w:rsidRPr="00545FFF">
        <w:rPr>
          <w:rFonts w:hint="cs"/>
          <w:rtl/>
        </w:rPr>
        <w:t xml:space="preserve">והר המלח הנמצאים </w:t>
      </w:r>
      <w:r w:rsidRPr="00545FFF">
        <w:rPr>
          <w:rtl/>
        </w:rPr>
        <w:t>בשטח ים המלח שהתייבש</w:t>
      </w:r>
      <w:r w:rsidRPr="00545FFF">
        <w:rPr>
          <w:rFonts w:hint="cs"/>
          <w:rtl/>
        </w:rPr>
        <w:t>*</w:t>
      </w:r>
    </w:p>
    <w:tbl>
      <w:tblPr>
        <w:tblStyle w:val="TableGrid"/>
        <w:bidiVisual/>
        <w:tblW w:w="4711" w:type="pct"/>
        <w:jc w:val="right"/>
        <w:tblBorders>
          <w:top w:val="none" w:sz="0" w:space="0" w:color="auto"/>
          <w:bottom w:val="none" w:sz="0" w:space="0" w:color="auto"/>
          <w:insideH w:val="none" w:sz="0" w:space="0" w:color="auto"/>
        </w:tblBorders>
        <w:tblLook w:val="04A0"/>
      </w:tblPr>
      <w:tblGrid>
        <w:gridCol w:w="1863"/>
        <w:gridCol w:w="902"/>
        <w:gridCol w:w="2085"/>
        <w:gridCol w:w="2085"/>
      </w:tblGrid>
      <w:tr w14:paraId="1790950A" w14:textId="77777777" w:rsidTr="00545FFF">
        <w:tblPrEx>
          <w:tblW w:w="4711" w:type="pct"/>
          <w:jc w:val="right"/>
          <w:tblBorders>
            <w:top w:val="none" w:sz="0" w:space="0" w:color="auto"/>
            <w:bottom w:val="none" w:sz="0" w:space="0" w:color="auto"/>
            <w:insideH w:val="none" w:sz="0" w:space="0" w:color="auto"/>
          </w:tblBorders>
          <w:tblLook w:val="04A0"/>
        </w:tblPrEx>
        <w:trPr>
          <w:trHeight w:val="585"/>
          <w:jc w:val="right"/>
        </w:trPr>
        <w:tc>
          <w:tcPr>
            <w:tcW w:w="1344" w:type="pct"/>
            <w:shd w:val="clear" w:color="auto" w:fill="C8DCE4"/>
            <w:noWrap/>
            <w:vAlign w:val="bottom"/>
            <w:hideMark/>
          </w:tcPr>
          <w:p w:rsidR="006734B0" w:rsidRPr="00545FFF" w:rsidP="00545FFF" w14:paraId="34A515BD" w14:textId="4A0C065B">
            <w:pPr>
              <w:pStyle w:val="73R"/>
              <w:rPr>
                <w:b/>
                <w:bCs/>
              </w:rPr>
            </w:pPr>
            <w:r w:rsidRPr="00545FFF">
              <w:rPr>
                <w:rFonts w:hint="cs"/>
                <w:b/>
                <w:bCs/>
                <w:rtl/>
              </w:rPr>
              <w:t>השימוש</w:t>
            </w:r>
          </w:p>
        </w:tc>
        <w:tc>
          <w:tcPr>
            <w:tcW w:w="650" w:type="pct"/>
            <w:shd w:val="clear" w:color="auto" w:fill="C8DCE4"/>
            <w:vAlign w:val="bottom"/>
          </w:tcPr>
          <w:p w:rsidR="006734B0" w:rsidRPr="00545FFF" w:rsidP="00545FFF" w14:paraId="3C3FC9C1" w14:textId="77777777">
            <w:pPr>
              <w:pStyle w:val="73R"/>
              <w:rPr>
                <w:b/>
                <w:bCs/>
                <w:rtl/>
              </w:rPr>
            </w:pPr>
            <w:r w:rsidRPr="00545FFF">
              <w:rPr>
                <w:rFonts w:hint="cs"/>
                <w:b/>
                <w:bCs/>
                <w:rtl/>
              </w:rPr>
              <w:t>שטח הקרקע (דונמים)</w:t>
            </w:r>
          </w:p>
        </w:tc>
        <w:tc>
          <w:tcPr>
            <w:tcW w:w="1503" w:type="pct"/>
            <w:shd w:val="clear" w:color="auto" w:fill="C8DCE4"/>
            <w:vAlign w:val="bottom"/>
            <w:hideMark/>
          </w:tcPr>
          <w:p w:rsidR="006734B0" w:rsidRPr="00545FFF" w:rsidP="00545FFF" w14:paraId="762BBFA3" w14:textId="4357BA7B">
            <w:pPr>
              <w:pStyle w:val="73R"/>
              <w:rPr>
                <w:b/>
                <w:bCs/>
                <w:rtl/>
              </w:rPr>
            </w:pPr>
            <w:r w:rsidRPr="00545FFF">
              <w:rPr>
                <w:rFonts w:hint="cs"/>
                <w:b/>
                <w:bCs/>
                <w:rtl/>
              </w:rPr>
              <w:t>דמי חכירה</w:t>
            </w:r>
            <w:r w:rsidRPr="00545FFF">
              <w:rPr>
                <w:b/>
                <w:bCs/>
                <w:rtl/>
              </w:rPr>
              <w:t xml:space="preserve"> (ללא </w:t>
            </w:r>
            <w:r w:rsidRPr="00E97F6C" w:rsidR="00E97F6C">
              <w:rPr>
                <w:b/>
                <w:bCs/>
                <w:rtl/>
              </w:rPr>
              <w:t>מע"ם</w:t>
            </w:r>
            <w:r w:rsidRPr="00545FFF">
              <w:rPr>
                <w:b/>
                <w:bCs/>
                <w:rtl/>
              </w:rPr>
              <w:t>)</w:t>
            </w:r>
            <w:r w:rsidRPr="00545FFF">
              <w:rPr>
                <w:rFonts w:hint="cs"/>
                <w:b/>
                <w:bCs/>
                <w:rtl/>
              </w:rPr>
              <w:t xml:space="preserve"> (באלפי ש"ח)</w:t>
            </w:r>
          </w:p>
        </w:tc>
        <w:tc>
          <w:tcPr>
            <w:tcW w:w="1503" w:type="pct"/>
            <w:shd w:val="clear" w:color="auto" w:fill="C8DCE4"/>
            <w:vAlign w:val="bottom"/>
            <w:hideMark/>
          </w:tcPr>
          <w:p w:rsidR="006734B0" w:rsidRPr="00545FFF" w:rsidP="00545FFF" w14:paraId="0763B7D8" w14:textId="25769967">
            <w:pPr>
              <w:pStyle w:val="73R"/>
              <w:rPr>
                <w:b/>
                <w:bCs/>
                <w:rtl/>
              </w:rPr>
            </w:pPr>
            <w:r w:rsidRPr="00545FFF">
              <w:rPr>
                <w:rFonts w:hint="cs"/>
                <w:b/>
                <w:bCs/>
                <w:rtl/>
              </w:rPr>
              <w:t>דמי חכירה</w:t>
            </w:r>
            <w:r w:rsidRPr="00545FFF">
              <w:rPr>
                <w:b/>
                <w:bCs/>
                <w:rtl/>
              </w:rPr>
              <w:t xml:space="preserve"> (כולל </w:t>
            </w:r>
            <w:r w:rsidRPr="00E97F6C" w:rsidR="00E97F6C">
              <w:rPr>
                <w:b/>
                <w:bCs/>
                <w:rtl/>
              </w:rPr>
              <w:t>מע"ם</w:t>
            </w:r>
            <w:r w:rsidRPr="00545FFF">
              <w:rPr>
                <w:b/>
                <w:bCs/>
                <w:rtl/>
              </w:rPr>
              <w:t>)</w:t>
            </w:r>
            <w:r w:rsidRPr="00545FFF">
              <w:rPr>
                <w:rFonts w:hint="cs"/>
                <w:b/>
                <w:bCs/>
                <w:rtl/>
              </w:rPr>
              <w:t xml:space="preserve"> (באלפי ש"ח)</w:t>
            </w:r>
          </w:p>
        </w:tc>
      </w:tr>
      <w:tr w14:paraId="1F5062F1" w14:textId="77777777" w:rsidTr="00545FFF">
        <w:tblPrEx>
          <w:tblW w:w="4711" w:type="pct"/>
          <w:jc w:val="right"/>
          <w:tblLook w:val="04A0"/>
        </w:tblPrEx>
        <w:trPr>
          <w:trHeight w:val="397"/>
          <w:jc w:val="right"/>
        </w:trPr>
        <w:tc>
          <w:tcPr>
            <w:tcW w:w="1344" w:type="pct"/>
            <w:shd w:val="clear" w:color="auto" w:fill="DFECEF"/>
          </w:tcPr>
          <w:p w:rsidR="006734B0" w:rsidRPr="00545FFF" w:rsidP="00545FFF" w14:paraId="20B2639F" w14:textId="77777777">
            <w:pPr>
              <w:pStyle w:val="73R"/>
              <w:rPr>
                <w:rtl/>
              </w:rPr>
            </w:pPr>
            <w:r w:rsidRPr="00545FFF">
              <w:rPr>
                <w:rFonts w:hint="eastAsia"/>
                <w:rtl/>
              </w:rPr>
              <w:t>הר</w:t>
            </w:r>
            <w:r w:rsidRPr="00545FFF">
              <w:rPr>
                <w:rtl/>
              </w:rPr>
              <w:t xml:space="preserve"> </w:t>
            </w:r>
            <w:r w:rsidRPr="00545FFF">
              <w:rPr>
                <w:rFonts w:hint="eastAsia"/>
                <w:rtl/>
              </w:rPr>
              <w:t>המלח</w:t>
            </w:r>
          </w:p>
        </w:tc>
        <w:tc>
          <w:tcPr>
            <w:tcW w:w="650" w:type="pct"/>
            <w:shd w:val="clear" w:color="auto" w:fill="DFECEF"/>
            <w:vAlign w:val="center"/>
          </w:tcPr>
          <w:p w:rsidR="006734B0" w:rsidRPr="00545FFF" w:rsidP="00545FFF" w14:paraId="76A48D12" w14:textId="77777777">
            <w:pPr>
              <w:pStyle w:val="73R"/>
              <w:rPr>
                <w:rtl/>
              </w:rPr>
            </w:pPr>
            <w:r w:rsidRPr="00545FFF">
              <w:rPr>
                <w:rtl/>
              </w:rPr>
              <w:t>945</w:t>
            </w:r>
          </w:p>
        </w:tc>
        <w:tc>
          <w:tcPr>
            <w:tcW w:w="1503" w:type="pct"/>
            <w:shd w:val="clear" w:color="auto" w:fill="DFECEF"/>
            <w:noWrap/>
            <w:vAlign w:val="center"/>
          </w:tcPr>
          <w:p w:rsidR="006734B0" w:rsidRPr="00545FFF" w:rsidP="00545FFF" w14:paraId="21C4E23A" w14:textId="77777777">
            <w:pPr>
              <w:pStyle w:val="73R"/>
              <w:rPr>
                <w:rtl/>
              </w:rPr>
            </w:pPr>
            <w:r w:rsidRPr="00545FFF">
              <w:t>7,330</w:t>
            </w:r>
          </w:p>
        </w:tc>
        <w:tc>
          <w:tcPr>
            <w:tcW w:w="1503" w:type="pct"/>
            <w:shd w:val="clear" w:color="auto" w:fill="DFECEF"/>
            <w:noWrap/>
            <w:vAlign w:val="center"/>
          </w:tcPr>
          <w:p w:rsidR="006734B0" w:rsidRPr="00545FFF" w:rsidP="00545FFF" w14:paraId="19279A1F" w14:textId="77777777">
            <w:pPr>
              <w:pStyle w:val="73R"/>
              <w:rPr>
                <w:rtl/>
              </w:rPr>
            </w:pPr>
            <w:r w:rsidRPr="00545FFF">
              <w:t>,580</w:t>
            </w:r>
            <w:r w:rsidRPr="00545FFF">
              <w:rPr>
                <w:rtl/>
              </w:rPr>
              <w:t>8</w:t>
            </w:r>
          </w:p>
        </w:tc>
      </w:tr>
      <w:tr w14:paraId="74105CC1" w14:textId="77777777" w:rsidTr="00545FFF">
        <w:tblPrEx>
          <w:tblW w:w="4711" w:type="pct"/>
          <w:jc w:val="right"/>
          <w:tblLook w:val="04A0"/>
        </w:tblPrEx>
        <w:trPr>
          <w:trHeight w:val="397"/>
          <w:jc w:val="right"/>
        </w:trPr>
        <w:tc>
          <w:tcPr>
            <w:tcW w:w="1344" w:type="pct"/>
            <w:shd w:val="clear" w:color="auto" w:fill="DFECEF"/>
          </w:tcPr>
          <w:p w:rsidR="006734B0" w:rsidRPr="00545FFF" w:rsidP="00545FFF" w14:paraId="69F07C8F" w14:textId="77777777">
            <w:pPr>
              <w:pStyle w:val="73R"/>
              <w:rPr>
                <w:rtl/>
              </w:rPr>
            </w:pPr>
            <w:r w:rsidRPr="00545FFF">
              <w:rPr>
                <w:rtl/>
              </w:rPr>
              <w:t xml:space="preserve">תחנת שאיבה </w:t>
            </w:r>
            <w:r w:rsidRPr="00545FFF">
              <w:rPr>
                <w:rFonts w:hint="cs"/>
                <w:rtl/>
              </w:rPr>
              <w:t>88</w:t>
            </w:r>
            <w:r w:rsidRPr="00545FFF">
              <w:rPr>
                <w:rFonts w:hint="cs"/>
              </w:rPr>
              <w:t>P</w:t>
            </w:r>
          </w:p>
        </w:tc>
        <w:tc>
          <w:tcPr>
            <w:tcW w:w="650" w:type="pct"/>
            <w:shd w:val="clear" w:color="auto" w:fill="DFECEF"/>
            <w:vAlign w:val="center"/>
          </w:tcPr>
          <w:p w:rsidR="006734B0" w:rsidRPr="00545FFF" w:rsidP="00545FFF" w14:paraId="49E75EF4" w14:textId="77777777">
            <w:pPr>
              <w:pStyle w:val="73R"/>
              <w:rPr>
                <w:rtl/>
              </w:rPr>
            </w:pPr>
            <w:r w:rsidRPr="00545FFF">
              <w:rPr>
                <w:rtl/>
              </w:rPr>
              <w:t>29</w:t>
            </w:r>
          </w:p>
        </w:tc>
        <w:tc>
          <w:tcPr>
            <w:tcW w:w="1503" w:type="pct"/>
            <w:shd w:val="clear" w:color="auto" w:fill="DFECEF"/>
            <w:noWrap/>
            <w:vAlign w:val="center"/>
          </w:tcPr>
          <w:p w:rsidR="006734B0" w:rsidRPr="00545FFF" w:rsidP="00545FFF" w14:paraId="4C328AC9" w14:textId="77777777">
            <w:pPr>
              <w:pStyle w:val="73R"/>
            </w:pPr>
            <w:r w:rsidRPr="00545FFF">
              <w:rPr>
                <w:rtl/>
              </w:rPr>
              <w:t>224</w:t>
            </w:r>
          </w:p>
        </w:tc>
        <w:tc>
          <w:tcPr>
            <w:tcW w:w="1503" w:type="pct"/>
            <w:shd w:val="clear" w:color="auto" w:fill="DFECEF"/>
            <w:noWrap/>
            <w:vAlign w:val="center"/>
          </w:tcPr>
          <w:p w:rsidR="006734B0" w:rsidRPr="00545FFF" w:rsidP="00545FFF" w14:paraId="4A031A2F" w14:textId="77777777">
            <w:pPr>
              <w:pStyle w:val="73R"/>
            </w:pPr>
            <w:r w:rsidRPr="00545FFF">
              <w:rPr>
                <w:rFonts w:hint="cs"/>
                <w:rtl/>
              </w:rPr>
              <w:t>260</w:t>
            </w:r>
          </w:p>
        </w:tc>
      </w:tr>
      <w:tr w14:paraId="5C84A66A" w14:textId="77777777" w:rsidTr="00F27CAE">
        <w:tblPrEx>
          <w:tblW w:w="4711" w:type="pct"/>
          <w:jc w:val="right"/>
          <w:tblLook w:val="04A0"/>
        </w:tblPrEx>
        <w:trPr>
          <w:trHeight w:val="397"/>
          <w:jc w:val="right"/>
        </w:trPr>
        <w:tc>
          <w:tcPr>
            <w:tcW w:w="1344" w:type="pct"/>
            <w:tcBorders>
              <w:bottom w:val="nil"/>
            </w:tcBorders>
            <w:shd w:val="clear" w:color="auto" w:fill="F0F8F9"/>
          </w:tcPr>
          <w:p w:rsidR="006734B0" w:rsidRPr="00545FFF" w:rsidP="00545FFF" w14:paraId="32C35698" w14:textId="77777777">
            <w:pPr>
              <w:pStyle w:val="73R"/>
            </w:pPr>
            <w:r w:rsidRPr="00545FFF">
              <w:rPr>
                <w:rtl/>
              </w:rPr>
              <w:t xml:space="preserve">תחנת שאיבה </w:t>
            </w:r>
            <w:r w:rsidRPr="00545FFF">
              <w:rPr>
                <w:rFonts w:hint="cs"/>
                <w:rtl/>
              </w:rPr>
              <w:t>9</w:t>
            </w:r>
            <w:r w:rsidRPr="00545FFF">
              <w:rPr>
                <w:rFonts w:hint="cs"/>
              </w:rPr>
              <w:t>P</w:t>
            </w:r>
          </w:p>
        </w:tc>
        <w:tc>
          <w:tcPr>
            <w:tcW w:w="650" w:type="pct"/>
            <w:tcBorders>
              <w:bottom w:val="nil"/>
            </w:tcBorders>
            <w:shd w:val="clear" w:color="auto" w:fill="F0F8F9"/>
            <w:vAlign w:val="center"/>
          </w:tcPr>
          <w:p w:rsidR="006734B0" w:rsidRPr="00545FFF" w:rsidP="00545FFF" w14:paraId="0ADDD013" w14:textId="77777777">
            <w:pPr>
              <w:pStyle w:val="73R"/>
              <w:rPr>
                <w:rtl/>
              </w:rPr>
            </w:pPr>
            <w:r w:rsidRPr="00545FFF">
              <w:rPr>
                <w:rtl/>
              </w:rPr>
              <w:t>391</w:t>
            </w:r>
          </w:p>
        </w:tc>
        <w:tc>
          <w:tcPr>
            <w:tcW w:w="1503" w:type="pct"/>
            <w:tcBorders>
              <w:bottom w:val="nil"/>
            </w:tcBorders>
            <w:shd w:val="clear" w:color="auto" w:fill="F0F8F9"/>
            <w:noWrap/>
            <w:vAlign w:val="center"/>
          </w:tcPr>
          <w:p w:rsidR="006734B0" w:rsidRPr="00545FFF" w:rsidP="00545FFF" w14:paraId="7A842DFC" w14:textId="77777777">
            <w:pPr>
              <w:pStyle w:val="73R"/>
              <w:rPr>
                <w:rtl/>
              </w:rPr>
            </w:pPr>
            <w:r w:rsidRPr="00545FFF">
              <w:t>3,030</w:t>
            </w:r>
          </w:p>
        </w:tc>
        <w:tc>
          <w:tcPr>
            <w:tcW w:w="1503" w:type="pct"/>
            <w:tcBorders>
              <w:bottom w:val="nil"/>
            </w:tcBorders>
            <w:shd w:val="clear" w:color="auto" w:fill="F0F8F9"/>
            <w:noWrap/>
            <w:vAlign w:val="center"/>
          </w:tcPr>
          <w:p w:rsidR="006734B0" w:rsidRPr="00545FFF" w:rsidP="00545FFF" w14:paraId="3BE50885" w14:textId="77777777">
            <w:pPr>
              <w:pStyle w:val="73R"/>
            </w:pPr>
            <w:r w:rsidRPr="00545FFF">
              <w:t>3,545</w:t>
            </w:r>
          </w:p>
        </w:tc>
      </w:tr>
      <w:tr w14:paraId="14D27034" w14:textId="77777777" w:rsidTr="00F27CAE">
        <w:tblPrEx>
          <w:tblW w:w="4711" w:type="pct"/>
          <w:jc w:val="right"/>
          <w:tblLook w:val="04A0"/>
        </w:tblPrEx>
        <w:trPr>
          <w:trHeight w:val="424"/>
          <w:jc w:val="right"/>
        </w:trPr>
        <w:tc>
          <w:tcPr>
            <w:tcW w:w="1344" w:type="pct"/>
            <w:tcBorders>
              <w:top w:val="nil"/>
              <w:bottom w:val="nil"/>
            </w:tcBorders>
            <w:shd w:val="clear" w:color="auto" w:fill="DFECEF"/>
            <w:hideMark/>
          </w:tcPr>
          <w:p w:rsidR="006734B0" w:rsidRPr="00F27CAE" w:rsidP="00545FFF" w14:paraId="67F11103" w14:textId="77777777">
            <w:pPr>
              <w:pStyle w:val="73R"/>
              <w:rPr>
                <w:b/>
                <w:bCs/>
                <w:rtl/>
              </w:rPr>
            </w:pPr>
            <w:r w:rsidRPr="00F27CAE">
              <w:rPr>
                <w:rFonts w:hint="cs"/>
                <w:b/>
                <w:bCs/>
                <w:rtl/>
              </w:rPr>
              <w:t>ב</w:t>
            </w:r>
            <w:r w:rsidRPr="00F27CAE">
              <w:rPr>
                <w:b/>
                <w:bCs/>
                <w:rtl/>
              </w:rPr>
              <w:t>סך הכ</w:t>
            </w:r>
            <w:r w:rsidRPr="00F27CAE">
              <w:rPr>
                <w:rFonts w:hint="cs"/>
                <w:b/>
                <w:bCs/>
                <w:rtl/>
              </w:rPr>
              <w:t>ו</w:t>
            </w:r>
            <w:r w:rsidRPr="00F27CAE">
              <w:rPr>
                <w:b/>
                <w:bCs/>
                <w:rtl/>
              </w:rPr>
              <w:t>ל</w:t>
            </w:r>
          </w:p>
        </w:tc>
        <w:tc>
          <w:tcPr>
            <w:tcW w:w="650" w:type="pct"/>
            <w:tcBorders>
              <w:top w:val="nil"/>
              <w:bottom w:val="nil"/>
            </w:tcBorders>
            <w:shd w:val="clear" w:color="auto" w:fill="DFECEF"/>
          </w:tcPr>
          <w:p w:rsidR="006734B0" w:rsidRPr="00F27CAE" w:rsidP="00545FFF" w14:paraId="26269E7F" w14:textId="77777777">
            <w:pPr>
              <w:pStyle w:val="73R"/>
              <w:rPr>
                <w:b/>
                <w:bCs/>
                <w:rtl/>
              </w:rPr>
            </w:pPr>
            <w:r w:rsidRPr="00F27CAE">
              <w:rPr>
                <w:rFonts w:hint="cs"/>
                <w:b/>
                <w:bCs/>
                <w:rtl/>
              </w:rPr>
              <w:t>1,365</w:t>
            </w:r>
          </w:p>
        </w:tc>
        <w:tc>
          <w:tcPr>
            <w:tcW w:w="1503" w:type="pct"/>
            <w:tcBorders>
              <w:top w:val="nil"/>
              <w:bottom w:val="nil"/>
            </w:tcBorders>
            <w:shd w:val="clear" w:color="auto" w:fill="DFECEF"/>
            <w:noWrap/>
          </w:tcPr>
          <w:p w:rsidR="006734B0" w:rsidRPr="00F27CAE" w:rsidP="00545FFF" w14:paraId="329B3206" w14:textId="77777777">
            <w:pPr>
              <w:pStyle w:val="73R"/>
              <w:rPr>
                <w:b/>
                <w:bCs/>
                <w:rtl/>
              </w:rPr>
            </w:pPr>
            <w:r w:rsidRPr="00F27CAE">
              <w:rPr>
                <w:rFonts w:hint="cs"/>
                <w:b/>
                <w:bCs/>
                <w:rtl/>
              </w:rPr>
              <w:t>10,584</w:t>
            </w:r>
          </w:p>
        </w:tc>
        <w:tc>
          <w:tcPr>
            <w:tcW w:w="1503" w:type="pct"/>
            <w:tcBorders>
              <w:top w:val="nil"/>
              <w:bottom w:val="nil"/>
            </w:tcBorders>
            <w:shd w:val="clear" w:color="auto" w:fill="DFECEF"/>
            <w:noWrap/>
          </w:tcPr>
          <w:p w:rsidR="006734B0" w:rsidRPr="00F27CAE" w:rsidP="00545FFF" w14:paraId="06DAD963" w14:textId="4D129248">
            <w:pPr>
              <w:pStyle w:val="73R"/>
              <w:rPr>
                <w:b/>
                <w:bCs/>
                <w:rtl/>
              </w:rPr>
            </w:pPr>
            <w:r w:rsidRPr="00F27CAE">
              <w:rPr>
                <w:rFonts w:hint="cs"/>
                <w:b/>
                <w:bCs/>
                <w:rtl/>
              </w:rPr>
              <w:t>12,3</w:t>
            </w:r>
            <w:r w:rsidRPr="00F27CAE" w:rsidR="00FE4AA0">
              <w:rPr>
                <w:rFonts w:hint="cs"/>
                <w:b/>
                <w:bCs/>
                <w:rtl/>
              </w:rPr>
              <w:t>8</w:t>
            </w:r>
            <w:r w:rsidRPr="00F27CAE">
              <w:rPr>
                <w:rFonts w:hint="cs"/>
                <w:b/>
                <w:bCs/>
                <w:rtl/>
              </w:rPr>
              <w:t>5</w:t>
            </w:r>
          </w:p>
        </w:tc>
      </w:tr>
    </w:tbl>
    <w:p w:rsidR="006734B0" w:rsidRPr="00545FFF" w:rsidP="00545FFF" w14:paraId="68272812" w14:textId="77777777">
      <w:pPr>
        <w:pStyle w:val="738"/>
        <w:spacing w:after="0"/>
        <w:ind w:left="397"/>
        <w:rPr>
          <w:rtl/>
        </w:rPr>
      </w:pPr>
      <w:r w:rsidRPr="00545FFF">
        <w:rPr>
          <w:rFonts w:hint="cs"/>
          <w:rtl/>
        </w:rPr>
        <w:t xml:space="preserve">המקור: נתוני המשרד </w:t>
      </w:r>
      <w:r w:rsidRPr="00545FFF">
        <w:rPr>
          <w:rFonts w:hint="cs"/>
          <w:rtl/>
        </w:rPr>
        <w:t>להג"ס</w:t>
      </w:r>
      <w:r w:rsidRPr="00545FFF">
        <w:rPr>
          <w:rFonts w:hint="cs"/>
          <w:rtl/>
        </w:rPr>
        <w:t xml:space="preserve"> לגבי שטח המתקנים בחישוב משרד מבקר המדינה לפי נתוני </w:t>
      </w:r>
      <w:r w:rsidRPr="00545FFF">
        <w:rPr>
          <w:rFonts w:hint="cs"/>
          <w:rtl/>
        </w:rPr>
        <w:t>רמ"י</w:t>
      </w:r>
      <w:r w:rsidRPr="00545FFF">
        <w:rPr>
          <w:rFonts w:hint="cs"/>
          <w:rtl/>
        </w:rPr>
        <w:t xml:space="preserve"> לגבי דמי החכירה. </w:t>
      </w:r>
    </w:p>
    <w:p w:rsidR="006734B0" w:rsidRPr="00545FFF" w:rsidP="00545FFF" w14:paraId="413928AF" w14:textId="288803B8">
      <w:pPr>
        <w:pStyle w:val="738"/>
        <w:spacing w:after="120"/>
        <w:ind w:left="707" w:hanging="310"/>
        <w:rPr>
          <w:rtl/>
        </w:rPr>
      </w:pPr>
      <w:r w:rsidRPr="00545FFF">
        <w:rPr>
          <w:rFonts w:hint="cs"/>
          <w:rtl/>
        </w:rPr>
        <w:t>*</w:t>
      </w:r>
      <w:r w:rsidR="00545FFF">
        <w:rPr>
          <w:rtl/>
        </w:rPr>
        <w:tab/>
      </w:r>
      <w:r w:rsidRPr="00545FFF">
        <w:rPr>
          <w:rFonts w:hint="cs"/>
          <w:rtl/>
        </w:rPr>
        <w:t xml:space="preserve">לא כולל בין השאר את בריכות האידוי לאור ההיקף העצום של הקרקעות עליהן הן נמצאות </w:t>
      </w:r>
      <w:r w:rsidR="00D0542F">
        <w:rPr>
          <w:rtl/>
        </w:rPr>
        <w:br/>
      </w:r>
      <w:r w:rsidRPr="00545FFF">
        <w:rPr>
          <w:rFonts w:hint="cs"/>
          <w:rtl/>
        </w:rPr>
        <w:t>(כ-146 קמ"ר).</w:t>
      </w:r>
    </w:p>
    <w:p w:rsidR="006734B0" w:rsidRPr="00825B75" w:rsidP="00331AB4" w14:paraId="48DA9BDD" w14:textId="13312883">
      <w:pPr>
        <w:pStyle w:val="7317"/>
        <w:rPr>
          <w:rtl/>
        </w:rPr>
      </w:pPr>
      <w:r w:rsidRPr="00DE1CF2">
        <w:rPr>
          <w:rtl/>
        </w:rPr>
        <w:t xml:space="preserve">לפי </w:t>
      </w:r>
      <w:r w:rsidRPr="00691D2D">
        <w:rPr>
          <w:rtl/>
        </w:rPr>
        <w:t xml:space="preserve">התחשיב שביצע משרד מבקר המדינה בהתבסס על נתוני השטחים שהעביר המשרד </w:t>
      </w:r>
      <w:r w:rsidRPr="00691D2D">
        <w:rPr>
          <w:rtl/>
        </w:rPr>
        <w:t>להג"ס</w:t>
      </w:r>
      <w:r w:rsidRPr="00691D2D">
        <w:rPr>
          <w:rtl/>
        </w:rPr>
        <w:t xml:space="preserve"> עולה כי בגין </w:t>
      </w:r>
      <w:r w:rsidRPr="00CD29C0">
        <w:rPr>
          <w:rFonts w:hint="eastAsia"/>
          <w:rtl/>
        </w:rPr>
        <w:t>שתי</w:t>
      </w:r>
      <w:r w:rsidRPr="00CD29C0">
        <w:rPr>
          <w:rtl/>
        </w:rPr>
        <w:t xml:space="preserve"> </w:t>
      </w:r>
      <w:r w:rsidRPr="00CD29C0">
        <w:rPr>
          <w:rFonts w:hint="eastAsia"/>
          <w:rtl/>
        </w:rPr>
        <w:t>תחנות</w:t>
      </w:r>
      <w:r w:rsidRPr="00CD29C0">
        <w:rPr>
          <w:rtl/>
        </w:rPr>
        <w:t xml:space="preserve"> השאיבה </w:t>
      </w:r>
      <w:r w:rsidRPr="00CD29C0">
        <w:rPr>
          <w:rFonts w:hint="eastAsia"/>
          <w:rtl/>
        </w:rPr>
        <w:t>והר</w:t>
      </w:r>
      <w:r w:rsidRPr="00CD29C0">
        <w:rPr>
          <w:rtl/>
        </w:rPr>
        <w:t xml:space="preserve"> המלח </w:t>
      </w:r>
      <w:r w:rsidRPr="00D805B9" w:rsidR="00D805B9">
        <w:rPr>
          <w:rtl/>
        </w:rPr>
        <w:t>שמי"ה</w:t>
      </w:r>
      <w:r w:rsidRPr="00D805B9" w:rsidR="00D805B9">
        <w:rPr>
          <w:rtl/>
        </w:rPr>
        <w:t xml:space="preserve"> בנתה על חלקים משטח</w:t>
      </w:r>
      <w:r w:rsidR="00D805B9">
        <w:rPr>
          <w:rFonts w:hint="cs"/>
          <w:rtl/>
        </w:rPr>
        <w:t xml:space="preserve"> </w:t>
      </w:r>
      <w:r w:rsidRPr="00CD29C0">
        <w:rPr>
          <w:rFonts w:hint="eastAsia"/>
          <w:rtl/>
        </w:rPr>
        <w:t>ים</w:t>
      </w:r>
      <w:r w:rsidRPr="00CD29C0">
        <w:rPr>
          <w:rtl/>
        </w:rPr>
        <w:t xml:space="preserve"> </w:t>
      </w:r>
      <w:r w:rsidRPr="00CD29C0">
        <w:rPr>
          <w:rFonts w:hint="eastAsia"/>
          <w:rtl/>
        </w:rPr>
        <w:t>המלח</w:t>
      </w:r>
      <w:r w:rsidRPr="00CD29C0">
        <w:rPr>
          <w:rtl/>
        </w:rPr>
        <w:t xml:space="preserve"> </w:t>
      </w:r>
      <w:r w:rsidRPr="00CD29C0">
        <w:rPr>
          <w:rFonts w:hint="eastAsia"/>
          <w:rtl/>
        </w:rPr>
        <w:t>שהתייבש</w:t>
      </w:r>
      <w:r w:rsidRPr="00CD29C0">
        <w:rPr>
          <w:rtl/>
        </w:rPr>
        <w:t xml:space="preserve">, </w:t>
      </w:r>
      <w:r w:rsidRPr="00CD29C0">
        <w:rPr>
          <w:rFonts w:hint="eastAsia"/>
          <w:rtl/>
        </w:rPr>
        <w:t>מי</w:t>
      </w:r>
      <w:r w:rsidRPr="00CD29C0">
        <w:rPr>
          <w:rtl/>
        </w:rPr>
        <w:t>"ה</w:t>
      </w:r>
      <w:r w:rsidRPr="00CD29C0">
        <w:rPr>
          <w:rtl/>
        </w:rPr>
        <w:t xml:space="preserve"> </w:t>
      </w:r>
      <w:r w:rsidRPr="00CD29C0">
        <w:rPr>
          <w:rFonts w:hint="eastAsia"/>
          <w:rtl/>
        </w:rPr>
        <w:t>הייתה</w:t>
      </w:r>
      <w:r w:rsidRPr="00CD29C0">
        <w:rPr>
          <w:rtl/>
        </w:rPr>
        <w:t xml:space="preserve"> </w:t>
      </w:r>
      <w:r w:rsidRPr="00CD29C0">
        <w:rPr>
          <w:rFonts w:hint="eastAsia"/>
          <w:rtl/>
        </w:rPr>
        <w:t>עשויה</w:t>
      </w:r>
      <w:r w:rsidRPr="00CD29C0">
        <w:rPr>
          <w:rtl/>
        </w:rPr>
        <w:t xml:space="preserve"> </w:t>
      </w:r>
      <w:r w:rsidRPr="00CD29C0">
        <w:rPr>
          <w:rFonts w:hint="eastAsia"/>
          <w:rtl/>
        </w:rPr>
        <w:t>להידרש</w:t>
      </w:r>
      <w:r w:rsidRPr="00CD29C0">
        <w:rPr>
          <w:rtl/>
        </w:rPr>
        <w:t xml:space="preserve"> לשלם </w:t>
      </w:r>
      <w:r w:rsidRPr="00CD29C0">
        <w:rPr>
          <w:rFonts w:hint="eastAsia"/>
          <w:rtl/>
        </w:rPr>
        <w:t>למעלה</w:t>
      </w:r>
      <w:r w:rsidRPr="00CD29C0">
        <w:rPr>
          <w:rtl/>
        </w:rPr>
        <w:t xml:space="preserve"> </w:t>
      </w:r>
      <w:r w:rsidRPr="00CD29C0">
        <w:rPr>
          <w:rFonts w:hint="eastAsia"/>
          <w:rtl/>
        </w:rPr>
        <w:t>מעשרה</w:t>
      </w:r>
      <w:r w:rsidRPr="00CD29C0">
        <w:rPr>
          <w:rtl/>
        </w:rPr>
        <w:t xml:space="preserve"> </w:t>
      </w:r>
      <w:r w:rsidRPr="00CD29C0">
        <w:rPr>
          <w:rFonts w:hint="eastAsia"/>
          <w:rtl/>
        </w:rPr>
        <w:t>מיליון</w:t>
      </w:r>
      <w:r w:rsidRPr="00691D2D">
        <w:rPr>
          <w:rtl/>
        </w:rPr>
        <w:t xml:space="preserve"> ש</w:t>
      </w:r>
      <w:r w:rsidRPr="00825B75">
        <w:rPr>
          <w:rtl/>
        </w:rPr>
        <w:t>"ח דמי חכירה במצטבר עבור העשור האחרון</w:t>
      </w:r>
      <w:r>
        <w:rPr>
          <w:rStyle w:val="FootnoteReference1"/>
          <w:rtl/>
        </w:rPr>
        <w:footnoteReference w:id="59"/>
      </w:r>
      <w:r w:rsidRPr="00825B75">
        <w:rPr>
          <w:rtl/>
        </w:rPr>
        <w:t xml:space="preserve">, אילו </w:t>
      </w:r>
      <w:r w:rsidRPr="00825B75">
        <w:rPr>
          <w:rFonts w:hint="eastAsia"/>
          <w:rtl/>
        </w:rPr>
        <w:t>רמ</w:t>
      </w:r>
      <w:r w:rsidRPr="00825B75">
        <w:rPr>
          <w:rtl/>
        </w:rPr>
        <w:t>"י</w:t>
      </w:r>
      <w:r w:rsidRPr="00825B75">
        <w:rPr>
          <w:rtl/>
        </w:rPr>
        <w:t xml:space="preserve"> הייתה </w:t>
      </w:r>
      <w:r w:rsidRPr="00825B75">
        <w:rPr>
          <w:rFonts w:hint="eastAsia"/>
          <w:rtl/>
        </w:rPr>
        <w:t>מגיעה</w:t>
      </w:r>
      <w:r w:rsidRPr="00825B75">
        <w:rPr>
          <w:rtl/>
        </w:rPr>
        <w:t xml:space="preserve"> </w:t>
      </w:r>
      <w:r w:rsidRPr="00825B75">
        <w:rPr>
          <w:rFonts w:hint="eastAsia"/>
          <w:rtl/>
        </w:rPr>
        <w:t>למסקנה</w:t>
      </w:r>
      <w:r w:rsidRPr="00825B75">
        <w:rPr>
          <w:rtl/>
        </w:rPr>
        <w:t xml:space="preserve"> </w:t>
      </w:r>
      <w:r w:rsidRPr="00825B75">
        <w:rPr>
          <w:rFonts w:hint="eastAsia"/>
          <w:rtl/>
        </w:rPr>
        <w:t>כי</w:t>
      </w:r>
      <w:r w:rsidRPr="00825B75">
        <w:rPr>
          <w:rtl/>
        </w:rPr>
        <w:t xml:space="preserve"> </w:t>
      </w:r>
      <w:r w:rsidRPr="00825B75">
        <w:rPr>
          <w:rFonts w:hint="eastAsia"/>
          <w:rtl/>
        </w:rPr>
        <w:t>יש</w:t>
      </w:r>
      <w:r w:rsidRPr="00825B75">
        <w:rPr>
          <w:rtl/>
        </w:rPr>
        <w:t xml:space="preserve"> </w:t>
      </w:r>
      <w:r w:rsidRPr="00825B75">
        <w:rPr>
          <w:rFonts w:hint="eastAsia"/>
          <w:rtl/>
        </w:rPr>
        <w:t>מקום</w:t>
      </w:r>
      <w:r w:rsidRPr="00825B75">
        <w:rPr>
          <w:rtl/>
        </w:rPr>
        <w:t xml:space="preserve"> </w:t>
      </w:r>
      <w:r w:rsidRPr="00825B75">
        <w:rPr>
          <w:rFonts w:hint="eastAsia"/>
          <w:rtl/>
        </w:rPr>
        <w:t>לחייב</w:t>
      </w:r>
      <w:r w:rsidRPr="00825B75">
        <w:rPr>
          <w:rtl/>
        </w:rPr>
        <w:t xml:space="preserve"> </w:t>
      </w:r>
      <w:r w:rsidRPr="00825B75">
        <w:rPr>
          <w:rFonts w:hint="eastAsia"/>
          <w:rtl/>
        </w:rPr>
        <w:t>שימושים</w:t>
      </w:r>
      <w:r w:rsidRPr="00825B75">
        <w:rPr>
          <w:rtl/>
        </w:rPr>
        <w:t xml:space="preserve"> אלו בדמי חכירה של קרקע בסיווג מפעל. </w:t>
      </w:r>
      <w:r w:rsidRPr="00825B75">
        <w:rPr>
          <w:rFonts w:hint="eastAsia"/>
          <w:rtl/>
        </w:rPr>
        <w:t>יובהר</w:t>
      </w:r>
      <w:r w:rsidRPr="00825B75">
        <w:rPr>
          <w:rtl/>
        </w:rPr>
        <w:t xml:space="preserve"> כי </w:t>
      </w:r>
      <w:r w:rsidRPr="00825B75">
        <w:rPr>
          <w:rFonts w:hint="eastAsia"/>
          <w:rtl/>
        </w:rPr>
        <w:t>החישוב</w:t>
      </w:r>
      <w:r w:rsidRPr="00825B75">
        <w:rPr>
          <w:rtl/>
        </w:rPr>
        <w:t xml:space="preserve"> מובא לשם </w:t>
      </w:r>
      <w:r w:rsidRPr="00C0475E">
        <w:rPr>
          <w:rtl/>
        </w:rPr>
        <w:t>המחש</w:t>
      </w:r>
      <w:r w:rsidRPr="00C0475E">
        <w:rPr>
          <w:rFonts w:hint="eastAsia"/>
          <w:rtl/>
        </w:rPr>
        <w:t>ה</w:t>
      </w:r>
      <w:r w:rsidRPr="00C0475E">
        <w:rPr>
          <w:rtl/>
        </w:rPr>
        <w:t xml:space="preserve"> בלבד, וכי החלטה לדרוש </w:t>
      </w:r>
      <w:r w:rsidRPr="00C0475E">
        <w:rPr>
          <w:rFonts w:hint="eastAsia"/>
          <w:rtl/>
        </w:rPr>
        <w:t>ממי</w:t>
      </w:r>
      <w:r w:rsidRPr="00C0475E">
        <w:rPr>
          <w:rtl/>
        </w:rPr>
        <w:t>"ה</w:t>
      </w:r>
      <w:r w:rsidRPr="00C0475E">
        <w:rPr>
          <w:rtl/>
        </w:rPr>
        <w:t xml:space="preserve"> תש</w:t>
      </w:r>
      <w:r w:rsidRPr="00C0475E">
        <w:rPr>
          <w:rFonts w:hint="eastAsia"/>
          <w:rtl/>
        </w:rPr>
        <w:t>לום</w:t>
      </w:r>
      <w:r w:rsidRPr="00C0475E">
        <w:rPr>
          <w:rtl/>
        </w:rPr>
        <w:t xml:space="preserve"> בגין השימוש </w:t>
      </w:r>
      <w:r w:rsidRPr="00C0475E">
        <w:rPr>
          <w:rFonts w:hint="eastAsia"/>
          <w:rtl/>
        </w:rPr>
        <w:t>האמור</w:t>
      </w:r>
      <w:r w:rsidRPr="00C0475E">
        <w:rPr>
          <w:rtl/>
        </w:rPr>
        <w:t xml:space="preserve"> </w:t>
      </w:r>
      <w:r w:rsidRPr="006D5968">
        <w:rPr>
          <w:rFonts w:hint="eastAsia"/>
          <w:rtl/>
        </w:rPr>
        <w:t>תצטרך</w:t>
      </w:r>
      <w:r w:rsidRPr="006D5968">
        <w:rPr>
          <w:rtl/>
        </w:rPr>
        <w:t xml:space="preserve"> להתקבל </w:t>
      </w:r>
      <w:r w:rsidRPr="00CD29C0">
        <w:rPr>
          <w:rFonts w:hint="eastAsia"/>
          <w:rtl/>
        </w:rPr>
        <w:t>על</w:t>
      </w:r>
      <w:r w:rsidRPr="00CD29C0">
        <w:rPr>
          <w:rtl/>
        </w:rPr>
        <w:t xml:space="preserve"> </w:t>
      </w:r>
      <w:r w:rsidRPr="00CD29C0">
        <w:rPr>
          <w:rFonts w:hint="eastAsia"/>
          <w:rtl/>
        </w:rPr>
        <w:t>ידי</w:t>
      </w:r>
      <w:r w:rsidRPr="006D5968">
        <w:rPr>
          <w:rtl/>
        </w:rPr>
        <w:t xml:space="preserve"> </w:t>
      </w:r>
      <w:r w:rsidRPr="006D5968">
        <w:rPr>
          <w:rFonts w:hint="eastAsia"/>
          <w:rtl/>
        </w:rPr>
        <w:t>רמ</w:t>
      </w:r>
      <w:r w:rsidRPr="006D5968">
        <w:rPr>
          <w:rtl/>
        </w:rPr>
        <w:t>"י</w:t>
      </w:r>
      <w:r w:rsidRPr="006D5968">
        <w:rPr>
          <w:rtl/>
        </w:rPr>
        <w:t xml:space="preserve"> </w:t>
      </w:r>
      <w:r w:rsidRPr="006D5968">
        <w:rPr>
          <w:rFonts w:hint="eastAsia"/>
          <w:rtl/>
        </w:rPr>
        <w:t>לאחר</w:t>
      </w:r>
      <w:r w:rsidRPr="006D5968">
        <w:rPr>
          <w:rtl/>
        </w:rPr>
        <w:t xml:space="preserve"> </w:t>
      </w:r>
      <w:r w:rsidRPr="008F0F63">
        <w:rPr>
          <w:rFonts w:hint="eastAsia"/>
          <w:rtl/>
        </w:rPr>
        <w:t>ב</w:t>
      </w:r>
      <w:r w:rsidRPr="00F64C28">
        <w:rPr>
          <w:rFonts w:hint="eastAsia"/>
          <w:rtl/>
        </w:rPr>
        <w:t>חינת</w:t>
      </w:r>
      <w:r w:rsidRPr="00F65C56">
        <w:rPr>
          <w:rtl/>
        </w:rPr>
        <w:t xml:space="preserve"> הנושא</w:t>
      </w:r>
      <w:r>
        <w:rPr>
          <w:rFonts w:hint="cs"/>
          <w:rtl/>
        </w:rPr>
        <w:t>,</w:t>
      </w:r>
      <w:r w:rsidRPr="00F65C56">
        <w:rPr>
          <w:rtl/>
        </w:rPr>
        <w:t xml:space="preserve"> </w:t>
      </w:r>
      <w:r>
        <w:rPr>
          <w:rFonts w:hint="cs"/>
          <w:rtl/>
        </w:rPr>
        <w:t xml:space="preserve">וכן כי </w:t>
      </w:r>
      <w:r w:rsidRPr="00F65C56">
        <w:rPr>
          <w:rtl/>
        </w:rPr>
        <w:t>החישוב של הסכום</w:t>
      </w:r>
      <w:r>
        <w:rPr>
          <w:rFonts w:hint="cs"/>
          <w:rtl/>
        </w:rPr>
        <w:t xml:space="preserve">, כמו גם </w:t>
      </w:r>
      <w:r w:rsidRPr="006D5968">
        <w:rPr>
          <w:rFonts w:hint="eastAsia"/>
          <w:rtl/>
        </w:rPr>
        <w:t>התקופה</w:t>
      </w:r>
      <w:r w:rsidRPr="006D5968">
        <w:rPr>
          <w:rtl/>
        </w:rPr>
        <w:t xml:space="preserve"> </w:t>
      </w:r>
      <w:r w:rsidRPr="00CD29C0">
        <w:rPr>
          <w:rFonts w:hint="eastAsia"/>
          <w:rtl/>
        </w:rPr>
        <w:t>ש</w:t>
      </w:r>
      <w:r w:rsidRPr="006D5968">
        <w:rPr>
          <w:rFonts w:hint="eastAsia"/>
          <w:rtl/>
        </w:rPr>
        <w:t>בגינה</w:t>
      </w:r>
      <w:r w:rsidRPr="006D5968">
        <w:rPr>
          <w:rtl/>
        </w:rPr>
        <w:t xml:space="preserve"> </w:t>
      </w:r>
      <w:r w:rsidRPr="006D5968">
        <w:rPr>
          <w:rFonts w:hint="eastAsia"/>
          <w:rtl/>
        </w:rPr>
        <w:t>יש</w:t>
      </w:r>
      <w:r w:rsidRPr="006D5968">
        <w:rPr>
          <w:rtl/>
        </w:rPr>
        <w:t xml:space="preserve"> </w:t>
      </w:r>
      <w:r w:rsidRPr="006D5968">
        <w:rPr>
          <w:rFonts w:hint="eastAsia"/>
          <w:rtl/>
        </w:rPr>
        <w:t>לבצע</w:t>
      </w:r>
      <w:r w:rsidRPr="006D5968">
        <w:rPr>
          <w:rtl/>
        </w:rPr>
        <w:t xml:space="preserve"> </w:t>
      </w:r>
      <w:r w:rsidRPr="008F0F63">
        <w:rPr>
          <w:rFonts w:hint="eastAsia"/>
          <w:rtl/>
        </w:rPr>
        <w:t>את</w:t>
      </w:r>
      <w:r w:rsidRPr="00F64C28">
        <w:rPr>
          <w:rtl/>
        </w:rPr>
        <w:t xml:space="preserve"> </w:t>
      </w:r>
      <w:r w:rsidRPr="00F65C56">
        <w:rPr>
          <w:rFonts w:hint="eastAsia"/>
          <w:rtl/>
        </w:rPr>
        <w:t>הגבייה</w:t>
      </w:r>
      <w:r>
        <w:rPr>
          <w:rFonts w:hint="cs"/>
          <w:rtl/>
        </w:rPr>
        <w:t xml:space="preserve"> ייעשה </w:t>
      </w:r>
      <w:r w:rsidRPr="00D805B9" w:rsidR="00D805B9">
        <w:rPr>
          <w:rtl/>
        </w:rPr>
        <w:t>על-ידה</w:t>
      </w:r>
      <w:r>
        <w:rPr>
          <w:rFonts w:hint="cs"/>
          <w:rtl/>
        </w:rPr>
        <w:t>, בהתאם להוראות כל דין</w:t>
      </w:r>
      <w:r w:rsidRPr="00F65C56">
        <w:rPr>
          <w:rtl/>
        </w:rPr>
        <w:t xml:space="preserve">. </w:t>
      </w:r>
    </w:p>
    <w:p w:rsidR="006734B0" w:rsidRPr="00865D25" w:rsidP="00331AB4" w14:paraId="059A4268" w14:textId="77777777">
      <w:pPr>
        <w:pStyle w:val="7317"/>
        <w:rPr>
          <w:rtl/>
        </w:rPr>
      </w:pPr>
      <w:r w:rsidRPr="0036155F">
        <w:rPr>
          <w:rFonts w:hint="eastAsia"/>
          <w:rtl/>
        </w:rPr>
        <w:t>מי</w:t>
      </w:r>
      <w:r w:rsidRPr="0036155F">
        <w:rPr>
          <w:rtl/>
        </w:rPr>
        <w:t>"ה</w:t>
      </w:r>
      <w:r w:rsidRPr="0036155F">
        <w:rPr>
          <w:rtl/>
        </w:rPr>
        <w:t xml:space="preserve"> מסרה בתשובתה למשרד מבקר המדינה כי </w:t>
      </w:r>
      <w:r w:rsidRPr="0036155F">
        <w:rPr>
          <w:rFonts w:hint="eastAsia"/>
          <w:rtl/>
        </w:rPr>
        <w:t>חוק</w:t>
      </w:r>
      <w:r w:rsidRPr="0036155F">
        <w:rPr>
          <w:rtl/>
        </w:rPr>
        <w:t xml:space="preserve"> </w:t>
      </w:r>
      <w:r w:rsidRPr="0036155F">
        <w:rPr>
          <w:rFonts w:hint="eastAsia"/>
          <w:rtl/>
        </w:rPr>
        <w:t>הזיכיון</w:t>
      </w:r>
      <w:r w:rsidRPr="0036155F">
        <w:rPr>
          <w:rtl/>
        </w:rPr>
        <w:t xml:space="preserve"> </w:t>
      </w:r>
      <w:r w:rsidRPr="0036155F">
        <w:rPr>
          <w:rFonts w:hint="eastAsia"/>
          <w:rtl/>
        </w:rPr>
        <w:t>מקנה</w:t>
      </w:r>
      <w:r w:rsidRPr="0036155F">
        <w:rPr>
          <w:rtl/>
        </w:rPr>
        <w:t xml:space="preserve"> </w:t>
      </w:r>
      <w:r w:rsidRPr="00A300DA">
        <w:rPr>
          <w:rFonts w:hint="eastAsia"/>
          <w:rtl/>
        </w:rPr>
        <w:t>לה</w:t>
      </w:r>
      <w:r w:rsidRPr="0036155F">
        <w:rPr>
          <w:rtl/>
        </w:rPr>
        <w:t xml:space="preserve"> </w:t>
      </w:r>
      <w:r w:rsidRPr="0036155F">
        <w:rPr>
          <w:rFonts w:hint="eastAsia"/>
          <w:rtl/>
        </w:rPr>
        <w:t>זכות</w:t>
      </w:r>
      <w:r w:rsidRPr="0036155F">
        <w:rPr>
          <w:rtl/>
        </w:rPr>
        <w:t xml:space="preserve"> </w:t>
      </w:r>
      <w:r w:rsidRPr="0036155F">
        <w:rPr>
          <w:rFonts w:hint="eastAsia"/>
          <w:rtl/>
        </w:rPr>
        <w:t>מפורשת</w:t>
      </w:r>
      <w:r w:rsidRPr="0036155F">
        <w:rPr>
          <w:rtl/>
        </w:rPr>
        <w:t xml:space="preserve"> </w:t>
      </w:r>
      <w:r w:rsidRPr="0036155F">
        <w:rPr>
          <w:rFonts w:hint="eastAsia"/>
          <w:rtl/>
        </w:rPr>
        <w:t>להקים</w:t>
      </w:r>
      <w:r w:rsidRPr="0036155F">
        <w:rPr>
          <w:rtl/>
        </w:rPr>
        <w:t xml:space="preserve"> מתקנים מסוי</w:t>
      </w:r>
      <w:r w:rsidRPr="00A300DA">
        <w:rPr>
          <w:rtl/>
        </w:rPr>
        <w:t>מים ובכללם תחנות שאיבה בשטח ים המלח, ולא ניתן לגבות ב</w:t>
      </w:r>
      <w:r w:rsidRPr="00A300DA">
        <w:rPr>
          <w:rFonts w:hint="eastAsia"/>
          <w:rtl/>
        </w:rPr>
        <w:t>גינם</w:t>
      </w:r>
      <w:r w:rsidRPr="00A300DA">
        <w:rPr>
          <w:rtl/>
        </w:rPr>
        <w:t xml:space="preserve"> דמי חכירה, </w:t>
      </w:r>
      <w:r w:rsidRPr="00A300DA">
        <w:rPr>
          <w:rFonts w:hint="eastAsia"/>
          <w:rtl/>
        </w:rPr>
        <w:t>מאחר</w:t>
      </w:r>
      <w:r w:rsidRPr="00A300DA">
        <w:rPr>
          <w:rtl/>
        </w:rPr>
        <w:t xml:space="preserve"> שהתשלום בגינם כבר כלול </w:t>
      </w:r>
      <w:r w:rsidRPr="0036155F">
        <w:rPr>
          <w:rFonts w:hint="eastAsia"/>
          <w:rtl/>
        </w:rPr>
        <w:t>במסגרת</w:t>
      </w:r>
      <w:r w:rsidRPr="0036155F">
        <w:rPr>
          <w:rtl/>
        </w:rPr>
        <w:t xml:space="preserve"> </w:t>
      </w:r>
      <w:r w:rsidRPr="0036155F">
        <w:rPr>
          <w:rFonts w:hint="eastAsia"/>
          <w:rtl/>
        </w:rPr>
        <w:t>תשלום</w:t>
      </w:r>
      <w:r w:rsidRPr="0036155F">
        <w:rPr>
          <w:rtl/>
        </w:rPr>
        <w:t xml:space="preserve"> </w:t>
      </w:r>
      <w:r w:rsidRPr="0036155F">
        <w:rPr>
          <w:rFonts w:hint="eastAsia"/>
          <w:rtl/>
        </w:rPr>
        <w:t>ה</w:t>
      </w:r>
      <w:r w:rsidRPr="0036155F">
        <w:rPr>
          <w:rtl/>
        </w:rPr>
        <w:t xml:space="preserve">תמלוגים </w:t>
      </w:r>
      <w:r w:rsidRPr="00A300DA">
        <w:rPr>
          <w:rFonts w:hint="eastAsia"/>
          <w:rtl/>
        </w:rPr>
        <w:t>ש</w:t>
      </w:r>
      <w:r w:rsidRPr="00865D25">
        <w:rPr>
          <w:rtl/>
        </w:rPr>
        <w:t xml:space="preserve">אותם היא משלמת לפי החוק. </w:t>
      </w:r>
    </w:p>
    <w:p w:rsidR="006734B0" w:rsidRPr="00331AB4" w:rsidP="00331AB4" w14:paraId="09F25073" w14:textId="2A3718FB">
      <w:pPr>
        <w:pStyle w:val="7310"/>
        <w:rPr>
          <w:rtl/>
        </w:rPr>
      </w:pPr>
      <w:r w:rsidRPr="00331AB4">
        <w:rPr>
          <w:rFonts w:hint="eastAsia"/>
          <w:rtl/>
        </w:rPr>
        <w:t>לדעת</w:t>
      </w:r>
      <w:r w:rsidRPr="00331AB4">
        <w:rPr>
          <w:rtl/>
        </w:rPr>
        <w:t xml:space="preserve"> משרד מבקר המדינה </w:t>
      </w:r>
      <w:r w:rsidRPr="00331AB4">
        <w:rPr>
          <w:rFonts w:hint="eastAsia"/>
          <w:rtl/>
        </w:rPr>
        <w:t>מן</w:t>
      </w:r>
      <w:r w:rsidRPr="00331AB4">
        <w:rPr>
          <w:rtl/>
        </w:rPr>
        <w:t xml:space="preserve"> </w:t>
      </w:r>
      <w:r w:rsidRPr="00331AB4">
        <w:rPr>
          <w:rFonts w:hint="eastAsia"/>
          <w:rtl/>
        </w:rPr>
        <w:t>הראוי</w:t>
      </w:r>
      <w:r w:rsidRPr="00331AB4">
        <w:rPr>
          <w:rtl/>
        </w:rPr>
        <w:t xml:space="preserve"> היה </w:t>
      </w:r>
      <w:r w:rsidRPr="00331AB4">
        <w:rPr>
          <w:rFonts w:hint="eastAsia"/>
          <w:rtl/>
        </w:rPr>
        <w:t>כי</w:t>
      </w:r>
      <w:r w:rsidRPr="00331AB4">
        <w:rPr>
          <w:rtl/>
        </w:rPr>
        <w:t xml:space="preserve"> </w:t>
      </w:r>
      <w:r w:rsidRPr="00331AB4">
        <w:rPr>
          <w:rFonts w:hint="eastAsia"/>
          <w:rtl/>
        </w:rPr>
        <w:t>במצב</w:t>
      </w:r>
      <w:r w:rsidRPr="00331AB4">
        <w:rPr>
          <w:rtl/>
        </w:rPr>
        <w:t xml:space="preserve"> החדש שנוצר, </w:t>
      </w:r>
      <w:r w:rsidRPr="00331AB4">
        <w:rPr>
          <w:rFonts w:hint="eastAsia"/>
          <w:rtl/>
        </w:rPr>
        <w:t>שבו</w:t>
      </w:r>
      <w:r w:rsidRPr="00331AB4">
        <w:rPr>
          <w:rtl/>
        </w:rPr>
        <w:t xml:space="preserve"> </w:t>
      </w:r>
      <w:r w:rsidRPr="00331AB4">
        <w:rPr>
          <w:rFonts w:hint="eastAsia"/>
          <w:rtl/>
        </w:rPr>
        <w:t>נוספו</w:t>
      </w:r>
      <w:r w:rsidRPr="00331AB4">
        <w:rPr>
          <w:rtl/>
        </w:rPr>
        <w:t xml:space="preserve"> </w:t>
      </w:r>
      <w:r w:rsidRPr="00331AB4">
        <w:rPr>
          <w:rFonts w:hint="eastAsia"/>
          <w:rtl/>
        </w:rPr>
        <w:t>שטחי</w:t>
      </w:r>
      <w:r w:rsidRPr="00331AB4">
        <w:rPr>
          <w:rtl/>
        </w:rPr>
        <w:t xml:space="preserve"> </w:t>
      </w:r>
      <w:r w:rsidRPr="006A29D9" w:rsidR="006A29D9">
        <w:rPr>
          <w:rtl/>
        </w:rPr>
        <w:t>יבשה נרחבים שהיו</w:t>
      </w:r>
      <w:r w:rsidR="006A29D9">
        <w:rPr>
          <w:rFonts w:hint="cs"/>
          <w:rtl/>
        </w:rPr>
        <w:t xml:space="preserve"> </w:t>
      </w:r>
      <w:r w:rsidRPr="00D805B9" w:rsidR="00D805B9">
        <w:rPr>
          <w:rtl/>
        </w:rPr>
        <w:t>בעבר חלק משטח ים המלח</w:t>
      </w:r>
      <w:r w:rsidRPr="00331AB4">
        <w:rPr>
          <w:rtl/>
        </w:rPr>
        <w:t xml:space="preserve"> </w:t>
      </w:r>
      <w:r w:rsidRPr="00331AB4">
        <w:rPr>
          <w:rFonts w:hint="eastAsia"/>
          <w:rtl/>
        </w:rPr>
        <w:t>לתחום</w:t>
      </w:r>
      <w:r w:rsidRPr="00331AB4">
        <w:rPr>
          <w:rtl/>
        </w:rPr>
        <w:t xml:space="preserve"> </w:t>
      </w:r>
      <w:r w:rsidRPr="00331AB4">
        <w:rPr>
          <w:rFonts w:hint="eastAsia"/>
          <w:rtl/>
        </w:rPr>
        <w:t>הזיכיון</w:t>
      </w:r>
      <w:r w:rsidRPr="00331AB4">
        <w:rPr>
          <w:rtl/>
        </w:rPr>
        <w:t xml:space="preserve"> </w:t>
      </w:r>
      <w:r w:rsidRPr="001D0522" w:rsidR="001D0522">
        <w:rPr>
          <w:rtl/>
        </w:rPr>
        <w:t>ועל חלקם</w:t>
      </w:r>
      <w:r w:rsidRPr="001D0522" w:rsidR="001D0522">
        <w:rPr>
          <w:rFonts w:hint="eastAsia"/>
          <w:rtl/>
        </w:rPr>
        <w:t xml:space="preserve"> </w:t>
      </w:r>
      <w:r w:rsidRPr="00331AB4">
        <w:rPr>
          <w:rFonts w:hint="eastAsia"/>
          <w:rtl/>
        </w:rPr>
        <w:t>מי</w:t>
      </w:r>
      <w:r w:rsidRPr="00331AB4">
        <w:rPr>
          <w:rtl/>
        </w:rPr>
        <w:t>"ה</w:t>
      </w:r>
      <w:r w:rsidRPr="00331AB4">
        <w:rPr>
          <w:rtl/>
        </w:rPr>
        <w:t xml:space="preserve"> הקימה מתקנ</w:t>
      </w:r>
      <w:r w:rsidRPr="00331AB4">
        <w:rPr>
          <w:rFonts w:hint="eastAsia"/>
          <w:rtl/>
        </w:rPr>
        <w:t>ים</w:t>
      </w:r>
      <w:r w:rsidRPr="00331AB4">
        <w:rPr>
          <w:rtl/>
        </w:rPr>
        <w:t xml:space="preserve"> תעשייתיים המשמשים לפעילותה, </w:t>
      </w:r>
      <w:r w:rsidRPr="00331AB4">
        <w:rPr>
          <w:rFonts w:hint="eastAsia"/>
          <w:rtl/>
        </w:rPr>
        <w:t>רמ</w:t>
      </w:r>
      <w:r w:rsidRPr="00331AB4">
        <w:rPr>
          <w:rtl/>
        </w:rPr>
        <w:t>"י</w:t>
      </w:r>
      <w:r w:rsidRPr="00331AB4">
        <w:rPr>
          <w:rtl/>
        </w:rPr>
        <w:t xml:space="preserve"> תבחן</w:t>
      </w:r>
      <w:r w:rsidRPr="00331AB4">
        <w:rPr>
          <w:rFonts w:hint="cs"/>
          <w:rtl/>
        </w:rPr>
        <w:t>,</w:t>
      </w:r>
      <w:r w:rsidRPr="00331AB4">
        <w:rPr>
          <w:rtl/>
        </w:rPr>
        <w:t xml:space="preserve"> </w:t>
      </w:r>
      <w:r w:rsidRPr="00331AB4">
        <w:rPr>
          <w:rFonts w:hint="eastAsia"/>
          <w:rtl/>
        </w:rPr>
        <w:t>בתיאום</w:t>
      </w:r>
      <w:r w:rsidRPr="00331AB4">
        <w:rPr>
          <w:rtl/>
        </w:rPr>
        <w:t xml:space="preserve"> עם משרד האוצר</w:t>
      </w:r>
      <w:r w:rsidRPr="00331AB4">
        <w:rPr>
          <w:rFonts w:hint="cs"/>
          <w:rtl/>
        </w:rPr>
        <w:t>,</w:t>
      </w:r>
      <w:r w:rsidRPr="00331AB4">
        <w:rPr>
          <w:rtl/>
        </w:rPr>
        <w:t xml:space="preserve"> </w:t>
      </w:r>
      <w:r w:rsidRPr="00331AB4">
        <w:rPr>
          <w:rFonts w:hint="eastAsia"/>
          <w:rtl/>
        </w:rPr>
        <w:t>אם</w:t>
      </w:r>
      <w:r w:rsidRPr="00331AB4">
        <w:rPr>
          <w:rtl/>
        </w:rPr>
        <w:t xml:space="preserve"> </w:t>
      </w:r>
      <w:r w:rsidRPr="00331AB4">
        <w:rPr>
          <w:rFonts w:hint="eastAsia"/>
          <w:rtl/>
        </w:rPr>
        <w:t>יש</w:t>
      </w:r>
      <w:r w:rsidRPr="00331AB4">
        <w:rPr>
          <w:rtl/>
        </w:rPr>
        <w:t xml:space="preserve"> מקום </w:t>
      </w:r>
      <w:r w:rsidRPr="00331AB4">
        <w:rPr>
          <w:rFonts w:hint="eastAsia"/>
          <w:rtl/>
        </w:rPr>
        <w:t>והצדקה</w:t>
      </w:r>
      <w:r w:rsidRPr="00331AB4">
        <w:rPr>
          <w:rtl/>
        </w:rPr>
        <w:t xml:space="preserve"> </w:t>
      </w:r>
      <w:r w:rsidRPr="00331AB4">
        <w:rPr>
          <w:rFonts w:hint="eastAsia"/>
          <w:rtl/>
        </w:rPr>
        <w:t>לחייב</w:t>
      </w:r>
      <w:r w:rsidRPr="00331AB4">
        <w:rPr>
          <w:rtl/>
        </w:rPr>
        <w:t xml:space="preserve"> את </w:t>
      </w:r>
      <w:r w:rsidRPr="00331AB4">
        <w:rPr>
          <w:rFonts w:hint="eastAsia"/>
          <w:rtl/>
        </w:rPr>
        <w:t>מי</w:t>
      </w:r>
      <w:r w:rsidRPr="00331AB4">
        <w:rPr>
          <w:rtl/>
        </w:rPr>
        <w:t>"ה</w:t>
      </w:r>
      <w:r w:rsidRPr="00331AB4">
        <w:rPr>
          <w:rtl/>
        </w:rPr>
        <w:t xml:space="preserve"> </w:t>
      </w:r>
      <w:r w:rsidRPr="00331AB4">
        <w:rPr>
          <w:rFonts w:hint="eastAsia"/>
          <w:rtl/>
        </w:rPr>
        <w:t>בתשלום</w:t>
      </w:r>
      <w:r w:rsidRPr="00331AB4">
        <w:rPr>
          <w:rFonts w:hint="cs"/>
          <w:rtl/>
        </w:rPr>
        <w:t xml:space="preserve"> </w:t>
      </w:r>
      <w:r w:rsidRPr="00331AB4">
        <w:rPr>
          <w:rtl/>
        </w:rPr>
        <w:t>דמי חכירה בגי</w:t>
      </w:r>
      <w:r w:rsidRPr="00331AB4">
        <w:rPr>
          <w:rFonts w:hint="eastAsia"/>
          <w:rtl/>
        </w:rPr>
        <w:t>ן</w:t>
      </w:r>
      <w:r w:rsidRPr="00331AB4">
        <w:rPr>
          <w:rtl/>
        </w:rPr>
        <w:t xml:space="preserve"> </w:t>
      </w:r>
      <w:r w:rsidRPr="00331AB4">
        <w:rPr>
          <w:rFonts w:hint="eastAsia"/>
          <w:rtl/>
        </w:rPr>
        <w:t>השימוש</w:t>
      </w:r>
      <w:r w:rsidRPr="00331AB4">
        <w:rPr>
          <w:rtl/>
        </w:rPr>
        <w:t xml:space="preserve"> </w:t>
      </w:r>
      <w:r w:rsidRPr="00331AB4">
        <w:rPr>
          <w:rFonts w:hint="eastAsia"/>
          <w:rtl/>
        </w:rPr>
        <w:t>בהם</w:t>
      </w:r>
      <w:r w:rsidRPr="00331AB4">
        <w:rPr>
          <w:rtl/>
        </w:rPr>
        <w:t xml:space="preserve">, </w:t>
      </w:r>
      <w:r w:rsidRPr="00331AB4">
        <w:rPr>
          <w:rFonts w:hint="eastAsia"/>
          <w:rtl/>
        </w:rPr>
        <w:t>וכי</w:t>
      </w:r>
      <w:r w:rsidRPr="00331AB4">
        <w:rPr>
          <w:rtl/>
        </w:rPr>
        <w:t xml:space="preserve"> </w:t>
      </w:r>
      <w:r w:rsidRPr="00331AB4">
        <w:rPr>
          <w:rFonts w:hint="eastAsia"/>
          <w:rtl/>
        </w:rPr>
        <w:t>היא</w:t>
      </w:r>
      <w:r w:rsidRPr="00331AB4">
        <w:rPr>
          <w:rFonts w:hint="cs"/>
          <w:rtl/>
        </w:rPr>
        <w:t xml:space="preserve"> </w:t>
      </w:r>
      <w:r w:rsidRPr="00331AB4">
        <w:rPr>
          <w:rFonts w:hint="eastAsia"/>
          <w:rtl/>
        </w:rPr>
        <w:t>תפעל</w:t>
      </w:r>
      <w:r w:rsidRPr="00331AB4">
        <w:rPr>
          <w:rtl/>
        </w:rPr>
        <w:t xml:space="preserve"> </w:t>
      </w:r>
      <w:r w:rsidRPr="00331AB4">
        <w:rPr>
          <w:rFonts w:hint="eastAsia"/>
          <w:rtl/>
        </w:rPr>
        <w:t>בהתאם</w:t>
      </w:r>
      <w:r w:rsidRPr="00331AB4">
        <w:rPr>
          <w:rtl/>
        </w:rPr>
        <w:t xml:space="preserve"> </w:t>
      </w:r>
      <w:r w:rsidRPr="00331AB4">
        <w:rPr>
          <w:rFonts w:hint="eastAsia"/>
          <w:rtl/>
        </w:rPr>
        <w:t>לתוצאות</w:t>
      </w:r>
      <w:r w:rsidRPr="00331AB4">
        <w:rPr>
          <w:rtl/>
        </w:rPr>
        <w:t xml:space="preserve"> </w:t>
      </w:r>
      <w:r w:rsidRPr="00331AB4">
        <w:rPr>
          <w:rFonts w:hint="eastAsia"/>
          <w:rtl/>
        </w:rPr>
        <w:t>הבחינה</w:t>
      </w:r>
      <w:r w:rsidRPr="00331AB4">
        <w:rPr>
          <w:rtl/>
        </w:rPr>
        <w:t xml:space="preserve">. </w:t>
      </w:r>
      <w:r w:rsidRPr="00331AB4">
        <w:rPr>
          <w:rFonts w:hint="eastAsia"/>
          <w:rtl/>
        </w:rPr>
        <w:t>בראייה</w:t>
      </w:r>
      <w:r w:rsidRPr="00331AB4">
        <w:rPr>
          <w:rtl/>
        </w:rPr>
        <w:t xml:space="preserve"> </w:t>
      </w:r>
      <w:r w:rsidRPr="00331AB4">
        <w:rPr>
          <w:rFonts w:hint="eastAsia"/>
          <w:rtl/>
        </w:rPr>
        <w:t>צופה</w:t>
      </w:r>
      <w:r w:rsidRPr="00331AB4">
        <w:rPr>
          <w:rtl/>
        </w:rPr>
        <w:t xml:space="preserve"> </w:t>
      </w:r>
      <w:r w:rsidRPr="00331AB4">
        <w:rPr>
          <w:rFonts w:hint="eastAsia"/>
          <w:rtl/>
        </w:rPr>
        <w:t>פני</w:t>
      </w:r>
      <w:r w:rsidRPr="00331AB4">
        <w:rPr>
          <w:rtl/>
        </w:rPr>
        <w:t xml:space="preserve"> </w:t>
      </w:r>
      <w:r w:rsidRPr="00331AB4">
        <w:rPr>
          <w:rFonts w:hint="eastAsia"/>
          <w:rtl/>
        </w:rPr>
        <w:t>עתיד</w:t>
      </w:r>
      <w:r w:rsidRPr="00331AB4">
        <w:rPr>
          <w:rtl/>
        </w:rPr>
        <w:t xml:space="preserve"> מוצע כי </w:t>
      </w:r>
      <w:r w:rsidRPr="00331AB4">
        <w:rPr>
          <w:rFonts w:hint="eastAsia"/>
          <w:rtl/>
        </w:rPr>
        <w:t>הגורמים</w:t>
      </w:r>
      <w:r w:rsidRPr="00331AB4">
        <w:rPr>
          <w:rtl/>
        </w:rPr>
        <w:t xml:space="preserve"> האמורים </w:t>
      </w:r>
      <w:r w:rsidRPr="00331AB4">
        <w:rPr>
          <w:rFonts w:hint="eastAsia"/>
          <w:rtl/>
        </w:rPr>
        <w:t>יגבשו</w:t>
      </w:r>
      <w:r w:rsidRPr="00331AB4">
        <w:rPr>
          <w:rtl/>
        </w:rPr>
        <w:t xml:space="preserve"> מנגנון תשלום הלוקח בחשבון </w:t>
      </w:r>
      <w:r w:rsidRPr="00331AB4">
        <w:rPr>
          <w:rFonts w:hint="eastAsia"/>
          <w:rtl/>
        </w:rPr>
        <w:t>את</w:t>
      </w:r>
      <w:r w:rsidRPr="00331AB4">
        <w:rPr>
          <w:rFonts w:hint="cs"/>
          <w:rtl/>
        </w:rPr>
        <w:t xml:space="preserve"> </w:t>
      </w:r>
      <w:r w:rsidRPr="00331AB4">
        <w:rPr>
          <w:rtl/>
        </w:rPr>
        <w:t xml:space="preserve">היווצרותם של שטחי קרקע נרחבים </w:t>
      </w:r>
      <w:r w:rsidRPr="00331AB4">
        <w:rPr>
          <w:rFonts w:hint="eastAsia"/>
          <w:rtl/>
        </w:rPr>
        <w:t>בגין</w:t>
      </w:r>
      <w:r w:rsidRPr="00331AB4">
        <w:rPr>
          <w:rFonts w:hint="cs"/>
          <w:rtl/>
        </w:rPr>
        <w:t xml:space="preserve"> </w:t>
      </w:r>
      <w:r w:rsidRPr="00331AB4">
        <w:rPr>
          <w:rtl/>
        </w:rPr>
        <w:t xml:space="preserve">ירידת </w:t>
      </w:r>
      <w:r w:rsidRPr="00D805B9" w:rsidR="00D805B9">
        <w:rPr>
          <w:rtl/>
        </w:rPr>
        <w:t xml:space="preserve">המפלס של ים </w:t>
      </w:r>
      <w:r w:rsidRPr="006A29D9" w:rsidR="006A29D9">
        <w:rPr>
          <w:rtl/>
        </w:rPr>
        <w:t>המלח וייתנו את</w:t>
      </w:r>
      <w:r w:rsidR="006A29D9">
        <w:rPr>
          <w:rFonts w:hint="cs"/>
          <w:rtl/>
        </w:rPr>
        <w:t xml:space="preserve"> </w:t>
      </w:r>
      <w:r w:rsidRPr="00331AB4">
        <w:rPr>
          <w:rtl/>
        </w:rPr>
        <w:t>דעתם בנושא במסגרת הזיכיון העתידי.</w:t>
      </w:r>
    </w:p>
    <w:p w:rsidR="006734B0" w:rsidRPr="00331AB4" w:rsidP="00331AB4" w14:paraId="4959E273" w14:textId="77777777">
      <w:pPr>
        <w:pStyle w:val="73414"/>
        <w:rPr>
          <w:rtl/>
        </w:rPr>
      </w:pPr>
      <w:bookmarkStart w:id="42" w:name="_Toc170709958"/>
      <w:bookmarkStart w:id="43" w:name="_Toc171509547"/>
      <w:r w:rsidRPr="00331AB4">
        <w:rPr>
          <w:rFonts w:hint="cs"/>
          <w:rtl/>
        </w:rPr>
        <w:t>אי-</w:t>
      </w:r>
      <w:r w:rsidRPr="00331AB4">
        <w:rPr>
          <w:rFonts w:hint="cs"/>
          <w:rtl/>
        </w:rPr>
        <w:t>אסדרת</w:t>
      </w:r>
      <w:r w:rsidRPr="00331AB4">
        <w:rPr>
          <w:rFonts w:hint="cs"/>
          <w:rtl/>
        </w:rPr>
        <w:t xml:space="preserve"> השימוש בתחנת הכוח החדשה במפעל האשלג</w:t>
      </w:r>
      <w:bookmarkEnd w:id="42"/>
      <w:bookmarkEnd w:id="43"/>
      <w:r w:rsidRPr="00331AB4">
        <w:rPr>
          <w:rFonts w:hint="cs"/>
          <w:rtl/>
        </w:rPr>
        <w:t xml:space="preserve"> והיעדר תשלום בגינו</w:t>
      </w:r>
    </w:p>
    <w:p w:rsidR="006734B0" w:rsidRPr="00331AB4" w:rsidP="00331AB4" w14:paraId="18513F94" w14:textId="4845D4CB">
      <w:pPr>
        <w:pStyle w:val="7392"/>
        <w:rPr>
          <w:rtl/>
        </w:rPr>
      </w:pPr>
      <w:r w:rsidRPr="00331AB4">
        <w:rPr>
          <w:rFonts w:hint="cs"/>
          <w:rtl/>
        </w:rPr>
        <w:t xml:space="preserve">בקרקעות החכורות פועלת תחנת כוח ישנה של </w:t>
      </w:r>
      <w:r w:rsidRPr="00331AB4">
        <w:rPr>
          <w:rFonts w:hint="cs"/>
          <w:rtl/>
        </w:rPr>
        <w:t>מי"ה</w:t>
      </w:r>
      <w:r w:rsidRPr="00331AB4">
        <w:rPr>
          <w:rFonts w:hint="cs"/>
          <w:rtl/>
        </w:rPr>
        <w:t xml:space="preserve"> אשר הוקמה בסוף שנות התשעים</w:t>
      </w:r>
      <w:r w:rsidR="00FE4AA0">
        <w:rPr>
          <w:rFonts w:hint="cs"/>
          <w:rtl/>
        </w:rPr>
        <w:t xml:space="preserve"> של המאה העשרים</w:t>
      </w:r>
      <w:r w:rsidRPr="00331AB4">
        <w:rPr>
          <w:rFonts w:hint="cs"/>
          <w:rtl/>
        </w:rPr>
        <w:t xml:space="preserve">, המבוססת על דיזל, גנרטורים ודודים המוסקים במזוט. בשנת 2013 החלו </w:t>
      </w:r>
      <w:r w:rsidRPr="00331AB4">
        <w:rPr>
          <w:rFonts w:hint="cs"/>
          <w:rtl/>
        </w:rPr>
        <w:t>במי"ה</w:t>
      </w:r>
      <w:r w:rsidRPr="00331AB4">
        <w:rPr>
          <w:rFonts w:hint="cs"/>
          <w:rtl/>
        </w:rPr>
        <w:t xml:space="preserve"> לפעול להקמתה של תחנת כוח חדשה במפעל האשלג הפועלת בשיטת </w:t>
      </w:r>
      <w:r w:rsidRPr="00331AB4">
        <w:rPr>
          <w:rFonts w:hint="cs"/>
          <w:rtl/>
        </w:rPr>
        <w:t>הקוגנרציה</w:t>
      </w:r>
      <w:r>
        <w:rPr>
          <w:rStyle w:val="FootnoteReference1"/>
          <w:rtl/>
        </w:rPr>
        <w:footnoteReference w:id="60"/>
      </w:r>
      <w:r w:rsidRPr="00331AB4">
        <w:rPr>
          <w:rFonts w:hint="cs"/>
          <w:rtl/>
        </w:rPr>
        <w:t xml:space="preserve"> ומייצרת </w:t>
      </w:r>
      <w:r w:rsidRPr="00331AB4">
        <w:rPr>
          <w:rFonts w:hint="cs"/>
          <w:rtl/>
        </w:rPr>
        <w:t>אנרגייה</w:t>
      </w:r>
      <w:r w:rsidRPr="00331AB4">
        <w:rPr>
          <w:rFonts w:hint="cs"/>
          <w:rtl/>
        </w:rPr>
        <w:t xml:space="preserve"> חשמלית </w:t>
      </w:r>
      <w:r w:rsidRPr="00331AB4">
        <w:rPr>
          <w:rFonts w:hint="cs"/>
          <w:rtl/>
        </w:rPr>
        <w:t>ואנרגייה</w:t>
      </w:r>
      <w:r w:rsidRPr="00331AB4">
        <w:rPr>
          <w:rFonts w:hint="cs"/>
          <w:rtl/>
        </w:rPr>
        <w:t xml:space="preserve"> תרמית והמונעת בגז טבעי. שטח התחנה החדשה הוא כ-65 דונם, והיא החלה לפעול בשנת 2018</w:t>
      </w:r>
      <w:r>
        <w:rPr>
          <w:rStyle w:val="FootnoteReference1"/>
          <w:rtl/>
        </w:rPr>
        <w:footnoteReference w:id="61"/>
      </w:r>
      <w:r w:rsidRPr="00331AB4">
        <w:rPr>
          <w:rFonts w:hint="cs"/>
          <w:rtl/>
        </w:rPr>
        <w:t>. להלן תמונת תחנת הכוח החדשה:</w:t>
      </w:r>
    </w:p>
    <w:p w:rsidR="006734B0" w:rsidRPr="00331AB4" w:rsidP="00331AB4" w14:paraId="0000D687" w14:textId="2987D431">
      <w:pPr>
        <w:pStyle w:val="734"/>
        <w:rPr>
          <w:rtl/>
        </w:rPr>
      </w:pPr>
      <w:r w:rsidRPr="00331AB4">
        <w:rPr>
          <w:rFonts w:hint="cs"/>
          <w:b w:val="0"/>
          <w:bCs w:val="0"/>
          <w:rtl/>
        </w:rPr>
        <w:t>תמונה</w:t>
      </w:r>
      <w:r w:rsidR="00D0542F">
        <w:rPr>
          <w:rFonts w:hint="cs"/>
          <w:b w:val="0"/>
          <w:bCs w:val="0"/>
          <w:rtl/>
        </w:rPr>
        <w:t xml:space="preserve"> 13</w:t>
      </w:r>
      <w:r w:rsidRPr="00331AB4">
        <w:rPr>
          <w:rFonts w:hint="cs"/>
          <w:b w:val="0"/>
          <w:bCs w:val="0"/>
          <w:rtl/>
        </w:rPr>
        <w:t>:</w:t>
      </w:r>
      <w:r w:rsidRPr="00331AB4">
        <w:rPr>
          <w:rFonts w:hint="cs"/>
          <w:rtl/>
        </w:rPr>
        <w:t xml:space="preserve"> תחנת הכוח החדשה במפעל האשלג</w:t>
      </w:r>
      <w:r w:rsidRPr="00D805B9" w:rsidR="00D805B9">
        <w:rPr>
          <w:rtl/>
        </w:rPr>
        <w:t>, יוני 2022</w:t>
      </w:r>
    </w:p>
    <w:p w:rsidR="006734B0" w:rsidP="006734B0" w14:paraId="3B32B0A4" w14:textId="77777777">
      <w:pPr>
        <w:spacing w:line="360" w:lineRule="auto"/>
        <w:rPr>
          <w:rtl/>
        </w:rPr>
      </w:pPr>
      <w:r>
        <w:rPr>
          <w:noProof/>
        </w:rPr>
        <w:drawing>
          <wp:inline distT="0" distB="0" distL="0" distR="0">
            <wp:extent cx="4784584" cy="2258893"/>
            <wp:effectExtent l="0" t="0" r="3810" b="1905"/>
            <wp:docPr id="1992319613" name="תמונה 1992319613" descr="תמונה שמכילה שמיים, בחוץ, בנייה, פלדה&#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319613" name="תמונה 1992319613" descr="תמונה שמכילה שמיים, בחוץ, בנייה, פלדה&#10;&#10;תוכן שנוצר על-ידי בינה מלאכותית עשוי להיות שגוי."/>
                    <pic:cNvPicPr>
                      <a:picLocks noChangeAspect="1" noChangeArrowheads="1"/>
                    </pic:cNvPicPr>
                  </pic:nvPicPr>
                  <pic:blipFill>
                    <a:blip xmlns:r="http://schemas.openxmlformats.org/officeDocument/2006/relationships" r:embed="rId54">
                      <a:extLst>
                        <a:ext xmlns:a="http://schemas.openxmlformats.org/drawingml/2006/main" uri="{28A0092B-C50C-407E-A947-70E740481C1C}">
                          <a14:useLocalDpi xmlns:a14="http://schemas.microsoft.com/office/drawing/2010/main" val="0"/>
                        </a:ext>
                      </a:extLst>
                    </a:blip>
                    <a:srcRect r="1837"/>
                    <a:stretch>
                      <a:fillRect/>
                    </a:stretch>
                  </pic:blipFill>
                  <pic:spPr bwMode="auto">
                    <a:xfrm>
                      <a:off x="0" y="0"/>
                      <a:ext cx="4815643" cy="2273557"/>
                    </a:xfrm>
                    <a:prstGeom prst="rect">
                      <a:avLst/>
                    </a:prstGeom>
                    <a:noFill/>
                    <a:ln>
                      <a:noFill/>
                    </a:ln>
                  </pic:spPr>
                </pic:pic>
              </a:graphicData>
            </a:graphic>
          </wp:inline>
        </w:drawing>
      </w:r>
    </w:p>
    <w:p w:rsidR="006734B0" w:rsidP="00331AB4" w14:paraId="22AF54E1" w14:textId="4C6920C2">
      <w:pPr>
        <w:pStyle w:val="738"/>
        <w:rPr>
          <w:rtl/>
        </w:rPr>
      </w:pPr>
      <w:r>
        <w:rPr>
          <w:rFonts w:hint="cs"/>
          <w:rtl/>
        </w:rPr>
        <w:t xml:space="preserve">המקור: </w:t>
      </w:r>
      <w:r>
        <w:rPr>
          <w:rFonts w:hint="cs"/>
          <w:rtl/>
        </w:rPr>
        <w:t>רמ"י</w:t>
      </w:r>
      <w:r>
        <w:rPr>
          <w:rFonts w:hint="cs"/>
          <w:rtl/>
        </w:rPr>
        <w:t xml:space="preserve">. </w:t>
      </w:r>
    </w:p>
    <w:p w:rsidR="006734B0" w:rsidRPr="00331AB4" w:rsidP="00331AB4" w14:paraId="3B580013" w14:textId="77777777">
      <w:pPr>
        <w:pStyle w:val="7392"/>
        <w:rPr>
          <w:rtl/>
        </w:rPr>
      </w:pPr>
      <w:r w:rsidRPr="00331AB4">
        <w:rPr>
          <w:rFonts w:hint="cs"/>
          <w:rtl/>
        </w:rPr>
        <w:t xml:space="preserve">כאמור, סעיף 6(ד) לחוק הזיכיון קובע כי בעל הזיכיון ישתמש בקרקעות החכורות אך ורק לצורכי המפעל. בהתאם, שיעור דמי החכירה </w:t>
      </w:r>
      <w:r w:rsidRPr="00331AB4">
        <w:rPr>
          <w:rFonts w:hint="cs"/>
          <w:rtl/>
        </w:rPr>
        <w:t>שרמ"י</w:t>
      </w:r>
      <w:r w:rsidRPr="00331AB4">
        <w:rPr>
          <w:rFonts w:hint="cs"/>
          <w:rtl/>
        </w:rPr>
        <w:t xml:space="preserve"> גובה </w:t>
      </w:r>
      <w:r w:rsidRPr="00331AB4">
        <w:rPr>
          <w:rFonts w:hint="cs"/>
          <w:rtl/>
        </w:rPr>
        <w:t>ממי"ה</w:t>
      </w:r>
      <w:r w:rsidRPr="00331AB4">
        <w:rPr>
          <w:rFonts w:hint="cs"/>
          <w:rtl/>
        </w:rPr>
        <w:t xml:space="preserve"> משקף את שווי השימוש בקרקע לצורך המפעל בלבד, ללא רכיב מסחרי נלווה.</w:t>
      </w:r>
    </w:p>
    <w:p w:rsidR="006734B0" w:rsidP="00331AB4" w14:paraId="3A07A58E" w14:textId="0A16D229">
      <w:pPr>
        <w:pStyle w:val="7392"/>
        <w:rPr>
          <w:rtl/>
        </w:rPr>
      </w:pPr>
      <w:r>
        <w:rPr>
          <w:rFonts w:hint="cs"/>
          <w:rtl/>
        </w:rPr>
        <w:t>רמ"י</w:t>
      </w:r>
      <w:r>
        <w:rPr>
          <w:rFonts w:hint="cs"/>
          <w:rtl/>
        </w:rPr>
        <w:t xml:space="preserve">, כרשות המנהלת את מקרקעי ישראל, נדרשת כאמור לתת את הסכמתה על בקשות להיתר בנייה במקרקעי ישראל. במסגרת בחינת הבקשה להיתר הבנייה לתחנת הכוח, </w:t>
      </w:r>
      <w:r>
        <w:rPr>
          <w:rFonts w:hint="cs"/>
          <w:rtl/>
        </w:rPr>
        <w:t>רמ"י</w:t>
      </w:r>
      <w:r>
        <w:rPr>
          <w:rFonts w:hint="cs"/>
          <w:rtl/>
        </w:rPr>
        <w:t xml:space="preserve"> ביצעה בירור מול </w:t>
      </w:r>
      <w:r>
        <w:rPr>
          <w:rFonts w:hint="cs"/>
          <w:rtl/>
        </w:rPr>
        <w:t>מי"ה</w:t>
      </w:r>
      <w:r>
        <w:rPr>
          <w:rFonts w:hint="cs"/>
          <w:rtl/>
        </w:rPr>
        <w:t xml:space="preserve"> לגבי השימוש המיועד לחשמל שעתיד להיות מופק בתחנה. במסגרת הבירור </w:t>
      </w:r>
      <w:r w:rsidRPr="00E01FBE">
        <w:rPr>
          <w:rFonts w:hint="cs"/>
          <w:rtl/>
        </w:rPr>
        <w:t>מי"ה</w:t>
      </w:r>
      <w:r w:rsidRPr="00E01FBE">
        <w:rPr>
          <w:rFonts w:hint="cs"/>
          <w:rtl/>
        </w:rPr>
        <w:t xml:space="preserve"> ציינה</w:t>
      </w:r>
      <w:r>
        <w:rPr>
          <w:rFonts w:hint="cs"/>
          <w:rtl/>
        </w:rPr>
        <w:t xml:space="preserve"> כי "מהמועד בו תחל התחנה החדשה לפעול (בסוף שנת 2015 תחילת שנת 2016) תצומצם התפוקה של התחנה הקיימת לכ-25 </w:t>
      </w:r>
      <w:r>
        <w:t>MW</w:t>
      </w:r>
      <w:r>
        <w:rPr>
          <w:rFonts w:hint="cs"/>
          <w:rtl/>
        </w:rPr>
        <w:t xml:space="preserve"> והיא תשמש בעיקרה כתחנת גיבוי. התפוקה המצטברת של שתי התחנות תהיה אפוא 245 </w:t>
      </w:r>
      <w:r>
        <w:t>MW</w:t>
      </w:r>
      <w:r>
        <w:rPr>
          <w:rFonts w:hint="cs"/>
          <w:rtl/>
        </w:rPr>
        <w:t>... צריכת החשמל המיועדת למפעל בסדום לשנת 201</w:t>
      </w:r>
      <w:r w:rsidR="006A29D9">
        <w:rPr>
          <w:rFonts w:hint="cs"/>
          <w:rtl/>
        </w:rPr>
        <w:t>6</w:t>
      </w:r>
      <w:r>
        <w:rPr>
          <w:rFonts w:hint="cs"/>
          <w:rtl/>
        </w:rPr>
        <w:t>-201</w:t>
      </w:r>
      <w:r w:rsidR="006A29D9">
        <w:rPr>
          <w:rFonts w:hint="cs"/>
          <w:rtl/>
        </w:rPr>
        <w:t>5</w:t>
      </w:r>
      <w:r>
        <w:rPr>
          <w:rFonts w:hint="cs"/>
          <w:rtl/>
        </w:rPr>
        <w:t xml:space="preserve"> הינה כ-215 </w:t>
      </w:r>
      <w:r>
        <w:t>MW</w:t>
      </w:r>
      <w:r>
        <w:rPr>
          <w:rFonts w:hint="cs"/>
          <w:rtl/>
        </w:rPr>
        <w:t xml:space="preserve">. צריכה זו תלך ותעלה בהדרגה לכ-280 </w:t>
      </w:r>
      <w:r>
        <w:t>MW</w:t>
      </w:r>
      <w:r>
        <w:rPr>
          <w:rFonts w:hint="cs"/>
          <w:rtl/>
        </w:rPr>
        <w:t xml:space="preserve"> בעשר השנים הקרובות כאשר כבר ב-2019, בעקבות כניסת פרויקט קציר</w:t>
      </w:r>
      <w:r w:rsidR="00FE4AA0">
        <w:rPr>
          <w:rFonts w:hint="cs"/>
          <w:rtl/>
        </w:rPr>
        <w:t xml:space="preserve"> המלח</w:t>
      </w:r>
      <w:r>
        <w:rPr>
          <w:rFonts w:hint="cs"/>
          <w:rtl/>
        </w:rPr>
        <w:t xml:space="preserve"> (כפי שנקבע בהחלטת הממשלה 4060 מיום 1.1.12), צריכת החשמל צפויה להיות גבוהה מ-250 </w:t>
      </w:r>
      <w:r>
        <w:t>MW</w:t>
      </w:r>
      <w:r>
        <w:rPr>
          <w:rFonts w:hint="cs"/>
          <w:rtl/>
        </w:rPr>
        <w:t xml:space="preserve">... ככל שייוצרו חוסרים (והצפי הוא שיהיו כאלה), יירכש החשמל מחברת החשמל... נבקשכם לא להשהות את החתימה וזאת במטרה לצמצם נזקים כבדים הנגרמים בעקבות העיכוב." בעקבות הבהרה זו נתנה </w:t>
      </w:r>
      <w:r>
        <w:rPr>
          <w:rFonts w:hint="cs"/>
          <w:rtl/>
        </w:rPr>
        <w:t>רמ"י</w:t>
      </w:r>
      <w:r>
        <w:rPr>
          <w:rFonts w:hint="cs"/>
          <w:rtl/>
        </w:rPr>
        <w:t xml:space="preserve"> את הסכמתה להיתר הבנייה המבוקש לתחנת הכוח החדשה. </w:t>
      </w:r>
    </w:p>
    <w:p w:rsidR="006734B0" w:rsidP="00331AB4" w14:paraId="52670B75" w14:textId="77777777">
      <w:pPr>
        <w:pStyle w:val="7392"/>
        <w:rPr>
          <w:rtl/>
        </w:rPr>
      </w:pPr>
      <w:r>
        <w:rPr>
          <w:rFonts w:hint="cs"/>
          <w:rtl/>
        </w:rPr>
        <w:t xml:space="preserve">בשנת 2014 הובא לידיעת </w:t>
      </w:r>
      <w:r>
        <w:rPr>
          <w:rFonts w:hint="cs"/>
          <w:rtl/>
        </w:rPr>
        <w:t>רמ"י</w:t>
      </w:r>
      <w:r>
        <w:rPr>
          <w:rFonts w:hint="cs"/>
          <w:rtl/>
        </w:rPr>
        <w:t xml:space="preserve"> כי </w:t>
      </w:r>
      <w:r>
        <w:rPr>
          <w:rFonts w:hint="cs"/>
          <w:rtl/>
        </w:rPr>
        <w:t>מי"ה</w:t>
      </w:r>
      <w:r>
        <w:rPr>
          <w:rFonts w:hint="cs"/>
          <w:rtl/>
        </w:rPr>
        <w:t xml:space="preserve"> בוחנת אפשרות למכירת חלק מכמות החשמל שעתידה להיות מופקת בתחנת הכוח החדשה. ביוני 2014 שלחה </w:t>
      </w:r>
      <w:r>
        <w:rPr>
          <w:rFonts w:hint="cs"/>
          <w:rtl/>
        </w:rPr>
        <w:t>רמ"י</w:t>
      </w:r>
      <w:r>
        <w:rPr>
          <w:rFonts w:hint="cs"/>
          <w:rtl/>
        </w:rPr>
        <w:t xml:space="preserve"> מכתב </w:t>
      </w:r>
      <w:r>
        <w:rPr>
          <w:rFonts w:hint="cs"/>
          <w:rtl/>
        </w:rPr>
        <w:t>למי"ה</w:t>
      </w:r>
      <w:r>
        <w:rPr>
          <w:rFonts w:hint="cs"/>
          <w:rtl/>
        </w:rPr>
        <w:t xml:space="preserve"> ובו ציינה כי הבקשה להיתר לתחנת הכוח נחתמה בידי </w:t>
      </w:r>
      <w:r>
        <w:rPr>
          <w:rFonts w:hint="cs"/>
          <w:rtl/>
        </w:rPr>
        <w:t>רמ"י</w:t>
      </w:r>
      <w:r>
        <w:rPr>
          <w:rFonts w:hint="cs"/>
          <w:rtl/>
        </w:rPr>
        <w:t xml:space="preserve"> רק לאחר הבהרות מצד </w:t>
      </w:r>
      <w:r>
        <w:rPr>
          <w:rFonts w:hint="cs"/>
          <w:rtl/>
        </w:rPr>
        <w:t>מי"ה</w:t>
      </w:r>
      <w:r>
        <w:rPr>
          <w:rFonts w:hint="cs"/>
          <w:rtl/>
        </w:rPr>
        <w:t xml:space="preserve"> כי תחנת הכוח תשמש אך ורק לצורכי המפעל, וכי אין לחברה הסכמים למכירת החשמל עם חברת החשמל. עוד ציינה </w:t>
      </w:r>
      <w:r>
        <w:rPr>
          <w:rFonts w:hint="cs"/>
          <w:rtl/>
        </w:rPr>
        <w:t>רמ"י</w:t>
      </w:r>
      <w:r>
        <w:rPr>
          <w:rFonts w:hint="cs"/>
          <w:rtl/>
        </w:rPr>
        <w:t xml:space="preserve"> במכתב כי "</w:t>
      </w:r>
      <w:r>
        <w:rPr>
          <w:rFonts w:hint="cs"/>
          <w:b/>
          <w:bCs/>
          <w:rtl/>
        </w:rPr>
        <w:t xml:space="preserve">כל שימוש בתחנת </w:t>
      </w:r>
      <w:r>
        <w:rPr>
          <w:rFonts w:hint="cs"/>
          <w:b/>
          <w:bCs/>
          <w:rtl/>
        </w:rPr>
        <w:t>הכח</w:t>
      </w:r>
      <w:r>
        <w:rPr>
          <w:rFonts w:hint="cs"/>
          <w:b/>
          <w:bCs/>
          <w:rtl/>
        </w:rPr>
        <w:t xml:space="preserve"> החדשה אשר אין בו כדי לשמש את צרכי המפעל מהווה סטייה והפרה של תנאי </w:t>
      </w:r>
      <w:r>
        <w:rPr>
          <w:rFonts w:hint="cs"/>
          <w:b/>
          <w:bCs/>
          <w:rtl/>
        </w:rPr>
        <w:t>הזכיון</w:t>
      </w:r>
      <w:r>
        <w:rPr>
          <w:rFonts w:hint="cs"/>
          <w:rtl/>
        </w:rPr>
        <w:t xml:space="preserve">" (ההדגשה לא במקור). </w:t>
      </w:r>
    </w:p>
    <w:p w:rsidR="006734B0" w:rsidP="00331AB4" w14:paraId="562F5D4C" w14:textId="6D8B9A51">
      <w:pPr>
        <w:pStyle w:val="7392"/>
        <w:rPr>
          <w:rtl/>
        </w:rPr>
      </w:pPr>
      <w:r>
        <w:rPr>
          <w:rFonts w:hint="cs"/>
          <w:rtl/>
        </w:rPr>
        <w:t xml:space="preserve">במכתב מיולי 2014 ציינה </w:t>
      </w:r>
      <w:r>
        <w:rPr>
          <w:rFonts w:hint="cs"/>
          <w:rtl/>
        </w:rPr>
        <w:t>מי"ה</w:t>
      </w:r>
      <w:r>
        <w:rPr>
          <w:rFonts w:hint="cs"/>
          <w:rtl/>
        </w:rPr>
        <w:t xml:space="preserve"> כי החשמל המיוצר בתחנה ייצרך באופן הדרגתי על ידה, </w:t>
      </w:r>
      <w:r w:rsidR="00FE4AA0">
        <w:rPr>
          <w:rFonts w:hint="cs"/>
          <w:rtl/>
        </w:rPr>
        <w:t xml:space="preserve">ועד אז </w:t>
      </w:r>
      <w:r>
        <w:rPr>
          <w:rFonts w:hint="cs"/>
          <w:rtl/>
        </w:rPr>
        <w:t xml:space="preserve">עודפי החשמל המיוצרים יועברו למפעלים אחרים בקונצרן ולחברת החשמל. במענה למכתב זה השיבה </w:t>
      </w:r>
      <w:r>
        <w:rPr>
          <w:rFonts w:hint="cs"/>
          <w:rtl/>
        </w:rPr>
        <w:t>רמ"י</w:t>
      </w:r>
      <w:r>
        <w:rPr>
          <w:rFonts w:hint="cs"/>
          <w:rtl/>
        </w:rPr>
        <w:t xml:space="preserve"> </w:t>
      </w:r>
      <w:r w:rsidRPr="004B2A1C" w:rsidR="004B2A1C">
        <w:rPr>
          <w:rtl/>
        </w:rPr>
        <w:t>למי"ה</w:t>
      </w:r>
      <w:r w:rsidR="004B2A1C">
        <w:rPr>
          <w:rFonts w:hint="cs"/>
          <w:rtl/>
        </w:rPr>
        <w:t xml:space="preserve"> </w:t>
      </w:r>
      <w:r>
        <w:rPr>
          <w:rFonts w:hint="cs"/>
          <w:rtl/>
        </w:rPr>
        <w:t xml:space="preserve">כי "חתימת </w:t>
      </w:r>
      <w:r>
        <w:rPr>
          <w:rFonts w:hint="cs"/>
          <w:rtl/>
        </w:rPr>
        <w:t>רמ"י</w:t>
      </w:r>
      <w:r>
        <w:rPr>
          <w:rFonts w:hint="cs"/>
          <w:rtl/>
        </w:rPr>
        <w:t xml:space="preserve"> על ההיתר לתחנת </w:t>
      </w:r>
      <w:r>
        <w:rPr>
          <w:rFonts w:hint="cs"/>
          <w:rtl/>
        </w:rPr>
        <w:t>הכח</w:t>
      </w:r>
      <w:r>
        <w:rPr>
          <w:rFonts w:hint="cs"/>
          <w:rtl/>
        </w:rPr>
        <w:t xml:space="preserve"> החדשה התבססה על מכתבכם מיום 23.10.13 בו הינכם מצהירים בפירוש כי אין </w:t>
      </w:r>
      <w:r>
        <w:rPr>
          <w:rFonts w:hint="cs"/>
          <w:rtl/>
        </w:rPr>
        <w:t>למי"ה</w:t>
      </w:r>
      <w:r>
        <w:rPr>
          <w:rFonts w:hint="cs"/>
          <w:rtl/>
        </w:rPr>
        <w:t xml:space="preserve"> הסכמים עם רשות החשמל למכור חשמל לרשת. עפ"י נהלי </w:t>
      </w:r>
      <w:r>
        <w:rPr>
          <w:rFonts w:hint="cs"/>
          <w:rtl/>
        </w:rPr>
        <w:t>רמ"י</w:t>
      </w:r>
      <w:r>
        <w:rPr>
          <w:rFonts w:hint="cs"/>
          <w:rtl/>
        </w:rPr>
        <w:t xml:space="preserve"> </w:t>
      </w:r>
      <w:r>
        <w:rPr>
          <w:rFonts w:hint="cs"/>
          <w:rtl/>
        </w:rPr>
        <w:t>וחוו"ד</w:t>
      </w:r>
      <w:r>
        <w:rPr>
          <w:rFonts w:hint="cs"/>
          <w:rtl/>
        </w:rPr>
        <w:t xml:space="preserve"> משפטית שהתקבלה, ככל שברצונכם למכור את ייתרת החשמל אשר תיוצר </w:t>
      </w:r>
      <w:r>
        <w:rPr>
          <w:rFonts w:hint="cs"/>
          <w:rtl/>
        </w:rPr>
        <w:t>במי"ה</w:t>
      </w:r>
      <w:r>
        <w:rPr>
          <w:rFonts w:hint="cs"/>
          <w:rtl/>
        </w:rPr>
        <w:t xml:space="preserve">, לרשות החשמל או להעבירו לכל גוף אחר, יהיה עליכם לבצע </w:t>
      </w:r>
      <w:r>
        <w:rPr>
          <w:rFonts w:hint="cs"/>
          <w:rtl/>
        </w:rPr>
        <w:t>עיסקה</w:t>
      </w:r>
      <w:r>
        <w:rPr>
          <w:rFonts w:hint="cs"/>
          <w:rtl/>
        </w:rPr>
        <w:t xml:space="preserve"> [ולשלם עבור השימוש הנוסף] על פי נהלי </w:t>
      </w:r>
      <w:r>
        <w:rPr>
          <w:rFonts w:hint="cs"/>
          <w:rtl/>
        </w:rPr>
        <w:t>רמ"י</w:t>
      </w:r>
      <w:r>
        <w:rPr>
          <w:rFonts w:hint="cs"/>
          <w:rtl/>
        </w:rPr>
        <w:t xml:space="preserve">, גם אם מדובר בזמן מוגבל...". </w:t>
      </w:r>
    </w:p>
    <w:p w:rsidR="006734B0" w:rsidP="00331AB4" w14:paraId="721B059F" w14:textId="0AF46276">
      <w:pPr>
        <w:pStyle w:val="7392"/>
        <w:rPr>
          <w:rtl/>
        </w:rPr>
      </w:pPr>
      <w:r>
        <w:rPr>
          <w:rFonts w:hint="cs"/>
          <w:rtl/>
        </w:rPr>
        <w:t xml:space="preserve">לצורך קבלת רישיון חשמל מרשות החשמל פנתה </w:t>
      </w:r>
      <w:r>
        <w:rPr>
          <w:rFonts w:hint="cs"/>
          <w:rtl/>
        </w:rPr>
        <w:t>מי"ה</w:t>
      </w:r>
      <w:r>
        <w:rPr>
          <w:rFonts w:hint="cs"/>
          <w:rtl/>
        </w:rPr>
        <w:t xml:space="preserve"> אל </w:t>
      </w:r>
      <w:r>
        <w:rPr>
          <w:rFonts w:hint="cs"/>
          <w:rtl/>
        </w:rPr>
        <w:t>רמ"י</w:t>
      </w:r>
      <w:r>
        <w:rPr>
          <w:rFonts w:hint="cs"/>
          <w:rtl/>
        </w:rPr>
        <w:t xml:space="preserve"> כדי שיצוין במסמך כתוב כי אין לה התנגדות עקרונית להקמת מתקן ייצור חשמל בקרקעות סדום כמבוקש. כדי לקבל מכתב בדבר אי-התנגדות </w:t>
      </w:r>
      <w:r>
        <w:rPr>
          <w:rFonts w:hint="cs"/>
          <w:rtl/>
        </w:rPr>
        <w:t>רמ"י</w:t>
      </w:r>
      <w:r>
        <w:rPr>
          <w:rFonts w:hint="cs"/>
          <w:rtl/>
        </w:rPr>
        <w:t xml:space="preserve"> להקמת המתקן, העבירה </w:t>
      </w:r>
      <w:r>
        <w:rPr>
          <w:rFonts w:hint="cs"/>
          <w:rtl/>
        </w:rPr>
        <w:t>מי"ה</w:t>
      </w:r>
      <w:r>
        <w:rPr>
          <w:rFonts w:hint="cs"/>
          <w:rtl/>
        </w:rPr>
        <w:t xml:space="preserve"> </w:t>
      </w:r>
      <w:r>
        <w:rPr>
          <w:rFonts w:hint="cs"/>
          <w:rtl/>
        </w:rPr>
        <w:t>לרמ"י</w:t>
      </w:r>
      <w:r>
        <w:rPr>
          <w:rFonts w:hint="cs"/>
          <w:rtl/>
        </w:rPr>
        <w:t xml:space="preserve"> ביולי 2014 מכתב שבו היא מציינת כי "רשמנו לפנינו כי אתם </w:t>
      </w:r>
      <w:r>
        <w:rPr>
          <w:rFonts w:hint="cs"/>
          <w:rtl/>
        </w:rPr>
        <w:t>התנתם</w:t>
      </w:r>
      <w:r>
        <w:rPr>
          <w:rFonts w:hint="cs"/>
          <w:rtl/>
        </w:rPr>
        <w:t xml:space="preserve"> את חתימתכם על בקשות להיתרים בהקשר של תחנת </w:t>
      </w:r>
      <w:r>
        <w:rPr>
          <w:rFonts w:hint="cs"/>
          <w:rtl/>
        </w:rPr>
        <w:t>הכח</w:t>
      </w:r>
      <w:r>
        <w:rPr>
          <w:rFonts w:hint="cs"/>
          <w:rtl/>
        </w:rPr>
        <w:t xml:space="preserve"> האמורה ב: (א) ביצוע עסקה על פי נהלי </w:t>
      </w:r>
      <w:r>
        <w:rPr>
          <w:rFonts w:hint="cs"/>
          <w:rtl/>
        </w:rPr>
        <w:t>רמ"י</w:t>
      </w:r>
      <w:r>
        <w:rPr>
          <w:rFonts w:hint="cs"/>
          <w:rtl/>
        </w:rPr>
        <w:t xml:space="preserve">; </w:t>
      </w:r>
      <w:r>
        <w:rPr>
          <w:rFonts w:hint="cs"/>
          <w:b/>
          <w:bCs/>
          <w:rtl/>
        </w:rPr>
        <w:t>או</w:t>
      </w:r>
      <w:r>
        <w:rPr>
          <w:rFonts w:hint="cs"/>
          <w:rtl/>
        </w:rPr>
        <w:t xml:space="preserve"> (ב) התחייבות שלנו כי בחשמל שייוצר בתחנת </w:t>
      </w:r>
      <w:r>
        <w:rPr>
          <w:rFonts w:hint="cs"/>
          <w:rtl/>
        </w:rPr>
        <w:t>הכח</w:t>
      </w:r>
      <w:r>
        <w:rPr>
          <w:rFonts w:hint="cs"/>
          <w:rtl/>
        </w:rPr>
        <w:t xml:space="preserve"> הנ"ל ייעשה שימוש אך ורק לצרכי</w:t>
      </w:r>
      <w:r>
        <w:rPr>
          <w:rFonts w:hint="cs"/>
          <w:b/>
          <w:bCs/>
          <w:rtl/>
        </w:rPr>
        <w:t xml:space="preserve"> המפעל נשוא </w:t>
      </w:r>
      <w:r>
        <w:rPr>
          <w:rFonts w:hint="cs"/>
          <w:b/>
          <w:bCs/>
          <w:rtl/>
        </w:rPr>
        <w:t>הזכיון</w:t>
      </w:r>
      <w:r>
        <w:rPr>
          <w:rFonts w:hint="cs"/>
          <w:b/>
          <w:bCs/>
          <w:rtl/>
        </w:rPr>
        <w:t xml:space="preserve"> שלנו</w:t>
      </w:r>
      <w:r>
        <w:rPr>
          <w:rFonts w:hint="cs"/>
          <w:rtl/>
        </w:rPr>
        <w:t xml:space="preserve"> (ההדגשה לא במקור)... בעקבות דרישתכם, מתחייבים כלפיכם כדלקמן: בחשמל שייוצר בתחנת </w:t>
      </w:r>
      <w:r>
        <w:rPr>
          <w:rFonts w:hint="cs"/>
          <w:rtl/>
        </w:rPr>
        <w:t>הכח</w:t>
      </w:r>
      <w:r>
        <w:rPr>
          <w:rFonts w:hint="cs"/>
          <w:rtl/>
        </w:rPr>
        <w:t xml:space="preserve"> החדשה ייעשה שימוש לצרכי המפעל בלבד ולא יימכר חשמל ו/או ייחתם הסכם למכירת חשמל עם </w:t>
      </w:r>
      <w:r>
        <w:rPr>
          <w:rFonts w:hint="cs"/>
          <w:rtl/>
        </w:rPr>
        <w:t>חח"י</w:t>
      </w:r>
      <w:r>
        <w:rPr>
          <w:rFonts w:hint="cs"/>
          <w:rtl/>
        </w:rPr>
        <w:t xml:space="preserve"> או גורם אחר, אלא אם: (א) תבוצע 'עסקה' לרבות תשלום, לפי נוהלי </w:t>
      </w:r>
      <w:r>
        <w:rPr>
          <w:rFonts w:hint="cs"/>
          <w:rtl/>
        </w:rPr>
        <w:t>רמ"י</w:t>
      </w:r>
      <w:r>
        <w:rPr>
          <w:rFonts w:hint="cs"/>
          <w:rtl/>
        </w:rPr>
        <w:t xml:space="preserve">; או (ב) תסכימו אחרת; או (ג) תהיה החלטה </w:t>
      </w:r>
      <w:r>
        <w:rPr>
          <w:rFonts w:hint="cs"/>
          <w:rtl/>
        </w:rPr>
        <w:t>מינהלית</w:t>
      </w:r>
      <w:r>
        <w:rPr>
          <w:rFonts w:hint="cs"/>
          <w:rtl/>
        </w:rPr>
        <w:t xml:space="preserve"> או שיפוטית המתירה שימוש שלא לצרכי המפעל ללא צורך בתשלום </w:t>
      </w:r>
      <w:r>
        <w:rPr>
          <w:rFonts w:hint="cs"/>
          <w:rtl/>
        </w:rPr>
        <w:t>לרמ"י</w:t>
      </w:r>
      <w:r w:rsidR="006A29D9">
        <w:rPr>
          <w:rFonts w:hint="cs"/>
          <w:rtl/>
        </w:rPr>
        <w:t>"</w:t>
      </w:r>
      <w:r>
        <w:rPr>
          <w:rFonts w:hint="cs"/>
          <w:rtl/>
        </w:rPr>
        <w:t>.</w:t>
      </w:r>
      <w:r w:rsidR="006A29D9">
        <w:rPr>
          <w:rFonts w:hint="cs"/>
          <w:rtl/>
        </w:rPr>
        <w:t xml:space="preserve"> </w:t>
      </w:r>
      <w:r>
        <w:rPr>
          <w:rFonts w:hint="cs"/>
          <w:rtl/>
        </w:rPr>
        <w:t xml:space="preserve">בעקבות התחייבות זו שלחה </w:t>
      </w:r>
      <w:r>
        <w:rPr>
          <w:rFonts w:hint="cs"/>
          <w:rtl/>
        </w:rPr>
        <w:t>רמ"י</w:t>
      </w:r>
      <w:r>
        <w:rPr>
          <w:rFonts w:hint="cs"/>
          <w:rtl/>
        </w:rPr>
        <w:t xml:space="preserve"> בנובמבר 2014 מכתב לרשות החשמל, ולפיו "בכפוף לביצוע ואישור עסקה על פי נהלי </w:t>
      </w:r>
      <w:r>
        <w:rPr>
          <w:rFonts w:hint="cs"/>
          <w:rtl/>
        </w:rPr>
        <w:t>רמ"י</w:t>
      </w:r>
      <w:r>
        <w:rPr>
          <w:rFonts w:hint="cs"/>
          <w:rtl/>
        </w:rPr>
        <w:t xml:space="preserve"> ולדין ובכפוף לתשלום כל התשלומים הנדרשים, </w:t>
      </w:r>
      <w:r>
        <w:rPr>
          <w:rFonts w:hint="cs"/>
          <w:rtl/>
        </w:rPr>
        <w:t xml:space="preserve">לא תהיה התנגדות עקרונית מצד </w:t>
      </w:r>
      <w:r>
        <w:rPr>
          <w:rFonts w:hint="cs"/>
          <w:rtl/>
        </w:rPr>
        <w:t>רמ"י</w:t>
      </w:r>
      <w:r>
        <w:rPr>
          <w:rFonts w:hint="cs"/>
          <w:rtl/>
        </w:rPr>
        <w:t xml:space="preserve"> כי מפעלי ים המלח יקימו מתקן לייצור חשמל בקרקעות החכורות בסדום...". </w:t>
      </w:r>
    </w:p>
    <w:p w:rsidR="006734B0" w:rsidRPr="00331AB4" w:rsidP="00331AB4" w14:paraId="11B39CE0" w14:textId="53BC1390">
      <w:pPr>
        <w:pStyle w:val="7392"/>
        <w:rPr>
          <w:rtl/>
        </w:rPr>
      </w:pPr>
      <w:r w:rsidRPr="00331AB4">
        <w:rPr>
          <w:rFonts w:hint="cs"/>
          <w:rtl/>
        </w:rPr>
        <w:t xml:space="preserve">הועלה כי בנובמבר 2014 פנתה </w:t>
      </w:r>
      <w:r w:rsidRPr="00331AB4">
        <w:rPr>
          <w:rFonts w:hint="cs"/>
          <w:rtl/>
        </w:rPr>
        <w:t>מי"ה</w:t>
      </w:r>
      <w:r w:rsidRPr="00331AB4">
        <w:rPr>
          <w:rFonts w:hint="cs"/>
          <w:rtl/>
        </w:rPr>
        <w:t xml:space="preserve"> </w:t>
      </w:r>
      <w:r w:rsidRPr="00331AB4">
        <w:rPr>
          <w:rFonts w:hint="cs"/>
          <w:rtl/>
        </w:rPr>
        <w:t>לרמ"י</w:t>
      </w:r>
      <w:r w:rsidRPr="00331AB4">
        <w:rPr>
          <w:rFonts w:hint="cs"/>
          <w:rtl/>
        </w:rPr>
        <w:t xml:space="preserve"> בבקשה לבדוק את האפשרות להסדיר את התשלום על תחנת הכוח החדשה. בעקבות זאת החלה </w:t>
      </w:r>
      <w:r w:rsidRPr="00331AB4">
        <w:rPr>
          <w:rFonts w:hint="cs"/>
          <w:rtl/>
        </w:rPr>
        <w:t>רמ"י</w:t>
      </w:r>
      <w:r w:rsidRPr="00331AB4">
        <w:rPr>
          <w:rFonts w:hint="cs"/>
          <w:rtl/>
        </w:rPr>
        <w:t xml:space="preserve"> להכין שומה. במסגרת זאת העבירה </w:t>
      </w:r>
      <w:r w:rsidRPr="00331AB4">
        <w:rPr>
          <w:rFonts w:hint="cs"/>
          <w:rtl/>
        </w:rPr>
        <w:t>מי"ה</w:t>
      </w:r>
      <w:r w:rsidRPr="00331AB4">
        <w:rPr>
          <w:rFonts w:hint="cs"/>
          <w:rtl/>
        </w:rPr>
        <w:t xml:space="preserve"> </w:t>
      </w:r>
      <w:r w:rsidRPr="00331AB4">
        <w:rPr>
          <w:rFonts w:hint="cs"/>
          <w:rtl/>
        </w:rPr>
        <w:t>לרמ"י</w:t>
      </w:r>
      <w:r w:rsidRPr="00331AB4">
        <w:rPr>
          <w:rFonts w:hint="cs"/>
          <w:rtl/>
        </w:rPr>
        <w:t xml:space="preserve"> נתונים לגבי היקפי המכירה של החשמל שהיא מבצעת לרשת החשמל וכן למפעלים אחרים בקונצרן הממוקמים במישור רותם, מחוץ לשטח הזיכיון. לאור זאת, </w:t>
      </w:r>
      <w:r w:rsidRPr="00331AB4">
        <w:rPr>
          <w:rFonts w:hint="cs"/>
          <w:rtl/>
        </w:rPr>
        <w:t>רמ"י</w:t>
      </w:r>
      <w:r w:rsidRPr="00331AB4">
        <w:rPr>
          <w:rFonts w:hint="cs"/>
          <w:rtl/>
        </w:rPr>
        <w:t xml:space="preserve"> החלה לנהל דין ודברים עם </w:t>
      </w:r>
      <w:r w:rsidRPr="004B2A1C" w:rsidR="004B2A1C">
        <w:rPr>
          <w:rtl/>
        </w:rPr>
        <w:t>מי"ה</w:t>
      </w:r>
      <w:r w:rsidR="004B2A1C">
        <w:rPr>
          <w:rFonts w:hint="cs"/>
          <w:rtl/>
        </w:rPr>
        <w:t xml:space="preserve"> </w:t>
      </w:r>
      <w:r w:rsidRPr="00331AB4">
        <w:rPr>
          <w:rFonts w:hint="cs"/>
          <w:rtl/>
        </w:rPr>
        <w:t xml:space="preserve">בנוגע לאופן שבו נכון לחשב את השומה עבור תחנת הכוח ובפרט לגבי השאלה אם העברת החשמל למפעלים אחרים בקונצרן הממוקמים מחוץ לתחום הזיכיון נחשבת ייצור חשמל ל"ייצור עצמי". </w:t>
      </w:r>
    </w:p>
    <w:p w:rsidR="006734B0" w:rsidP="00331AB4" w14:paraId="3295F772" w14:textId="47822E2C">
      <w:pPr>
        <w:pStyle w:val="7392"/>
        <w:rPr>
          <w:rtl/>
        </w:rPr>
      </w:pPr>
      <w:r>
        <w:rPr>
          <w:rFonts w:hint="cs"/>
          <w:rtl/>
        </w:rPr>
        <w:t xml:space="preserve">עמדת </w:t>
      </w:r>
      <w:r>
        <w:rPr>
          <w:rFonts w:hint="cs"/>
          <w:rtl/>
        </w:rPr>
        <w:t>רמ"י</w:t>
      </w:r>
      <w:r>
        <w:rPr>
          <w:rFonts w:hint="cs"/>
          <w:rtl/>
        </w:rPr>
        <w:t>, כפי שבאה לידי ביטוי ב</w:t>
      </w:r>
      <w:r w:rsidRPr="00DF72DE">
        <w:rPr>
          <w:rFonts w:hint="cs"/>
          <w:rtl/>
        </w:rPr>
        <w:t>טיוטת השומה</w:t>
      </w:r>
      <w:r>
        <w:rPr>
          <w:rFonts w:hint="cs"/>
          <w:rtl/>
        </w:rPr>
        <w:t xml:space="preserve"> האחרונה שהיא ערכה </w:t>
      </w:r>
      <w:r w:rsidRPr="004B2A1C" w:rsidR="004B2A1C">
        <w:rPr>
          <w:rtl/>
        </w:rPr>
        <w:t>ביוני</w:t>
      </w:r>
      <w:r w:rsidR="004B2A1C">
        <w:rPr>
          <w:rFonts w:hint="cs"/>
          <w:rtl/>
        </w:rPr>
        <w:t xml:space="preserve"> </w:t>
      </w:r>
      <w:r>
        <w:rPr>
          <w:rFonts w:hint="cs"/>
          <w:rtl/>
        </w:rPr>
        <w:t xml:space="preserve">2022, היא כי אין הבחנה בין מכירת חשמל לחברות אחרות בקונצרן הנמצאות מחוץ לתחום הזיכיון לבין מכירה ללקוחות אחרים, וכי אין להתייחס למכירה זו כאל "שימוש עצמי" של </w:t>
      </w:r>
      <w:r>
        <w:rPr>
          <w:rFonts w:hint="cs"/>
          <w:rtl/>
        </w:rPr>
        <w:t>מי"ה</w:t>
      </w:r>
      <w:r>
        <w:rPr>
          <w:rFonts w:hint="cs"/>
          <w:rtl/>
        </w:rPr>
        <w:t xml:space="preserve">. על בסיס הנחת עבודה זו נקבע בטיוטת השומה כי תוספת השווי לקרקע בעקבות האפשרות של הקמת תחנת הכוח, ללא פיתוח וללא </w:t>
      </w:r>
      <w:r>
        <w:rPr>
          <w:rFonts w:hint="cs"/>
          <w:rtl/>
        </w:rPr>
        <w:t>מע"ם</w:t>
      </w:r>
      <w:r>
        <w:rPr>
          <w:rFonts w:hint="cs"/>
          <w:rtl/>
        </w:rPr>
        <w:t>, היא 1,008,000,000 (יותר ממיליארד ש"ח) כולל היתרון הכלכלי הנובע מייצור הקיטור, ו-538,000,000 (יותר מחצי מיליארד ש"ח) ללא היתרון הכלכלי הנובע מייצור הקיטור</w:t>
      </w:r>
      <w:r>
        <w:rPr>
          <w:rStyle w:val="FootnoteReference1"/>
          <w:rtl/>
        </w:rPr>
        <w:footnoteReference w:id="62"/>
      </w:r>
      <w:r>
        <w:rPr>
          <w:rFonts w:hint="cs"/>
          <w:rtl/>
        </w:rPr>
        <w:t xml:space="preserve">. </w:t>
      </w:r>
    </w:p>
    <w:p w:rsidR="006734B0" w:rsidP="00331AB4" w14:paraId="3E42A17D" w14:textId="77777777">
      <w:pPr>
        <w:pStyle w:val="7392"/>
        <w:rPr>
          <w:rtl/>
        </w:rPr>
      </w:pPr>
      <w:r>
        <w:rPr>
          <w:rFonts w:hint="cs"/>
          <w:rtl/>
        </w:rPr>
        <w:t xml:space="preserve">נמצא כי אף שהשומה האחרונה הוכנה לפני יותר משנתיים, ביוני 2022, נכון למועד הביקורת היא כלל לא הועברה להתייחסות </w:t>
      </w:r>
      <w:r>
        <w:rPr>
          <w:rFonts w:hint="cs"/>
          <w:rtl/>
        </w:rPr>
        <w:t>מי"ה</w:t>
      </w:r>
      <w:r>
        <w:rPr>
          <w:rFonts w:hint="cs"/>
          <w:rtl/>
        </w:rPr>
        <w:t xml:space="preserve">, ולא קודמה עסקה בגין תחנת הכוח. יצוין כי לפי </w:t>
      </w:r>
      <w:r w:rsidRPr="00DF72DE">
        <w:rPr>
          <w:rFonts w:hint="cs"/>
          <w:rtl/>
        </w:rPr>
        <w:t>החלטת מועצת מקרקעי ישראל</w:t>
      </w:r>
      <w:r>
        <w:rPr>
          <w:rFonts w:hint="cs"/>
          <w:rtl/>
        </w:rPr>
        <w:t xml:space="preserve"> 4.20 בנושא "שומות", תוקף שומה הוא לשנה ולכן ממילא נדרש יהיה להכין שומה חדשה. </w:t>
      </w:r>
    </w:p>
    <w:p w:rsidR="006734B0" w:rsidRPr="00331AB4" w:rsidP="00331AB4" w14:paraId="1D3A006B" w14:textId="77777777">
      <w:pPr>
        <w:pStyle w:val="7318"/>
        <w:rPr>
          <w:rtl/>
        </w:rPr>
      </w:pPr>
      <w:r w:rsidRPr="00331AB4">
        <w:rPr>
          <w:rFonts w:hint="cs"/>
          <w:rtl/>
        </w:rPr>
        <w:t xml:space="preserve">מהאמור לעיל עולה כי </w:t>
      </w:r>
      <w:r w:rsidRPr="00331AB4">
        <w:rPr>
          <w:rFonts w:hint="cs"/>
          <w:rtl/>
        </w:rPr>
        <w:t>רמ"י</w:t>
      </w:r>
      <w:r w:rsidRPr="00331AB4">
        <w:rPr>
          <w:rFonts w:hint="cs"/>
          <w:rtl/>
        </w:rPr>
        <w:t xml:space="preserve"> חתמה על היתר לבניית תחנת כוח חדשה בשטח המפעלים על בסיס הצהרת </w:t>
      </w:r>
      <w:r w:rsidRPr="00331AB4">
        <w:rPr>
          <w:rFonts w:hint="cs"/>
          <w:rtl/>
        </w:rPr>
        <w:t>מי"ה</w:t>
      </w:r>
      <w:r w:rsidRPr="00331AB4">
        <w:rPr>
          <w:rFonts w:hint="cs"/>
          <w:rtl/>
        </w:rPr>
        <w:t xml:space="preserve">, ולפיה תחנת הכוח תשמש אך ורק לצורכי המפעל מושא הזיכיון, </w:t>
      </w:r>
      <w:r w:rsidRPr="00331AB4">
        <w:rPr>
          <w:rFonts w:hint="cs"/>
          <w:rtl/>
        </w:rPr>
        <w:t>ורמ"י</w:t>
      </w:r>
      <w:r w:rsidRPr="00331AB4">
        <w:rPr>
          <w:rFonts w:hint="cs"/>
          <w:rtl/>
        </w:rPr>
        <w:t xml:space="preserve"> הבהירה כי כל שימוש בתחנת הכוח החדשה אשר אין בו כדי לשמש את צורכי המפעל מהווה סטייה והפרה של תנאי הזיכיון. בביקורת הועלה כי על אף התחייבויות אלה, </w:t>
      </w:r>
      <w:r w:rsidRPr="00331AB4">
        <w:rPr>
          <w:rFonts w:hint="cs"/>
          <w:rtl/>
        </w:rPr>
        <w:t>מי"ה</w:t>
      </w:r>
      <w:r w:rsidRPr="00331AB4">
        <w:rPr>
          <w:rFonts w:hint="cs"/>
          <w:rtl/>
        </w:rPr>
        <w:t xml:space="preserve"> החלה להפעיל את תחנת הכוח החדשה בשנת 2018 תוך שהיא מוכרת חשמל לרשת החשמל הארצית ולמפעלים אחרים בקונצרן הממוקמים מחוץ לשטח הזיכיון במישור רותם. </w:t>
      </w:r>
      <w:r w:rsidRPr="00331AB4">
        <w:rPr>
          <w:rFonts w:hint="eastAsia"/>
          <w:rtl/>
        </w:rPr>
        <w:t>נמצא</w:t>
      </w:r>
      <w:r w:rsidRPr="00331AB4">
        <w:rPr>
          <w:rtl/>
        </w:rPr>
        <w:t xml:space="preserve"> כי </w:t>
      </w:r>
      <w:r w:rsidRPr="00331AB4">
        <w:rPr>
          <w:rFonts w:hint="cs"/>
          <w:rtl/>
        </w:rPr>
        <w:t xml:space="preserve">אף </w:t>
      </w:r>
      <w:r w:rsidRPr="00331AB4">
        <w:rPr>
          <w:rFonts w:hint="cs"/>
          <w:rtl/>
        </w:rPr>
        <w:t>ש</w:t>
      </w:r>
      <w:r w:rsidRPr="00331AB4">
        <w:rPr>
          <w:rFonts w:hint="eastAsia"/>
          <w:rtl/>
        </w:rPr>
        <w:t>רמ</w:t>
      </w:r>
      <w:r w:rsidRPr="00331AB4">
        <w:rPr>
          <w:rtl/>
        </w:rPr>
        <w:t>"י</w:t>
      </w:r>
      <w:r w:rsidRPr="00331AB4">
        <w:rPr>
          <w:rtl/>
        </w:rPr>
        <w:t xml:space="preserve"> </w:t>
      </w:r>
      <w:r w:rsidRPr="00331AB4">
        <w:rPr>
          <w:rFonts w:hint="cs"/>
          <w:rtl/>
        </w:rPr>
        <w:t xml:space="preserve">ידעה כי חלק מהחשמל המיוצר בתחנת הכוח אינו מיועד לשימוש עצמי של </w:t>
      </w:r>
      <w:r w:rsidRPr="00331AB4">
        <w:rPr>
          <w:rFonts w:hint="cs"/>
          <w:rtl/>
        </w:rPr>
        <w:t>מי"ה</w:t>
      </w:r>
      <w:r w:rsidRPr="00331AB4">
        <w:rPr>
          <w:rFonts w:hint="cs"/>
          <w:rtl/>
        </w:rPr>
        <w:t>, היא לא פעלה להסדרת השימוש או להפסקתו.</w:t>
      </w:r>
    </w:p>
    <w:p w:rsidR="006734B0" w:rsidRPr="00331AB4" w:rsidP="00331AB4" w14:paraId="552ED1B3" w14:textId="631DAC3C">
      <w:pPr>
        <w:pStyle w:val="7318"/>
        <w:rPr>
          <w:rtl/>
        </w:rPr>
      </w:pPr>
      <w:r w:rsidRPr="00331AB4">
        <w:rPr>
          <w:rFonts w:hint="cs"/>
          <w:rtl/>
        </w:rPr>
        <w:t xml:space="preserve">עוד נמצא כי </w:t>
      </w:r>
      <w:r w:rsidRPr="00331AB4">
        <w:rPr>
          <w:rFonts w:hint="cs"/>
          <w:rtl/>
        </w:rPr>
        <w:t>רמ"י</w:t>
      </w:r>
      <w:r w:rsidRPr="00331AB4">
        <w:rPr>
          <w:rFonts w:hint="cs"/>
          <w:rtl/>
        </w:rPr>
        <w:t xml:space="preserve"> לא גבתה תשלום בגין שימוש זה, לגביו </w:t>
      </w:r>
      <w:r w:rsidRPr="00331AB4">
        <w:rPr>
          <w:rFonts w:hint="cs"/>
          <w:rtl/>
        </w:rPr>
        <w:t>רמ"י</w:t>
      </w:r>
      <w:r w:rsidRPr="00331AB4">
        <w:rPr>
          <w:rFonts w:hint="cs"/>
          <w:rtl/>
        </w:rPr>
        <w:t xml:space="preserve"> הכינה מספר </w:t>
      </w:r>
      <w:r w:rsidRPr="004321B0" w:rsidR="004321B0">
        <w:rPr>
          <w:rtl/>
        </w:rPr>
        <w:t>טיוטות</w:t>
      </w:r>
      <w:r w:rsidR="004321B0">
        <w:rPr>
          <w:rFonts w:hint="cs"/>
          <w:rtl/>
        </w:rPr>
        <w:t xml:space="preserve"> </w:t>
      </w:r>
      <w:r w:rsidRPr="00331AB4">
        <w:rPr>
          <w:rFonts w:hint="cs"/>
          <w:rtl/>
        </w:rPr>
        <w:t xml:space="preserve">ולפי טיוטת השומה האחרונה של </w:t>
      </w:r>
      <w:r w:rsidRPr="00331AB4">
        <w:rPr>
          <w:rFonts w:hint="cs"/>
          <w:rtl/>
        </w:rPr>
        <w:t>רמ"י</w:t>
      </w:r>
      <w:r w:rsidRPr="00331AB4">
        <w:rPr>
          <w:rFonts w:hint="cs"/>
          <w:rtl/>
        </w:rPr>
        <w:t xml:space="preserve"> מיוני 2022, בעקבות הקמת תחנת הכוח שווי השימוש בקרקע נאמד בסכום הנע בין חצי מיליארד ש"ח למיליארד ש"ח.</w:t>
      </w:r>
      <w:r w:rsidRPr="004321B0" w:rsidR="004321B0">
        <w:rPr>
          <w:rtl/>
        </w:rPr>
        <w:t xml:space="preserve"> יוער כי </w:t>
      </w:r>
      <w:r w:rsidRPr="00331AB4">
        <w:rPr>
          <w:rFonts w:hint="cs"/>
          <w:rtl/>
        </w:rPr>
        <w:t xml:space="preserve">משווי זה יש לגזור את היקף התשלומים של </w:t>
      </w:r>
      <w:r w:rsidRPr="00331AB4">
        <w:rPr>
          <w:rFonts w:hint="cs"/>
          <w:rtl/>
        </w:rPr>
        <w:t>מי"ה</w:t>
      </w:r>
      <w:r w:rsidRPr="00331AB4">
        <w:rPr>
          <w:rFonts w:hint="cs"/>
          <w:rtl/>
        </w:rPr>
        <w:t xml:space="preserve">, בשים לב, בין השאר, להיקף השימוש העצמי שהיא עושה בחשמל המיוצר בתחנת הכוח החדשה וכן בשים לב לפרמטרים נוספים, לרבות האפשרות לקבל הנחה בגין האזור בו ממוקמים המפעלים. </w:t>
      </w:r>
    </w:p>
    <w:p w:rsidR="006734B0" w:rsidRPr="00331AB4" w:rsidP="00331AB4" w14:paraId="002FAF26" w14:textId="77777777">
      <w:pPr>
        <w:pStyle w:val="7318"/>
        <w:rPr>
          <w:rtl/>
        </w:rPr>
      </w:pPr>
      <w:r w:rsidRPr="00331AB4">
        <w:rPr>
          <w:rFonts w:hint="cs"/>
          <w:rtl/>
        </w:rPr>
        <w:t xml:space="preserve">מצב שבו המדינה מאפשרת לבעל הזיכיון לבצע שימוש נוסף בקרקע, שלפי עמדת </w:t>
      </w:r>
      <w:r w:rsidRPr="00331AB4">
        <w:rPr>
          <w:rFonts w:hint="cs"/>
          <w:rtl/>
        </w:rPr>
        <w:t>רמ"י</w:t>
      </w:r>
      <w:r w:rsidRPr="00331AB4">
        <w:rPr>
          <w:rFonts w:hint="cs"/>
          <w:rtl/>
        </w:rPr>
        <w:t xml:space="preserve"> אינו מתאפשר לפי חוק הזיכיון, זאת ללא אסדרה חוקית של הנושא - אינו תקין. העובדה כי השימוש בקרקע ממשיך להתבצע במשך כשש שנים, זאת בלי </w:t>
      </w:r>
      <w:r w:rsidRPr="00331AB4">
        <w:rPr>
          <w:rFonts w:hint="cs"/>
          <w:rtl/>
        </w:rPr>
        <w:t>שרמ"י</w:t>
      </w:r>
      <w:r w:rsidRPr="00331AB4">
        <w:rPr>
          <w:rFonts w:hint="cs"/>
          <w:rtl/>
        </w:rPr>
        <w:t xml:space="preserve"> אפילו העבירה את טיוטת השומה בנושא </w:t>
      </w:r>
      <w:r w:rsidRPr="00331AB4">
        <w:rPr>
          <w:rFonts w:hint="cs"/>
          <w:rtl/>
        </w:rPr>
        <w:t>למי"ה</w:t>
      </w:r>
      <w:r w:rsidRPr="00331AB4">
        <w:rPr>
          <w:rFonts w:hint="cs"/>
          <w:rtl/>
        </w:rPr>
        <w:t xml:space="preserve">, מעידה על כשל </w:t>
      </w:r>
      <w:r w:rsidRPr="00331AB4">
        <w:rPr>
          <w:rFonts w:hint="cs"/>
          <w:rtl/>
        </w:rPr>
        <w:t>באסדרת</w:t>
      </w:r>
      <w:r w:rsidRPr="00331AB4">
        <w:rPr>
          <w:rFonts w:hint="cs"/>
          <w:rtl/>
        </w:rPr>
        <w:t xml:space="preserve"> השימוש האמור ובמימוש תפקידה של </w:t>
      </w:r>
      <w:r w:rsidRPr="00331AB4">
        <w:rPr>
          <w:rFonts w:hint="cs"/>
          <w:rtl/>
        </w:rPr>
        <w:t>רמ"י</w:t>
      </w:r>
      <w:r w:rsidRPr="00331AB4">
        <w:rPr>
          <w:rFonts w:hint="cs"/>
          <w:rtl/>
        </w:rPr>
        <w:t xml:space="preserve"> לניהול מקרקעי ישראל בתחום הזיכיון. </w:t>
      </w:r>
    </w:p>
    <w:p w:rsidR="006734B0" w:rsidRPr="00331AB4" w:rsidP="00331AB4" w14:paraId="405F0698" w14:textId="77777777">
      <w:pPr>
        <w:pStyle w:val="7392"/>
        <w:rPr>
          <w:rtl/>
        </w:rPr>
      </w:pPr>
      <w:r w:rsidRPr="00331AB4">
        <w:rPr>
          <w:rFonts w:hint="cs"/>
          <w:rtl/>
        </w:rPr>
        <w:t>רמ"י</w:t>
      </w:r>
      <w:r w:rsidRPr="00331AB4">
        <w:rPr>
          <w:rFonts w:hint="cs"/>
          <w:rtl/>
        </w:rPr>
        <w:t xml:space="preserve"> מסרה בתשובתה למשרד מבקר המדינה כי קיימות שתי סוגיות הטעונות בחינה לגבי תחנת הכוח החדשה. האחת, האם תחנת הכוח משרתת את מטרת הזיכיון והיא פעולה המותרת מכוח החוק. השנייה, האם תחנת הכוח מחויבת בתשלום ומה התמורה הנדרשת. עוד ציינה </w:t>
      </w:r>
      <w:r w:rsidRPr="00331AB4">
        <w:rPr>
          <w:rFonts w:hint="cs"/>
          <w:rtl/>
        </w:rPr>
        <w:t>רמ"י</w:t>
      </w:r>
      <w:r w:rsidRPr="00331AB4">
        <w:rPr>
          <w:rFonts w:hint="cs"/>
          <w:rtl/>
        </w:rPr>
        <w:t xml:space="preserve"> בתשובתה כי הנושא הובא לבירור במשרד האוצר. </w:t>
      </w:r>
    </w:p>
    <w:p w:rsidR="006734B0" w:rsidRPr="00331AB4" w:rsidP="00331AB4" w14:paraId="188CBB22" w14:textId="77777777">
      <w:pPr>
        <w:pStyle w:val="7392"/>
        <w:rPr>
          <w:rtl/>
        </w:rPr>
      </w:pPr>
      <w:r w:rsidRPr="00331AB4">
        <w:rPr>
          <w:rFonts w:hint="cs"/>
          <w:rtl/>
        </w:rPr>
        <w:t>מי"ה</w:t>
      </w:r>
      <w:r w:rsidRPr="00331AB4">
        <w:rPr>
          <w:rFonts w:hint="cs"/>
          <w:rtl/>
        </w:rPr>
        <w:t xml:space="preserve"> מסרה בתשובתה למשרד מבקר המדינה כי מאחר שתחנת הכוח הוקמה לצורכי המפעל ואך ורק לצרכיו, אין חשש להפרה של תנאי הזיכיון. לצד זאת מסרה </w:t>
      </w:r>
      <w:r w:rsidRPr="00331AB4">
        <w:rPr>
          <w:rFonts w:hint="cs"/>
          <w:rtl/>
        </w:rPr>
        <w:t>מי"ה</w:t>
      </w:r>
      <w:r w:rsidRPr="00331AB4">
        <w:rPr>
          <w:rFonts w:hint="cs"/>
          <w:rtl/>
        </w:rPr>
        <w:t xml:space="preserve"> כי השאלה העומדת לדיון היא האם דמי החכירה שאותם משלמת </w:t>
      </w:r>
      <w:r w:rsidRPr="00331AB4">
        <w:rPr>
          <w:rFonts w:hint="cs"/>
          <w:rtl/>
        </w:rPr>
        <w:t>מי"ה</w:t>
      </w:r>
      <w:r w:rsidRPr="00331AB4">
        <w:rPr>
          <w:rFonts w:hint="cs"/>
          <w:rtl/>
        </w:rPr>
        <w:t xml:space="preserve"> בגין תחנת הכוח משקפים את השווי הנכון, וכי סוכם </w:t>
      </w:r>
      <w:r w:rsidRPr="00331AB4">
        <w:rPr>
          <w:rFonts w:hint="cs"/>
          <w:rtl/>
        </w:rPr>
        <w:t>שרמ"י</w:t>
      </w:r>
      <w:r w:rsidRPr="00331AB4">
        <w:rPr>
          <w:rFonts w:hint="cs"/>
          <w:rtl/>
        </w:rPr>
        <w:t xml:space="preserve"> תוציא שומת דמי חכירה בנושא, אולם שומה כזו טרם התקבלה אצל </w:t>
      </w:r>
      <w:r w:rsidRPr="00331AB4">
        <w:rPr>
          <w:rFonts w:hint="cs"/>
          <w:rtl/>
        </w:rPr>
        <w:t>מי"ה</w:t>
      </w:r>
      <w:r w:rsidRPr="00331AB4">
        <w:rPr>
          <w:rFonts w:hint="cs"/>
          <w:rtl/>
        </w:rPr>
        <w:t xml:space="preserve">, אף שחלפו כבר כמה שנים. </w:t>
      </w:r>
    </w:p>
    <w:p w:rsidR="006734B0" w:rsidP="00331AB4" w14:paraId="69F3B4E8" w14:textId="291C4803">
      <w:pPr>
        <w:pStyle w:val="7318"/>
        <w:rPr>
          <w:rtl/>
        </w:rPr>
      </w:pPr>
      <w:r>
        <w:rPr>
          <w:rFonts w:hint="cs"/>
          <w:rtl/>
        </w:rPr>
        <w:t xml:space="preserve">מתשובת </w:t>
      </w:r>
      <w:r>
        <w:rPr>
          <w:rFonts w:hint="cs"/>
          <w:rtl/>
        </w:rPr>
        <w:t>רמ"י</w:t>
      </w:r>
      <w:r>
        <w:rPr>
          <w:rFonts w:hint="cs"/>
          <w:rtl/>
        </w:rPr>
        <w:t xml:space="preserve"> עולה כי </w:t>
      </w:r>
      <w:r>
        <w:rPr>
          <w:rFonts w:hint="cs"/>
          <w:rtl/>
        </w:rPr>
        <w:t>אסדרת</w:t>
      </w:r>
      <w:r>
        <w:rPr>
          <w:rFonts w:hint="cs"/>
          <w:rtl/>
        </w:rPr>
        <w:t xml:space="preserve"> השימוש בתחנת הכוח החדשה, שהחלה לפעול בשנת 2018, נמצאת נכון למועד סיום הביקורת (יוני 2024) בבחינה. על </w:t>
      </w:r>
      <w:r>
        <w:rPr>
          <w:rFonts w:hint="cs"/>
          <w:rtl/>
        </w:rPr>
        <w:t>רמ"י</w:t>
      </w:r>
      <w:r>
        <w:rPr>
          <w:rFonts w:hint="cs"/>
          <w:rtl/>
        </w:rPr>
        <w:t xml:space="preserve"> לפעול לאלתר לתיקון הליקויים בנוגע </w:t>
      </w:r>
      <w:r>
        <w:rPr>
          <w:rFonts w:hint="cs"/>
          <w:rtl/>
        </w:rPr>
        <w:t>לאסדרת</w:t>
      </w:r>
      <w:r>
        <w:rPr>
          <w:rFonts w:hint="cs"/>
          <w:rtl/>
        </w:rPr>
        <w:t xml:space="preserve"> השימוש בתחנת הכוח החדשה </w:t>
      </w:r>
      <w:r w:rsidRPr="004321B0" w:rsidR="004321B0">
        <w:rPr>
          <w:rtl/>
        </w:rPr>
        <w:t>במפעל האשלג</w:t>
      </w:r>
      <w:r w:rsidR="004321B0">
        <w:rPr>
          <w:rFonts w:hint="cs"/>
          <w:rtl/>
        </w:rPr>
        <w:t xml:space="preserve"> </w:t>
      </w:r>
      <w:r>
        <w:rPr>
          <w:rFonts w:hint="cs"/>
          <w:rtl/>
        </w:rPr>
        <w:t xml:space="preserve">ולפעול בנחישות וללא דיחוי לגביית </w:t>
      </w:r>
      <w:r w:rsidRPr="004321B0" w:rsidR="004321B0">
        <w:rPr>
          <w:rtl/>
        </w:rPr>
        <w:t>התשלום המתחייב משימוש זה</w:t>
      </w:r>
      <w:r>
        <w:rPr>
          <w:rFonts w:hint="cs"/>
          <w:rtl/>
        </w:rPr>
        <w:t xml:space="preserve">. </w:t>
      </w:r>
    </w:p>
    <w:p w:rsidR="006734B0" w:rsidRPr="008D2DC1" w:rsidP="008D2DC1" w14:paraId="779213F6" w14:textId="77777777">
      <w:pPr>
        <w:pStyle w:val="733155"/>
        <w:rPr>
          <w:rtl/>
        </w:rPr>
      </w:pPr>
      <w:bookmarkStart w:id="44" w:name="_Toc170709961"/>
      <w:bookmarkStart w:id="45" w:name="_Toc171509550"/>
      <w:r w:rsidRPr="008D2DC1">
        <w:rPr>
          <w:rFonts w:hint="cs"/>
          <w:rtl/>
        </w:rPr>
        <w:t>גודל שטח הזיכיון</w:t>
      </w:r>
      <w:bookmarkEnd w:id="44"/>
      <w:bookmarkEnd w:id="45"/>
    </w:p>
    <w:p w:rsidR="006734B0" w:rsidRPr="00331AB4" w:rsidP="00331AB4" w14:paraId="3A14C1B9" w14:textId="24736A85">
      <w:pPr>
        <w:pStyle w:val="7392"/>
        <w:rPr>
          <w:rtl/>
        </w:rPr>
      </w:pPr>
      <w:r w:rsidRPr="00331AB4">
        <w:rPr>
          <w:rFonts w:hint="cs"/>
          <w:rtl/>
        </w:rPr>
        <w:t>שטח זיכיון ים המלח הוא כאמור שטח נרחב המהווה כ-3% משטח מדינת ישראל. שטח זה, אשר נקבע בעת חקיקת חוק הזיכיון, כולל אזורים נרחבים סביב ים המלח לרבות היישובים: נווה זוהר, עין תמר</w:t>
      </w:r>
      <w:r w:rsidR="004321B0">
        <w:rPr>
          <w:rFonts w:hint="cs"/>
          <w:rtl/>
        </w:rPr>
        <w:t xml:space="preserve"> ו</w:t>
      </w:r>
      <w:r w:rsidRPr="00331AB4">
        <w:rPr>
          <w:rFonts w:hint="cs"/>
          <w:rtl/>
        </w:rPr>
        <w:t xml:space="preserve">נאות הכיכר, שטחים אשר אינם קשורים באופן ישיר להפקת המשאבים מים המלח. </w:t>
      </w:r>
    </w:p>
    <w:p w:rsidR="006734B0" w:rsidRPr="00331AB4" w:rsidP="00331AB4" w14:paraId="4958ABB3" w14:textId="33DD5A09">
      <w:pPr>
        <w:pStyle w:val="734"/>
        <w:rPr>
          <w:rtl/>
        </w:rPr>
      </w:pPr>
      <w:r w:rsidRPr="00331AB4">
        <w:rPr>
          <w:rFonts w:hint="cs"/>
          <w:b w:val="0"/>
          <w:bCs w:val="0"/>
          <w:rtl/>
        </w:rPr>
        <w:t>מפה</w:t>
      </w:r>
      <w:r w:rsidR="00D0542F">
        <w:rPr>
          <w:rFonts w:hint="cs"/>
          <w:b w:val="0"/>
          <w:bCs w:val="0"/>
          <w:rtl/>
        </w:rPr>
        <w:t xml:space="preserve"> 7</w:t>
      </w:r>
      <w:r w:rsidRPr="00331AB4">
        <w:rPr>
          <w:rFonts w:hint="cs"/>
          <w:b w:val="0"/>
          <w:bCs w:val="0"/>
          <w:rtl/>
        </w:rPr>
        <w:t>:</w:t>
      </w:r>
      <w:r w:rsidRPr="00331AB4">
        <w:rPr>
          <w:rFonts w:hint="cs"/>
          <w:rtl/>
        </w:rPr>
        <w:t xml:space="preserve"> שטח הזיכיון והיישובים הכלולים בתחומו</w:t>
      </w:r>
    </w:p>
    <w:p w:rsidR="006734B0" w:rsidP="006734B0" w14:paraId="69BFD588" w14:textId="77777777">
      <w:pPr>
        <w:spacing w:line="360" w:lineRule="auto"/>
        <w:jc w:val="center"/>
        <w:rPr>
          <w:rtl/>
        </w:rPr>
      </w:pPr>
      <w:r>
        <w:rPr>
          <w:noProof/>
        </w:rPr>
        <w:drawing>
          <wp:inline distT="0" distB="0" distL="0" distR="0">
            <wp:extent cx="3937190" cy="5572125"/>
            <wp:effectExtent l="0" t="0" r="6350" b="0"/>
            <wp:docPr id="233061352" name="תמונה 233061352" descr="C:\Users\zohar_sh\AppData\Local\Microsoft\Windows\INetCache\Content.Word\יישובים ביחס לזיכיון 11.2.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061352" name="Picture 3" descr="C:\Users\zohar_sh\AppData\Local\Microsoft\Windows\INetCache\Content.Word\יישובים ביחס לזיכיון 11.2.25.png"/>
                    <pic:cNvPicPr>
                      <a:picLocks noChangeAspect="1" noChangeArrowheads="1"/>
                    </pic:cNvPicPr>
                  </pic:nvPicPr>
                  <pic:blipFill>
                    <a:blip xmlns:r="http://schemas.openxmlformats.org/officeDocument/2006/relationships" r:embed="rId55">
                      <a:extLst>
                        <a:ext xmlns:a="http://schemas.openxmlformats.org/drawingml/2006/main" uri="{28A0092B-C50C-407E-A947-70E740481C1C}">
                          <a14:useLocalDpi xmlns:a14="http://schemas.microsoft.com/office/drawing/2010/main" val="0"/>
                        </a:ext>
                      </a:extLst>
                    </a:blip>
                    <a:stretch>
                      <a:fillRect/>
                    </a:stretch>
                  </pic:blipFill>
                  <pic:spPr bwMode="auto">
                    <a:xfrm>
                      <a:off x="0" y="0"/>
                      <a:ext cx="3939037" cy="5574739"/>
                    </a:xfrm>
                    <a:prstGeom prst="rect">
                      <a:avLst/>
                    </a:prstGeom>
                    <a:noFill/>
                    <a:ln>
                      <a:noFill/>
                    </a:ln>
                  </pic:spPr>
                </pic:pic>
              </a:graphicData>
            </a:graphic>
          </wp:inline>
        </w:drawing>
      </w:r>
    </w:p>
    <w:p w:rsidR="006734B0" w:rsidRPr="00331AB4" w:rsidP="00331AB4" w14:paraId="7F6FA4A2" w14:textId="1F61112F">
      <w:pPr>
        <w:pStyle w:val="738"/>
        <w:rPr>
          <w:rtl/>
        </w:rPr>
      </w:pPr>
      <w:r w:rsidRPr="00331AB4">
        <w:rPr>
          <w:rtl/>
        </w:rPr>
        <w:t>המקור: מפת הרקע "</w:t>
      </w:r>
      <w:r w:rsidRPr="00331AB4">
        <w:t>World_Imagery</w:t>
      </w:r>
      <w:r w:rsidRPr="00331AB4">
        <w:rPr>
          <w:rtl/>
        </w:rPr>
        <w:t>" -</w:t>
      </w:r>
      <w:r w:rsidRPr="00331AB4">
        <w:t>Esri, Maxar, Earthstar Geographics, and the GIS User Community</w:t>
      </w:r>
      <w:r w:rsidRPr="00331AB4">
        <w:rPr>
          <w:rtl/>
        </w:rPr>
        <w:t xml:space="preserve">, </w:t>
      </w:r>
      <w:r w:rsidRPr="00331AB4">
        <w:rPr>
          <w:rFonts w:hint="cs"/>
          <w:rtl/>
        </w:rPr>
        <w:t xml:space="preserve">שכבות של המשרד </w:t>
      </w:r>
      <w:r w:rsidRPr="004321B0" w:rsidR="004321B0">
        <w:rPr>
          <w:rtl/>
        </w:rPr>
        <w:t>להג"ס</w:t>
      </w:r>
      <w:r w:rsidR="004321B0">
        <w:rPr>
          <w:rFonts w:hint="cs"/>
          <w:rtl/>
        </w:rPr>
        <w:t xml:space="preserve"> </w:t>
      </w:r>
      <w:r w:rsidRPr="00331AB4">
        <w:rPr>
          <w:rFonts w:hint="cs"/>
          <w:rtl/>
        </w:rPr>
        <w:t xml:space="preserve">ושכבת גבולות יישובים של המועצה האזורית תמר, </w:t>
      </w:r>
      <w:r w:rsidRPr="00331AB4">
        <w:rPr>
          <w:rtl/>
        </w:rPr>
        <w:t>בעיבוד משרד מבקר המדינה.</w:t>
      </w:r>
    </w:p>
    <w:p w:rsidR="006734B0" w:rsidRPr="00331AB4" w:rsidP="00331AB4" w14:paraId="790BE012" w14:textId="015BC8E9">
      <w:pPr>
        <w:pStyle w:val="7392"/>
        <w:rPr>
          <w:rtl/>
        </w:rPr>
      </w:pPr>
      <w:r w:rsidRPr="00331AB4">
        <w:rPr>
          <w:rFonts w:hint="cs"/>
          <w:rtl/>
        </w:rPr>
        <w:t xml:space="preserve">לפי המשרד </w:t>
      </w:r>
      <w:r w:rsidRPr="00331AB4">
        <w:rPr>
          <w:rFonts w:hint="cs"/>
          <w:rtl/>
        </w:rPr>
        <w:t>להג"ס</w:t>
      </w:r>
      <w:r w:rsidRPr="00331AB4">
        <w:rPr>
          <w:rFonts w:hint="cs"/>
          <w:rtl/>
        </w:rPr>
        <w:t xml:space="preserve">, </w:t>
      </w:r>
      <w:r w:rsidRPr="004321B0" w:rsidR="004321B0">
        <w:rPr>
          <w:rtl/>
        </w:rPr>
        <w:t>הכללת שטחים בתחום הזיכיון שאינם קשורים</w:t>
      </w:r>
      <w:r w:rsidRPr="00331AB4">
        <w:rPr>
          <w:rFonts w:hint="cs"/>
          <w:rtl/>
        </w:rPr>
        <w:t xml:space="preserve"> באופן ישיר להפקת המשאבים מובילה להקצאת שטח בלתי יעילה, שהרי אם השטח לא היה מוחכר </w:t>
      </w:r>
      <w:r w:rsidRPr="00331AB4">
        <w:rPr>
          <w:rFonts w:hint="cs"/>
          <w:rtl/>
        </w:rPr>
        <w:t>למי"ה</w:t>
      </w:r>
      <w:r w:rsidRPr="00331AB4">
        <w:rPr>
          <w:rFonts w:hint="cs"/>
          <w:rtl/>
        </w:rPr>
        <w:t xml:space="preserve"> היה בידי המדינה לקדם את השימוש בו לטובת תכליות אחרות, לרבות צרכים סביבתיים ותיירותיים. כמו </w:t>
      </w:r>
      <w:r w:rsidRPr="00331AB4">
        <w:rPr>
          <w:rFonts w:hint="cs"/>
          <w:rtl/>
        </w:rPr>
        <w:t xml:space="preserve">כן, מאחר שעומד לרשותו של בעל הזיכיון שטח נרחב, והוא אינו נדרש לשלם על השטח בהתאם להיקפו, בפרט מאחר שאין תשלום בגין הקרקעות השמורות, הוא אינו מפנים את העלות הכלכלית והסביבתית בשטח, ואין לו תמריץ לצמצם את השטח שעליו הוא פורס את פעילותו. עוד לפי המשרד </w:t>
      </w:r>
      <w:r w:rsidRPr="00331AB4">
        <w:rPr>
          <w:rFonts w:hint="cs"/>
          <w:rtl/>
        </w:rPr>
        <w:t>להג"ס</w:t>
      </w:r>
      <w:r w:rsidRPr="00331AB4">
        <w:rPr>
          <w:rFonts w:hint="cs"/>
          <w:rtl/>
        </w:rPr>
        <w:t xml:space="preserve">, מצב שבו לבעל הזיכיון ניתנה הזכות להשתמש בשטחים כה נרחבים, שלחלקם ערך רב וייחודי, מלבד השטחים הנדרשים למימוש פעילות הזכיין, הוא מצב חריג בישראל ובעולם המערבי. </w:t>
      </w:r>
    </w:p>
    <w:p w:rsidR="006734B0" w:rsidRPr="00331AB4" w:rsidP="00331AB4" w14:paraId="57A0113E" w14:textId="2FA51CD9">
      <w:pPr>
        <w:pStyle w:val="7392"/>
        <w:rPr>
          <w:rtl/>
        </w:rPr>
      </w:pPr>
      <w:r w:rsidRPr="00331AB4">
        <w:rPr>
          <w:rFonts w:hint="cs"/>
          <w:rtl/>
        </w:rPr>
        <w:t>כל הקרקעות הכלולות בתחום הזיכיון הן קרקעות שבהן, לפי חוק הזיכיון, במשך כל תקופת הזיכיון המדינה לא יכולה להעניק לגורם אחר שום חזקה, או שהמדינה יכולה</w:t>
      </w:r>
      <w:r w:rsidRPr="004321B0" w:rsidR="004321B0">
        <w:rPr>
          <w:rtl/>
        </w:rPr>
        <w:t xml:space="preserve"> לעשות זאת</w:t>
      </w:r>
      <w:r w:rsidRPr="00331AB4">
        <w:rPr>
          <w:rFonts w:hint="cs"/>
          <w:rtl/>
        </w:rPr>
        <w:t xml:space="preserve"> בכפוף לכך שהיא שתציע אותן ראשונה לבעל הזיכיון. המשמעות בפועל היא שלא ניתן לבצע פיתוח או בנייה בקרקעות אלה ללא הסכמת </w:t>
      </w:r>
      <w:r w:rsidRPr="00331AB4">
        <w:rPr>
          <w:rFonts w:hint="cs"/>
          <w:rtl/>
        </w:rPr>
        <w:t>מי"ה</w:t>
      </w:r>
      <w:r w:rsidRPr="00331AB4">
        <w:rPr>
          <w:rFonts w:hint="cs"/>
          <w:rtl/>
        </w:rPr>
        <w:t xml:space="preserve">. כפועל יוצא מכך, אפילו המועצה האזורית תמר, שהמפעלים נמצאים בשטח השיפוט שלה, נדרשת להציג אישור </w:t>
      </w:r>
      <w:r w:rsidRPr="00331AB4">
        <w:rPr>
          <w:rFonts w:hint="cs"/>
          <w:rtl/>
        </w:rPr>
        <w:t>ממי"ה</w:t>
      </w:r>
      <w:r w:rsidRPr="00331AB4">
        <w:rPr>
          <w:rFonts w:hint="cs"/>
          <w:rtl/>
        </w:rPr>
        <w:t xml:space="preserve"> לצורך קבלת היתר בנייה </w:t>
      </w:r>
      <w:r w:rsidRPr="00331AB4">
        <w:rPr>
          <w:rFonts w:hint="cs"/>
          <w:rtl/>
        </w:rPr>
        <w:t>מרמ"י</w:t>
      </w:r>
      <w:r w:rsidRPr="00331AB4">
        <w:rPr>
          <w:rFonts w:hint="cs"/>
          <w:rtl/>
        </w:rPr>
        <w:t xml:space="preserve"> בבואה לקדם פרויקטים בתחום הזיכיון. כך גם יזמים המבקשים לבנות בתי מלון או תושבים וחקלאים המבקשים לבנות בית או להקים מבנה חקלאי בתחום הזיכיון</w:t>
      </w:r>
      <w:r w:rsidRPr="00331AB4">
        <w:t>.</w:t>
      </w:r>
      <w:r w:rsidRPr="00331AB4">
        <w:rPr>
          <w:rFonts w:hint="cs"/>
          <w:rtl/>
        </w:rPr>
        <w:t xml:space="preserve"> יצוין כי על חלק מהשטחים התאשרה תוכנית סטטוטורית המייעדת אותם לשימושים אחרים דוגמת מגורים ומלונאות כך שבפועל </w:t>
      </w:r>
      <w:r w:rsidRPr="00331AB4">
        <w:rPr>
          <w:rFonts w:hint="cs"/>
          <w:rtl/>
        </w:rPr>
        <w:t>מי"ה</w:t>
      </w:r>
      <w:r w:rsidRPr="00331AB4">
        <w:rPr>
          <w:rFonts w:hint="cs"/>
          <w:rtl/>
        </w:rPr>
        <w:t xml:space="preserve"> אינה יכולה להשתמש בהם. המועצה האזורית תמר</w:t>
      </w:r>
      <w:r w:rsidRPr="00331AB4">
        <w:rPr>
          <w:rtl/>
        </w:rPr>
        <w:t xml:space="preserve"> </w:t>
      </w:r>
      <w:r w:rsidRPr="00331AB4">
        <w:rPr>
          <w:rFonts w:hint="cs"/>
          <w:rtl/>
        </w:rPr>
        <w:t xml:space="preserve">מסרה לצוות הביקורת כי המצב הקיים שבו כל יזם או חקלאי המעוניין לקבל היתר בנייה נדרש לקבל את אישור </w:t>
      </w:r>
      <w:r w:rsidRPr="00331AB4">
        <w:rPr>
          <w:rFonts w:hint="cs"/>
          <w:rtl/>
        </w:rPr>
        <w:t>מי"ה</w:t>
      </w:r>
      <w:r w:rsidRPr="00331AB4">
        <w:rPr>
          <w:rFonts w:hint="cs"/>
          <w:rtl/>
        </w:rPr>
        <w:t xml:space="preserve"> כתנאי לחתימת </w:t>
      </w:r>
      <w:r w:rsidRPr="00331AB4">
        <w:rPr>
          <w:rFonts w:hint="cs"/>
          <w:rtl/>
        </w:rPr>
        <w:t>רמ"י</w:t>
      </w:r>
      <w:r w:rsidRPr="00331AB4">
        <w:rPr>
          <w:rFonts w:hint="cs"/>
          <w:rtl/>
        </w:rPr>
        <w:t xml:space="preserve"> על הבקשה להיתר, הוא מצב בלתי רצוי היוצר הכבדה בירוקרטית שלא לצורך ועיכובים מיותרים. הם הדגישו כי הדרישה לקבל את אישור </w:t>
      </w:r>
      <w:r w:rsidRPr="00331AB4">
        <w:rPr>
          <w:rFonts w:hint="cs"/>
          <w:rtl/>
        </w:rPr>
        <w:t>מי"ה</w:t>
      </w:r>
      <w:r w:rsidRPr="00331AB4">
        <w:rPr>
          <w:rFonts w:hint="cs"/>
          <w:rtl/>
        </w:rPr>
        <w:t xml:space="preserve"> קיימת גם במקרים שבהם ברור לכל כי אין כוונה להשתמש בעתיד בשטח זה לצורך פעילות המפעלים ואף כאשר כבר קיימת תוכנית סטטוטורית שאושרה המייעדת את השטח לשימוש אחר, כך לדוגמה בשטחים שבהם ממוקמים מלונות, באזורי תעשייה בשטח שעליו בנויים מבני מגורים ובשמורות טבע. </w:t>
      </w:r>
    </w:p>
    <w:p w:rsidR="006734B0" w:rsidRPr="00331AB4" w:rsidP="00331AB4" w14:paraId="32C2575C" w14:textId="47234C15">
      <w:pPr>
        <w:pStyle w:val="7392"/>
        <w:rPr>
          <w:rtl/>
        </w:rPr>
      </w:pPr>
      <w:r w:rsidRPr="00331AB4">
        <w:rPr>
          <w:rFonts w:hint="cs"/>
          <w:rtl/>
        </w:rPr>
        <w:t xml:space="preserve">בפגישה שהתקיימה ביוני 2024 מסרו נציגי </w:t>
      </w:r>
      <w:r w:rsidRPr="00331AB4">
        <w:rPr>
          <w:rFonts w:hint="cs"/>
          <w:rtl/>
        </w:rPr>
        <w:t>מי"ה</w:t>
      </w:r>
      <w:r w:rsidRPr="00331AB4">
        <w:rPr>
          <w:rFonts w:hint="cs"/>
          <w:rtl/>
        </w:rPr>
        <w:t xml:space="preserve"> לצוות הביקורת כי בתחום הזיכיון יש שטחים בהיקף לא מבוטל אשר אינם דרושים להם לפעילות, ואילו היו פונים אליהם הם היו יכולים לשקול את החזרתם </w:t>
      </w:r>
      <w:r w:rsidRPr="00331AB4">
        <w:rPr>
          <w:rFonts w:hint="cs"/>
          <w:rtl/>
        </w:rPr>
        <w:t>לרמ"י</w:t>
      </w:r>
      <w:r w:rsidRPr="00331AB4">
        <w:rPr>
          <w:rFonts w:hint="cs"/>
          <w:rtl/>
        </w:rPr>
        <w:t xml:space="preserve">. בתשובת </w:t>
      </w:r>
      <w:r w:rsidRPr="00331AB4">
        <w:rPr>
          <w:rFonts w:hint="cs"/>
          <w:rtl/>
        </w:rPr>
        <w:t>מי"ה</w:t>
      </w:r>
      <w:r w:rsidRPr="00331AB4">
        <w:rPr>
          <w:rFonts w:hint="cs"/>
          <w:rtl/>
        </w:rPr>
        <w:t xml:space="preserve"> למשרד מבקר המדינה, היא חזרה וציינה כי אינה עומדת בדרכה של המדינה להקצות שטח לגורמים אחרים אם מדובר בשטח שאינו דרוש לפעילות </w:t>
      </w:r>
      <w:r w:rsidRPr="00331AB4">
        <w:rPr>
          <w:rFonts w:hint="cs"/>
          <w:rtl/>
        </w:rPr>
        <w:t>מי"ה</w:t>
      </w:r>
      <w:r w:rsidRPr="00331AB4">
        <w:rPr>
          <w:rFonts w:hint="cs"/>
          <w:rtl/>
        </w:rPr>
        <w:t xml:space="preserve">. </w:t>
      </w:r>
    </w:p>
    <w:p w:rsidR="006734B0" w:rsidRPr="00331AB4" w:rsidP="00331AB4" w14:paraId="649E241C" w14:textId="77777777">
      <w:pPr>
        <w:pStyle w:val="7392"/>
        <w:rPr>
          <w:rtl/>
        </w:rPr>
      </w:pPr>
      <w:r w:rsidRPr="00331AB4">
        <w:rPr>
          <w:rFonts w:hint="cs"/>
          <w:rtl/>
        </w:rPr>
        <w:t xml:space="preserve">בפסיקה נקבע כי "בנהלו את מקרקעי המדינה משמש </w:t>
      </w:r>
      <w:r w:rsidRPr="00331AB4">
        <w:rPr>
          <w:rFonts w:hint="cs"/>
          <w:rtl/>
        </w:rPr>
        <w:t>המינהל</w:t>
      </w:r>
      <w:r w:rsidRPr="00331AB4">
        <w:rPr>
          <w:rFonts w:hint="cs"/>
          <w:rtl/>
        </w:rPr>
        <w:t xml:space="preserve"> [</w:t>
      </w:r>
      <w:r w:rsidRPr="00331AB4">
        <w:rPr>
          <w:rFonts w:hint="cs"/>
          <w:rtl/>
        </w:rPr>
        <w:t>רמ"י</w:t>
      </w:r>
      <w:r w:rsidRPr="00331AB4">
        <w:rPr>
          <w:rFonts w:hint="cs"/>
          <w:rtl/>
        </w:rPr>
        <w:t xml:space="preserve">] </w:t>
      </w:r>
      <w:r w:rsidRPr="00331AB4">
        <w:rPr>
          <w:rFonts w:hint="cs"/>
          <w:rtl/>
        </w:rPr>
        <w:t>איפוא</w:t>
      </w:r>
      <w:r w:rsidRPr="00331AB4">
        <w:rPr>
          <w:rFonts w:hint="cs"/>
          <w:rtl/>
        </w:rPr>
        <w:t xml:space="preserve"> כנאמן הציבור, ועליו לפעול בהתאם לאינטרס הציבור כולו. אינטרס זה בא לידי ביטוי באיזון ראוי בין השיקולים הלאומיים הרבים, לרבות שיקולים תקציביים-כלכליים והיבטים של יעילות ותועלת שהמדינה מחויבת בהם כלפי אזרחיה, כמו גם מטרות חברתיות. נקודת האיזון משתנה, מסתמא, עם חלוף </w:t>
      </w:r>
      <w:r w:rsidRPr="00331AB4">
        <w:rPr>
          <w:rFonts w:hint="cs"/>
          <w:rtl/>
        </w:rPr>
        <w:t>העתים</w:t>
      </w:r>
      <w:r w:rsidRPr="00331AB4">
        <w:rPr>
          <w:rFonts w:hint="cs"/>
          <w:rtl/>
        </w:rPr>
        <w:t xml:space="preserve">. משאין ניתן ברגיל להגדיל את מצאי המקרקעין של המדינה (למעט אולי ייבוש רצועות ים), ועם הופעתם של צרכים חדשים, הנה כדי שיהא באפשרות המדינה לממש את המטרות הטמונות ביסוד סמכותה ואת המדיניות הקרקעית שתיטיב ביותר עם כלל הציבור, מן ההכרח הוא </w:t>
      </w:r>
      <w:r w:rsidRPr="00331AB4">
        <w:rPr>
          <w:rFonts w:hint="cs"/>
          <w:rtl/>
        </w:rPr>
        <w:t>שלמינהל</w:t>
      </w:r>
      <w:r w:rsidRPr="00331AB4">
        <w:rPr>
          <w:rFonts w:hint="cs"/>
          <w:rtl/>
        </w:rPr>
        <w:t>... תהא אפשרות להשפיע על דרכי הניצול של המקרקעין. חיונית יכולת זו לפעול לגבי זמינותם של המקרקעין לשימושים השונים, בהתאם לצרכים המשתנים... לא למותר להוסיף, כי המדיניות צריך שתבטא צדק חלוקתי"</w:t>
      </w:r>
      <w:r>
        <w:rPr>
          <w:rStyle w:val="FootnoteReference1"/>
          <w:rtl/>
        </w:rPr>
        <w:footnoteReference w:id="63"/>
      </w:r>
      <w:r w:rsidRPr="00331AB4">
        <w:rPr>
          <w:rFonts w:hint="cs"/>
          <w:rtl/>
        </w:rPr>
        <w:t>.</w:t>
      </w:r>
    </w:p>
    <w:p w:rsidR="006734B0" w:rsidRPr="00331AB4" w:rsidP="00331AB4" w14:paraId="21DC2F26" w14:textId="6C592ABF">
      <w:pPr>
        <w:pStyle w:val="7318"/>
        <w:rPr>
          <w:rtl/>
        </w:rPr>
      </w:pPr>
      <w:bookmarkStart w:id="46" w:name="_Hlk174283839"/>
      <w:r w:rsidRPr="00331AB4">
        <w:rPr>
          <w:rFonts w:hint="cs"/>
          <w:rtl/>
        </w:rPr>
        <w:t xml:space="preserve">תחום הזיכיון הנרחב ניתן לפני יותר מ-60 שנה </w:t>
      </w:r>
      <w:r w:rsidRPr="00331AB4">
        <w:rPr>
          <w:rFonts w:hint="cs"/>
          <w:rtl/>
        </w:rPr>
        <w:t>למי"ה</w:t>
      </w:r>
      <w:r w:rsidRPr="00331AB4">
        <w:rPr>
          <w:rFonts w:hint="cs"/>
          <w:rtl/>
        </w:rPr>
        <w:t xml:space="preserve">, שבעבר הייתה חברה ממשלתית אך משנות התשעים היא גורם פרטי, כדי לאפשר לה לממש את הזיכיון. בהענקת השטח קיבלה </w:t>
      </w:r>
      <w:r w:rsidRPr="00331AB4">
        <w:rPr>
          <w:rFonts w:hint="cs"/>
          <w:rtl/>
        </w:rPr>
        <w:t>מי"ה</w:t>
      </w:r>
      <w:r w:rsidRPr="00331AB4">
        <w:rPr>
          <w:rFonts w:hint="cs"/>
          <w:rtl/>
        </w:rPr>
        <w:t xml:space="preserve"> זכויות קנייניות על מקרקעי ציבור נרחבים. במרוצת השנים התברר כי חלק משטח הזיכיון אינו נדרש לפעילותה של </w:t>
      </w:r>
      <w:r w:rsidRPr="00331AB4">
        <w:rPr>
          <w:rFonts w:hint="cs"/>
          <w:rtl/>
        </w:rPr>
        <w:t>מי"ה</w:t>
      </w:r>
      <w:r w:rsidRPr="00331AB4">
        <w:rPr>
          <w:rFonts w:hint="cs"/>
          <w:rtl/>
        </w:rPr>
        <w:t>, אולם שטח זה עדיין נשאר בתחום הזיכיון, כך לדוגמה שטחים שעליהם בנויים מלונות ומבני מגורים.</w:t>
      </w:r>
    </w:p>
    <w:p w:rsidR="006734B0" w:rsidRPr="00331AB4" w:rsidP="00331AB4" w14:paraId="17098AA4" w14:textId="33C9E257">
      <w:pPr>
        <w:pStyle w:val="7318"/>
        <w:rPr>
          <w:rtl/>
        </w:rPr>
      </w:pPr>
      <w:r w:rsidRPr="00331AB4">
        <w:rPr>
          <w:rFonts w:hint="cs"/>
          <w:rtl/>
        </w:rPr>
        <w:t xml:space="preserve">נמצא כי למרות האמור, פרט לניסיון אחד בשנות השבעים, </w:t>
      </w:r>
      <w:r w:rsidRPr="00331AB4">
        <w:rPr>
          <w:rFonts w:hint="cs"/>
          <w:rtl/>
        </w:rPr>
        <w:t>רמ"י</w:t>
      </w:r>
      <w:r w:rsidRPr="00331AB4">
        <w:rPr>
          <w:rFonts w:hint="cs"/>
          <w:rtl/>
        </w:rPr>
        <w:t xml:space="preserve"> - האחראית לניהול מקרקעי ישראל כנאמן הציבור, לא בחנה את האפשרות לפעול לצמצום תחום הזיכיון. נציגי </w:t>
      </w:r>
      <w:r w:rsidRPr="00331AB4">
        <w:rPr>
          <w:rFonts w:hint="cs"/>
          <w:rtl/>
        </w:rPr>
        <w:t>מי"ה</w:t>
      </w:r>
      <w:r w:rsidRPr="00331AB4">
        <w:rPr>
          <w:rFonts w:hint="cs"/>
          <w:rtl/>
        </w:rPr>
        <w:t xml:space="preserve"> ציינו בפני משרד מבקר המדינה ביוני 2024 כי אילו היו פונים אליהם בנושא, הם היו שוקלים את החזרת השטחים אשר אין להם בהם עניין. </w:t>
      </w:r>
    </w:p>
    <w:bookmarkEnd w:id="46"/>
    <w:p w:rsidR="006734B0" w:rsidRPr="00331AB4" w:rsidP="00331AB4" w14:paraId="64187424" w14:textId="17FC11C8">
      <w:pPr>
        <w:pStyle w:val="7318"/>
        <w:rPr>
          <w:rtl/>
        </w:rPr>
      </w:pPr>
      <w:r w:rsidRPr="00331AB4">
        <w:rPr>
          <w:rFonts w:hint="cs"/>
          <w:rtl/>
        </w:rPr>
        <w:t xml:space="preserve">הקצאת שטח כה נרחב לרבות שטחים שבהם לא נעשה שימוש ושאינם קשורים באופן ישיר להפקת המשאבים מקשה מאד על פיתוח הקרקעות האלה לטובת צרכים ציבוריים אחרים. </w:t>
      </w:r>
      <w:bookmarkStart w:id="47" w:name="_Hlk174283986"/>
      <w:r w:rsidRPr="00331AB4">
        <w:rPr>
          <w:rFonts w:hint="cs"/>
          <w:rtl/>
        </w:rPr>
        <w:t xml:space="preserve">הענקת זכויות בקרקע לגורם תעשייתי בתחום כה נרחב הכולל שמורות טבע ואתרי מורשת ייחודיים, מעלה חשש שלא בהכרח ניתן ביטוי מספק לשיקולים סביבתיים ולאינטרסים ציבוריים נוספים בקבלת ההחלטות, וכי לא נעשה איזון ראוי בין האינטרסים של בעל הזיכיון לבין שמירה על טובת הציבור והסביבה לגבי קרקעות אלו. לדברי המועצה האזורית תמר, המצב שנוצר שבו </w:t>
      </w:r>
      <w:r w:rsidRPr="00331AB4">
        <w:rPr>
          <w:rFonts w:hint="cs"/>
          <w:rtl/>
        </w:rPr>
        <w:t>רמ"י</w:t>
      </w:r>
      <w:r w:rsidRPr="00331AB4">
        <w:rPr>
          <w:rFonts w:hint="cs"/>
          <w:rtl/>
        </w:rPr>
        <w:t xml:space="preserve"> דורשת לקבל את אישור </w:t>
      </w:r>
      <w:r w:rsidRPr="00331AB4">
        <w:rPr>
          <w:rFonts w:hint="cs"/>
          <w:rtl/>
        </w:rPr>
        <w:t>מי"ה</w:t>
      </w:r>
      <w:r w:rsidRPr="00331AB4">
        <w:rPr>
          <w:rFonts w:hint="cs"/>
          <w:rtl/>
        </w:rPr>
        <w:t xml:space="preserve"> בכל היתר בנייה המבוקש בתחום הקרקעות החכורות, גם כאשר מדובר בשטחים המיועדים </w:t>
      </w:r>
      <w:r w:rsidRPr="004321B0" w:rsidR="004321B0">
        <w:rPr>
          <w:rtl/>
        </w:rPr>
        <w:t>למגורים ולמלונות, יוצר</w:t>
      </w:r>
      <w:r w:rsidRPr="00331AB4">
        <w:rPr>
          <w:rFonts w:hint="cs"/>
          <w:rtl/>
        </w:rPr>
        <w:t xml:space="preserve"> הכבדה בירוקרטית מיותרת על תושבי האזור ועל היזמים ועיכובים בבנייה ובפיתוח שלא לצורך. </w:t>
      </w:r>
    </w:p>
    <w:p w:rsidR="006734B0" w:rsidRPr="00331AB4" w:rsidP="00331AB4" w14:paraId="192C7C9F" w14:textId="77777777">
      <w:pPr>
        <w:pStyle w:val="7392"/>
        <w:rPr>
          <w:rtl/>
        </w:rPr>
      </w:pPr>
      <w:r w:rsidRPr="00331AB4">
        <w:rPr>
          <w:rFonts w:hint="cs"/>
          <w:rtl/>
        </w:rPr>
        <w:t>רמ"י</w:t>
      </w:r>
      <w:r w:rsidRPr="00331AB4">
        <w:rPr>
          <w:rFonts w:hint="cs"/>
          <w:rtl/>
        </w:rPr>
        <w:t xml:space="preserve"> מסרה בתשובתה למשרד מבקר המדינה כי שטח הזיכיון לא צומצם, מאחר שהזיכיון ושטחו נקבעו בחוק; וכי עם זאת הלכה למעשה השטח צומצם משום שבמרוצת השנים נערכו בקרקעות השמורות עסקאות מקרקעין עם צדדים שלישיים, לאחר </w:t>
      </w:r>
      <w:r w:rsidRPr="00331AB4">
        <w:rPr>
          <w:rFonts w:hint="cs"/>
          <w:rtl/>
        </w:rPr>
        <w:t>שמי"ה</w:t>
      </w:r>
      <w:r w:rsidRPr="00331AB4">
        <w:rPr>
          <w:rFonts w:hint="cs"/>
          <w:rtl/>
        </w:rPr>
        <w:t xml:space="preserve"> נתנה את אישורה והסכמתה לכך. </w:t>
      </w:r>
    </w:p>
    <w:p w:rsidR="006734B0" w:rsidRPr="00331AB4" w:rsidP="00331AB4" w14:paraId="5AB596AF" w14:textId="533336F4">
      <w:pPr>
        <w:pStyle w:val="7392"/>
        <w:rPr>
          <w:rtl/>
        </w:rPr>
      </w:pPr>
      <w:r w:rsidRPr="00331AB4">
        <w:rPr>
          <w:rFonts w:hint="cs"/>
          <w:rtl/>
        </w:rPr>
        <w:t>משרד האוצר מסר בתשובתו למשרד מבקר המדינה כי הצוות הבין-משרדי להיערכות לתום תקופת הזיכיון המליץ על הקטנה משמעותית של שטח הזיכיון העתידי</w:t>
      </w:r>
      <w:r>
        <w:rPr>
          <w:rStyle w:val="FootnoteReference1"/>
          <w:rtl/>
        </w:rPr>
        <w:footnoteReference w:id="64"/>
      </w:r>
      <w:r w:rsidRPr="00331AB4">
        <w:rPr>
          <w:rFonts w:hint="cs"/>
          <w:rtl/>
        </w:rPr>
        <w:t xml:space="preserve">, באופן שהוא יכיל רק את השטחים הנדרשים לפעילות התפעולית של המפעלים. עוד הוא ציין בתשובתו כי התערבות בזיכיון הנוכחי, בנקודת הזמן שבו הוא לקראת סיום והזיכיון העתידי נמצא בשלבי גיבוש, היא בעייתית ובין היתר עלולה להרתיע שחקנים מהתמודדות במכרז על הזיכיון העתידי. </w:t>
      </w:r>
    </w:p>
    <w:p w:rsidR="006734B0" w:rsidRPr="00331AB4" w:rsidP="00331AB4" w14:paraId="036296E3" w14:textId="77777777">
      <w:pPr>
        <w:pStyle w:val="7392"/>
        <w:rPr>
          <w:rtl/>
        </w:rPr>
      </w:pPr>
      <w:r w:rsidRPr="00331AB4">
        <w:rPr>
          <w:rFonts w:hint="cs"/>
          <w:rtl/>
        </w:rPr>
        <w:t>מי"ה</w:t>
      </w:r>
      <w:r w:rsidRPr="00331AB4">
        <w:rPr>
          <w:rFonts w:hint="cs"/>
          <w:rtl/>
        </w:rPr>
        <w:t xml:space="preserve"> מסרה בתשובתה למשרד מבקר המדינה כי שטחים שהועברו לשימוש גורמים אחרים אינם כלולים עוד בקרקעות החכורות של </w:t>
      </w:r>
      <w:r w:rsidRPr="00331AB4">
        <w:rPr>
          <w:rFonts w:hint="cs"/>
          <w:rtl/>
        </w:rPr>
        <w:t>מי"ה</w:t>
      </w:r>
      <w:r w:rsidRPr="00331AB4">
        <w:rPr>
          <w:rFonts w:hint="cs"/>
          <w:rtl/>
        </w:rPr>
        <w:t xml:space="preserve">, ובהם גם שטחי יישובים. </w:t>
      </w:r>
      <w:r w:rsidRPr="00331AB4">
        <w:rPr>
          <w:rtl/>
        </w:rPr>
        <w:t xml:space="preserve">הצורך באישורים של </w:t>
      </w:r>
      <w:r w:rsidRPr="00331AB4">
        <w:rPr>
          <w:rFonts w:hint="eastAsia"/>
          <w:rtl/>
        </w:rPr>
        <w:t>מי</w:t>
      </w:r>
      <w:r w:rsidRPr="00331AB4">
        <w:rPr>
          <w:rtl/>
        </w:rPr>
        <w:t>"ה</w:t>
      </w:r>
      <w:r w:rsidRPr="00331AB4">
        <w:rPr>
          <w:rtl/>
        </w:rPr>
        <w:t xml:space="preserve"> להיתרי בנ</w:t>
      </w:r>
      <w:r w:rsidRPr="00331AB4">
        <w:rPr>
          <w:rFonts w:hint="cs"/>
          <w:rtl/>
        </w:rPr>
        <w:t>י</w:t>
      </w:r>
      <w:r w:rsidRPr="00331AB4">
        <w:rPr>
          <w:rtl/>
        </w:rPr>
        <w:t xml:space="preserve">יה, כאשר הוא קיים, אינו </w:t>
      </w:r>
      <w:r w:rsidRPr="00331AB4">
        <w:rPr>
          <w:rFonts w:hint="eastAsia"/>
          <w:rtl/>
        </w:rPr>
        <w:t>נובע</w:t>
      </w:r>
      <w:r w:rsidRPr="00331AB4">
        <w:rPr>
          <w:rtl/>
        </w:rPr>
        <w:t xml:space="preserve"> </w:t>
      </w:r>
      <w:r w:rsidRPr="00331AB4">
        <w:rPr>
          <w:rFonts w:hint="eastAsia"/>
          <w:rtl/>
        </w:rPr>
        <w:t>מהימצאות</w:t>
      </w:r>
      <w:r w:rsidRPr="00331AB4">
        <w:rPr>
          <w:rtl/>
        </w:rPr>
        <w:t xml:space="preserve"> </w:t>
      </w:r>
      <w:r w:rsidRPr="00331AB4">
        <w:rPr>
          <w:rFonts w:hint="eastAsia"/>
          <w:rtl/>
        </w:rPr>
        <w:t>הנכס</w:t>
      </w:r>
      <w:r w:rsidRPr="00331AB4">
        <w:rPr>
          <w:rtl/>
        </w:rPr>
        <w:t xml:space="preserve"> </w:t>
      </w:r>
      <w:r w:rsidRPr="00331AB4">
        <w:rPr>
          <w:rFonts w:hint="eastAsia"/>
          <w:rtl/>
        </w:rPr>
        <w:t>בתחומי</w:t>
      </w:r>
      <w:r w:rsidRPr="00331AB4">
        <w:rPr>
          <w:rtl/>
        </w:rPr>
        <w:t xml:space="preserve"> </w:t>
      </w:r>
      <w:r w:rsidRPr="00331AB4">
        <w:rPr>
          <w:rFonts w:hint="eastAsia"/>
          <w:rtl/>
        </w:rPr>
        <w:t>הזיכיון</w:t>
      </w:r>
      <w:r w:rsidRPr="00331AB4">
        <w:rPr>
          <w:rtl/>
        </w:rPr>
        <w:t xml:space="preserve">, </w:t>
      </w:r>
      <w:r w:rsidRPr="00331AB4">
        <w:rPr>
          <w:rFonts w:hint="eastAsia"/>
          <w:rtl/>
        </w:rPr>
        <w:t>אלא</w:t>
      </w:r>
      <w:r w:rsidRPr="00331AB4">
        <w:rPr>
          <w:rtl/>
        </w:rPr>
        <w:t xml:space="preserve"> </w:t>
      </w:r>
      <w:r w:rsidRPr="00331AB4">
        <w:rPr>
          <w:rFonts w:hint="eastAsia"/>
          <w:rtl/>
        </w:rPr>
        <w:t>מקיומן</w:t>
      </w:r>
      <w:r w:rsidRPr="00331AB4">
        <w:rPr>
          <w:rtl/>
        </w:rPr>
        <w:t xml:space="preserve"> </w:t>
      </w:r>
      <w:r w:rsidRPr="00331AB4">
        <w:rPr>
          <w:rFonts w:hint="eastAsia"/>
          <w:rtl/>
        </w:rPr>
        <w:t>של</w:t>
      </w:r>
      <w:r w:rsidRPr="00331AB4">
        <w:rPr>
          <w:rtl/>
        </w:rPr>
        <w:t xml:space="preserve"> </w:t>
      </w:r>
      <w:r w:rsidRPr="00331AB4">
        <w:rPr>
          <w:rFonts w:hint="eastAsia"/>
          <w:rtl/>
        </w:rPr>
        <w:t>התנגשויות</w:t>
      </w:r>
      <w:r w:rsidRPr="00331AB4">
        <w:rPr>
          <w:rtl/>
        </w:rPr>
        <w:t xml:space="preserve"> </w:t>
      </w:r>
      <w:r w:rsidRPr="00331AB4">
        <w:rPr>
          <w:rFonts w:hint="eastAsia"/>
          <w:rtl/>
        </w:rPr>
        <w:t>אפשריות</w:t>
      </w:r>
      <w:r w:rsidRPr="00331AB4">
        <w:rPr>
          <w:rtl/>
        </w:rPr>
        <w:t xml:space="preserve"> </w:t>
      </w:r>
      <w:r w:rsidRPr="00331AB4">
        <w:rPr>
          <w:rFonts w:hint="eastAsia"/>
          <w:rtl/>
        </w:rPr>
        <w:t>המחייבות</w:t>
      </w:r>
      <w:r w:rsidRPr="00331AB4">
        <w:rPr>
          <w:rtl/>
        </w:rPr>
        <w:t xml:space="preserve"> </w:t>
      </w:r>
      <w:r w:rsidRPr="00331AB4">
        <w:rPr>
          <w:rFonts w:hint="eastAsia"/>
          <w:rtl/>
        </w:rPr>
        <w:t>בקרה</w:t>
      </w:r>
      <w:r w:rsidRPr="00331AB4">
        <w:rPr>
          <w:rtl/>
        </w:rPr>
        <w:t xml:space="preserve"> </w:t>
      </w:r>
      <w:r w:rsidRPr="00331AB4">
        <w:rPr>
          <w:rFonts w:hint="eastAsia"/>
          <w:rtl/>
        </w:rPr>
        <w:t>וזהירות</w:t>
      </w:r>
      <w:r w:rsidRPr="00331AB4">
        <w:rPr>
          <w:rtl/>
        </w:rPr>
        <w:t xml:space="preserve">, </w:t>
      </w:r>
      <w:r w:rsidRPr="00331AB4">
        <w:rPr>
          <w:rFonts w:hint="eastAsia"/>
          <w:rtl/>
        </w:rPr>
        <w:t>ורק</w:t>
      </w:r>
      <w:r w:rsidRPr="00331AB4">
        <w:rPr>
          <w:rtl/>
        </w:rPr>
        <w:t xml:space="preserve"> כאשר קיים חשש להתנגשות </w:t>
      </w:r>
      <w:r w:rsidRPr="00331AB4">
        <w:rPr>
          <w:rFonts w:hint="eastAsia"/>
          <w:rtl/>
        </w:rPr>
        <w:t>בין</w:t>
      </w:r>
      <w:r w:rsidRPr="00331AB4">
        <w:rPr>
          <w:rtl/>
        </w:rPr>
        <w:t xml:space="preserve"> פעילויות כך שהאחת תסכן או תפריע לאחרת, נדרש האישור</w:t>
      </w:r>
      <w:r w:rsidRPr="00331AB4">
        <w:rPr>
          <w:rFonts w:hint="cs"/>
          <w:rtl/>
        </w:rPr>
        <w:t xml:space="preserve"> כדי</w:t>
      </w:r>
      <w:r w:rsidRPr="00331AB4">
        <w:rPr>
          <w:rtl/>
        </w:rPr>
        <w:t xml:space="preserve"> שייקבעו התנאים שיאפשרו את הפעילות. הטענה </w:t>
      </w:r>
      <w:r w:rsidRPr="00331AB4">
        <w:rPr>
          <w:rFonts w:hint="eastAsia"/>
          <w:rtl/>
        </w:rPr>
        <w:t>שהובאה</w:t>
      </w:r>
      <w:r w:rsidRPr="00331AB4">
        <w:rPr>
          <w:rtl/>
        </w:rPr>
        <w:t xml:space="preserve"> מפי המועצה האזורית תמר בדבר הכבדה בירוקרטית מיותרת על תושבי </w:t>
      </w:r>
      <w:r w:rsidRPr="00331AB4">
        <w:rPr>
          <w:rFonts w:hint="eastAsia"/>
          <w:rtl/>
        </w:rPr>
        <w:t>האזור</w:t>
      </w:r>
      <w:r w:rsidRPr="00331AB4">
        <w:rPr>
          <w:rtl/>
        </w:rPr>
        <w:t xml:space="preserve"> </w:t>
      </w:r>
      <w:r w:rsidRPr="00331AB4">
        <w:rPr>
          <w:rFonts w:hint="eastAsia"/>
          <w:rtl/>
        </w:rPr>
        <w:t>משוללת</w:t>
      </w:r>
      <w:r w:rsidRPr="00331AB4">
        <w:rPr>
          <w:rtl/>
        </w:rPr>
        <w:t xml:space="preserve"> </w:t>
      </w:r>
      <w:r w:rsidRPr="00331AB4">
        <w:rPr>
          <w:rFonts w:hint="eastAsia"/>
          <w:rtl/>
        </w:rPr>
        <w:t>כל</w:t>
      </w:r>
      <w:r w:rsidRPr="00331AB4">
        <w:rPr>
          <w:rtl/>
        </w:rPr>
        <w:t xml:space="preserve"> </w:t>
      </w:r>
      <w:r w:rsidRPr="00331AB4">
        <w:rPr>
          <w:rFonts w:hint="eastAsia"/>
          <w:rtl/>
        </w:rPr>
        <w:t>יסוד</w:t>
      </w:r>
      <w:r w:rsidRPr="00331AB4">
        <w:rPr>
          <w:rFonts w:hint="cs"/>
          <w:rtl/>
        </w:rPr>
        <w:t xml:space="preserve">, </w:t>
      </w:r>
      <w:r w:rsidRPr="00331AB4">
        <w:rPr>
          <w:rFonts w:hint="eastAsia"/>
          <w:rtl/>
        </w:rPr>
        <w:t>ובאותם</w:t>
      </w:r>
      <w:r w:rsidRPr="00331AB4">
        <w:rPr>
          <w:rtl/>
        </w:rPr>
        <w:t xml:space="preserve"> </w:t>
      </w:r>
      <w:r w:rsidRPr="00331AB4">
        <w:rPr>
          <w:rFonts w:hint="eastAsia"/>
          <w:rtl/>
        </w:rPr>
        <w:t>מקרים</w:t>
      </w:r>
      <w:r w:rsidRPr="00331AB4">
        <w:rPr>
          <w:rtl/>
        </w:rPr>
        <w:t xml:space="preserve"> </w:t>
      </w:r>
      <w:r w:rsidRPr="00331AB4">
        <w:rPr>
          <w:rFonts w:hint="eastAsia"/>
          <w:rtl/>
        </w:rPr>
        <w:t>שבהם</w:t>
      </w:r>
      <w:r w:rsidRPr="00331AB4">
        <w:rPr>
          <w:rtl/>
        </w:rPr>
        <w:t xml:space="preserve"> </w:t>
      </w:r>
      <w:r w:rsidRPr="00331AB4">
        <w:rPr>
          <w:rFonts w:hint="eastAsia"/>
          <w:rtl/>
        </w:rPr>
        <w:t>נדרשת</w:t>
      </w:r>
      <w:r w:rsidRPr="00331AB4">
        <w:rPr>
          <w:rtl/>
        </w:rPr>
        <w:t xml:space="preserve"> </w:t>
      </w:r>
      <w:r w:rsidRPr="00331AB4">
        <w:rPr>
          <w:rFonts w:hint="eastAsia"/>
          <w:rtl/>
        </w:rPr>
        <w:t>היוועצות</w:t>
      </w:r>
      <w:r w:rsidRPr="00331AB4">
        <w:rPr>
          <w:rtl/>
        </w:rPr>
        <w:t xml:space="preserve"> </w:t>
      </w:r>
      <w:r w:rsidRPr="00331AB4">
        <w:rPr>
          <w:rFonts w:hint="eastAsia"/>
          <w:rtl/>
        </w:rPr>
        <w:t>במי</w:t>
      </w:r>
      <w:r w:rsidRPr="00331AB4">
        <w:rPr>
          <w:rtl/>
        </w:rPr>
        <w:t>"ה</w:t>
      </w:r>
      <w:r w:rsidRPr="00331AB4">
        <w:rPr>
          <w:rtl/>
        </w:rPr>
        <w:t xml:space="preserve">, </w:t>
      </w:r>
      <w:r w:rsidRPr="00331AB4">
        <w:rPr>
          <w:rFonts w:hint="eastAsia"/>
          <w:rtl/>
        </w:rPr>
        <w:t>הדבר</w:t>
      </w:r>
      <w:r w:rsidRPr="00331AB4">
        <w:rPr>
          <w:rtl/>
        </w:rPr>
        <w:t xml:space="preserve"> </w:t>
      </w:r>
      <w:r w:rsidRPr="00331AB4">
        <w:rPr>
          <w:rFonts w:hint="eastAsia"/>
          <w:rtl/>
        </w:rPr>
        <w:t>חיוני</w:t>
      </w:r>
      <w:r w:rsidRPr="00331AB4">
        <w:rPr>
          <w:rtl/>
        </w:rPr>
        <w:t xml:space="preserve"> </w:t>
      </w:r>
      <w:r w:rsidRPr="00331AB4">
        <w:rPr>
          <w:rFonts w:hint="eastAsia"/>
          <w:rtl/>
        </w:rPr>
        <w:t>ואף</w:t>
      </w:r>
      <w:r w:rsidRPr="00331AB4">
        <w:rPr>
          <w:rtl/>
        </w:rPr>
        <w:t xml:space="preserve"> </w:t>
      </w:r>
      <w:r w:rsidRPr="00331AB4">
        <w:rPr>
          <w:rFonts w:hint="eastAsia"/>
          <w:rtl/>
        </w:rPr>
        <w:t>מתחייב</w:t>
      </w:r>
      <w:r w:rsidRPr="00331AB4">
        <w:rPr>
          <w:rtl/>
        </w:rPr>
        <w:t xml:space="preserve"> </w:t>
      </w:r>
      <w:r w:rsidRPr="00331AB4">
        <w:rPr>
          <w:rFonts w:hint="eastAsia"/>
          <w:rtl/>
        </w:rPr>
        <w:t>בדין</w:t>
      </w:r>
      <w:r w:rsidRPr="00331AB4">
        <w:rPr>
          <w:rtl/>
        </w:rPr>
        <w:t xml:space="preserve"> </w:t>
      </w:r>
      <w:r w:rsidRPr="00331AB4">
        <w:rPr>
          <w:rFonts w:hint="eastAsia"/>
          <w:rtl/>
        </w:rPr>
        <w:t>לפי</w:t>
      </w:r>
      <w:r w:rsidRPr="00331AB4">
        <w:rPr>
          <w:rtl/>
        </w:rPr>
        <w:t xml:space="preserve"> </w:t>
      </w:r>
      <w:r w:rsidRPr="00331AB4">
        <w:rPr>
          <w:rFonts w:hint="eastAsia"/>
          <w:rtl/>
        </w:rPr>
        <w:t>התוכניות</w:t>
      </w:r>
      <w:r w:rsidRPr="00331AB4">
        <w:rPr>
          <w:rtl/>
        </w:rPr>
        <w:t xml:space="preserve"> </w:t>
      </w:r>
      <w:r w:rsidRPr="00331AB4">
        <w:rPr>
          <w:rFonts w:hint="eastAsia"/>
          <w:rtl/>
        </w:rPr>
        <w:t>החלות</w:t>
      </w:r>
      <w:r w:rsidRPr="00331AB4">
        <w:rPr>
          <w:rFonts w:hint="cs"/>
          <w:rtl/>
        </w:rPr>
        <w:t xml:space="preserve"> על השטח</w:t>
      </w:r>
      <w:r w:rsidRPr="00331AB4">
        <w:rPr>
          <w:rtl/>
        </w:rPr>
        <w:t xml:space="preserve">. </w:t>
      </w:r>
      <w:r w:rsidRPr="00331AB4">
        <w:rPr>
          <w:rFonts w:hint="cs"/>
          <w:rtl/>
        </w:rPr>
        <w:t xml:space="preserve">עוד טענה </w:t>
      </w:r>
      <w:r w:rsidRPr="00331AB4">
        <w:rPr>
          <w:rFonts w:hint="cs"/>
          <w:rtl/>
        </w:rPr>
        <w:t>מי"ה</w:t>
      </w:r>
      <w:r w:rsidRPr="00331AB4">
        <w:rPr>
          <w:rFonts w:hint="cs"/>
          <w:rtl/>
        </w:rPr>
        <w:t xml:space="preserve"> כי מתוך הבנת הצרכים והרצון </w:t>
      </w:r>
      <w:r w:rsidRPr="00331AB4">
        <w:rPr>
          <w:rFonts w:hint="cs"/>
          <w:rtl/>
        </w:rPr>
        <w:t xml:space="preserve">שלא לייצר חובת תיאום כאשר היא אינה חיונית, בתוכנית המסדירה את פעילות בתי המלון נקבעו הוראות שנועדו להקל על בעלי העניין, </w:t>
      </w:r>
      <w:r w:rsidRPr="00331AB4">
        <w:rPr>
          <w:rFonts w:hint="cs"/>
          <w:rtl/>
        </w:rPr>
        <w:t>ומי"ה</w:t>
      </w:r>
      <w:r w:rsidRPr="00331AB4">
        <w:rPr>
          <w:rFonts w:hint="cs"/>
          <w:rtl/>
        </w:rPr>
        <w:t xml:space="preserve"> מסרה רשימה של מגרשים מסוימים שרק לגביהם נדרשת חובת התייעצות, וכי בבנייה פרטית ביישובים ובשטחים חקלאיים היא אינה נדרשת להתייחסות להיתרי בנייה, למעט במקרים חריגים שבהם קיים ממשק לפעילות </w:t>
      </w:r>
      <w:r w:rsidRPr="00331AB4">
        <w:rPr>
          <w:rFonts w:hint="cs"/>
          <w:rtl/>
        </w:rPr>
        <w:t>מי"ה</w:t>
      </w:r>
      <w:r w:rsidRPr="00331AB4">
        <w:rPr>
          <w:rFonts w:hint="cs"/>
          <w:rtl/>
        </w:rPr>
        <w:t xml:space="preserve">. </w:t>
      </w:r>
    </w:p>
    <w:p w:rsidR="006734B0" w:rsidRPr="00331AB4" w:rsidP="00331AB4" w14:paraId="784337BC" w14:textId="6770F87E">
      <w:pPr>
        <w:pStyle w:val="7318"/>
        <w:rPr>
          <w:rtl/>
        </w:rPr>
      </w:pPr>
      <w:bookmarkStart w:id="48" w:name="_Hlk173915208"/>
      <w:bookmarkEnd w:id="47"/>
      <w:r w:rsidRPr="00331AB4">
        <w:rPr>
          <w:rFonts w:hint="cs"/>
          <w:rtl/>
        </w:rPr>
        <w:t xml:space="preserve">מומלץ כי </w:t>
      </w:r>
      <w:r w:rsidRPr="00331AB4">
        <w:rPr>
          <w:rFonts w:hint="cs"/>
          <w:rtl/>
        </w:rPr>
        <w:t>רמ"י</w:t>
      </w:r>
      <w:r w:rsidRPr="00331AB4">
        <w:rPr>
          <w:rFonts w:hint="cs"/>
          <w:rtl/>
        </w:rPr>
        <w:t xml:space="preserve"> - כגורם האחראי לניהול אדמות המדינה, ומשרד האוצר - כמשרד האחראי לחוק הזיכיון, יבחנו מול </w:t>
      </w:r>
      <w:r w:rsidRPr="00331AB4">
        <w:rPr>
          <w:rFonts w:hint="cs"/>
          <w:rtl/>
        </w:rPr>
        <w:t>מי"ה</w:t>
      </w:r>
      <w:r w:rsidRPr="00331AB4">
        <w:rPr>
          <w:rFonts w:hint="cs"/>
          <w:rtl/>
        </w:rPr>
        <w:t xml:space="preserve"> את צמצום שטח הזיכיון מפעם לפעם ויפנו אליה </w:t>
      </w:r>
      <w:r w:rsidRPr="00B87DD9" w:rsidR="00B87DD9">
        <w:rPr>
          <w:rtl/>
        </w:rPr>
        <w:t>לפי הצורך</w:t>
      </w:r>
      <w:r w:rsidRPr="00331AB4">
        <w:rPr>
          <w:rFonts w:hint="cs"/>
          <w:rtl/>
        </w:rPr>
        <w:t xml:space="preserve"> כדי ששטחים שלא נדרשים לה ייגרעו מתחום הזיכיון וכי </w:t>
      </w:r>
      <w:r w:rsidRPr="00331AB4">
        <w:rPr>
          <w:rFonts w:hint="cs"/>
          <w:rtl/>
        </w:rPr>
        <w:t>רמ"י</w:t>
      </w:r>
      <w:r w:rsidRPr="00331AB4">
        <w:rPr>
          <w:rFonts w:hint="cs"/>
          <w:rtl/>
        </w:rPr>
        <w:t xml:space="preserve"> תשקול לייתר את הדרישה שלה </w:t>
      </w:r>
      <w:r w:rsidRPr="00331AB4">
        <w:rPr>
          <w:rtl/>
        </w:rPr>
        <w:t>בחתימ</w:t>
      </w:r>
      <w:r w:rsidRPr="00331AB4">
        <w:rPr>
          <w:rFonts w:hint="cs"/>
          <w:rtl/>
        </w:rPr>
        <w:t xml:space="preserve">ת </w:t>
      </w:r>
      <w:r w:rsidRPr="00331AB4">
        <w:rPr>
          <w:rFonts w:hint="cs"/>
          <w:rtl/>
        </w:rPr>
        <w:t>מי"ה</w:t>
      </w:r>
      <w:r w:rsidRPr="00331AB4">
        <w:rPr>
          <w:rFonts w:hint="cs"/>
          <w:rtl/>
        </w:rPr>
        <w:t xml:space="preserve"> על היתרי בנייה </w:t>
      </w:r>
      <w:r w:rsidRPr="00331AB4">
        <w:rPr>
          <w:rtl/>
        </w:rPr>
        <w:t xml:space="preserve">כאשר מדובר בקרקעות </w:t>
      </w:r>
      <w:r w:rsidRPr="00331AB4">
        <w:rPr>
          <w:rFonts w:hint="cs"/>
          <w:rtl/>
        </w:rPr>
        <w:t xml:space="preserve">חכורות </w:t>
      </w:r>
      <w:r w:rsidRPr="00331AB4">
        <w:rPr>
          <w:rtl/>
        </w:rPr>
        <w:t xml:space="preserve">לגביהן כבר </w:t>
      </w:r>
      <w:r w:rsidRPr="00B87DD9" w:rsidR="00B87DD9">
        <w:rPr>
          <w:rtl/>
        </w:rPr>
        <w:t>אושרה</w:t>
      </w:r>
      <w:r w:rsidRPr="00331AB4">
        <w:rPr>
          <w:rtl/>
        </w:rPr>
        <w:t xml:space="preserve"> </w:t>
      </w:r>
      <w:r w:rsidRPr="00331AB4">
        <w:rPr>
          <w:rFonts w:hint="eastAsia"/>
          <w:rtl/>
        </w:rPr>
        <w:t>תוכנית</w:t>
      </w:r>
      <w:r w:rsidRPr="00331AB4">
        <w:rPr>
          <w:rtl/>
        </w:rPr>
        <w:t xml:space="preserve"> </w:t>
      </w:r>
      <w:r w:rsidRPr="00331AB4">
        <w:rPr>
          <w:rFonts w:hint="cs"/>
          <w:rtl/>
        </w:rPr>
        <w:t>סטוטוטורית</w:t>
      </w:r>
      <w:r w:rsidRPr="00331AB4">
        <w:rPr>
          <w:rFonts w:hint="cs"/>
          <w:rtl/>
        </w:rPr>
        <w:t xml:space="preserve"> </w:t>
      </w:r>
      <w:r w:rsidRPr="00331AB4">
        <w:rPr>
          <w:rtl/>
        </w:rPr>
        <w:t>המייעדת את ה</w:t>
      </w:r>
      <w:r w:rsidRPr="00331AB4">
        <w:rPr>
          <w:rFonts w:hint="cs"/>
          <w:rtl/>
        </w:rPr>
        <w:t>קרקע</w:t>
      </w:r>
      <w:r w:rsidRPr="00331AB4">
        <w:rPr>
          <w:rtl/>
        </w:rPr>
        <w:t xml:space="preserve"> לשימוש </w:t>
      </w:r>
      <w:r w:rsidRPr="00331AB4">
        <w:rPr>
          <w:rFonts w:hint="eastAsia"/>
          <w:rtl/>
        </w:rPr>
        <w:t>מסו</w:t>
      </w:r>
      <w:r w:rsidRPr="00331AB4">
        <w:rPr>
          <w:rFonts w:hint="cs"/>
          <w:rtl/>
        </w:rPr>
        <w:t xml:space="preserve">ג </w:t>
      </w:r>
      <w:r w:rsidRPr="00331AB4">
        <w:rPr>
          <w:rFonts w:hint="cs"/>
          <w:rtl/>
        </w:rPr>
        <w:t>מסויים</w:t>
      </w:r>
      <w:r w:rsidRPr="00331AB4">
        <w:rPr>
          <w:rFonts w:hint="cs"/>
          <w:rtl/>
        </w:rPr>
        <w:t xml:space="preserve">, דוגמת שימוש למגורים. </w:t>
      </w:r>
      <w:bookmarkEnd w:id="48"/>
      <w:r w:rsidRPr="00331AB4">
        <w:rPr>
          <w:rFonts w:hint="cs"/>
          <w:rtl/>
        </w:rPr>
        <w:t xml:space="preserve">בראייה צופה פני עתיד ולקראת חידוש הזיכיון הבא, פרט לצורך לבחון את צמצום שטח הזיכיון העתידי, מוצע גם כי חוק הזיכיון העתידי </w:t>
      </w:r>
      <w:r w:rsidRPr="00B87DD9" w:rsidR="00B87DD9">
        <w:rPr>
          <w:rtl/>
        </w:rPr>
        <w:t>יכלול</w:t>
      </w:r>
      <w:r w:rsidRPr="00331AB4">
        <w:rPr>
          <w:rFonts w:hint="cs"/>
          <w:rtl/>
        </w:rPr>
        <w:t xml:space="preserve"> מנגנון של גריעת שטחים בהמשך, אם יימצא כי הם אינם דרושים לצורך הזיכיון. </w:t>
      </w:r>
    </w:p>
    <w:p w:rsidR="006734B0" w:rsidRPr="008D2DC1" w:rsidP="008D2DC1" w14:paraId="2BD5C1A0" w14:textId="77777777">
      <w:pPr>
        <w:pStyle w:val="733155"/>
        <w:rPr>
          <w:rtl/>
        </w:rPr>
      </w:pPr>
      <w:r w:rsidRPr="008D2DC1">
        <w:rPr>
          <w:rFonts w:hint="cs"/>
          <w:rtl/>
        </w:rPr>
        <w:t xml:space="preserve">היעדר אסדרה חוזית עם </w:t>
      </w:r>
      <w:r w:rsidRPr="008D2DC1">
        <w:rPr>
          <w:rFonts w:hint="cs"/>
          <w:rtl/>
        </w:rPr>
        <w:t>מי"ה</w:t>
      </w:r>
    </w:p>
    <w:p w:rsidR="006734B0" w:rsidRPr="00331AB4" w:rsidP="00331AB4" w14:paraId="4271D5EA" w14:textId="73F9F28E">
      <w:pPr>
        <w:pStyle w:val="7392"/>
        <w:rPr>
          <w:rtl/>
        </w:rPr>
      </w:pPr>
      <w:r w:rsidRPr="00331AB4">
        <w:rPr>
          <w:rFonts w:hint="cs"/>
          <w:rtl/>
        </w:rPr>
        <w:t>רמ"י</w:t>
      </w:r>
      <w:r w:rsidRPr="00331AB4">
        <w:rPr>
          <w:rFonts w:hint="cs"/>
          <w:rtl/>
        </w:rPr>
        <w:t xml:space="preserve"> מחכירה את מקרקעי ישראל שבניהולה באמצעות חוזי חכירה. חוזים אלו כוללים הוראות שונות שמטרתן לשמור על האינטרס הציבורי בקרקע, ובהן גם הוראות בדבר החובה לשמור על המוחכר במצב טוב ותקין, וכי לא ייעשו חפירות בקרקע מעל למידה הדרושה לביצוע החכירה ועוד. </w:t>
      </w:r>
    </w:p>
    <w:p w:rsidR="006734B0" w:rsidRPr="00331AB4" w:rsidP="00331AB4" w14:paraId="24285417" w14:textId="77777777">
      <w:pPr>
        <w:pStyle w:val="7318"/>
        <w:rPr>
          <w:rtl/>
        </w:rPr>
      </w:pPr>
      <w:bookmarkStart w:id="49" w:name="_Hlk173915340"/>
      <w:r w:rsidRPr="00331AB4">
        <w:rPr>
          <w:rFonts w:hint="eastAsia"/>
          <w:rtl/>
        </w:rPr>
        <w:t>בכל</w:t>
      </w:r>
      <w:r w:rsidRPr="00331AB4">
        <w:rPr>
          <w:rtl/>
        </w:rPr>
        <w:t xml:space="preserve"> הנוגע למקרקעי ישראל בתחום הזיכיון, החוק קובע כי הקרקע </w:t>
      </w:r>
      <w:r w:rsidRPr="00331AB4">
        <w:rPr>
          <w:rFonts w:hint="cs"/>
          <w:rtl/>
        </w:rPr>
        <w:t>מוחכרת בזאת</w:t>
      </w:r>
      <w:r w:rsidRPr="00331AB4">
        <w:rPr>
          <w:rtl/>
        </w:rPr>
        <w:t xml:space="preserve"> לבעל הזיכיון. בשנת 1975 נחתם זיכרון דברים בין </w:t>
      </w:r>
      <w:r w:rsidRPr="00331AB4">
        <w:rPr>
          <w:rFonts w:hint="eastAsia"/>
          <w:rtl/>
        </w:rPr>
        <w:t>רמ</w:t>
      </w:r>
      <w:r w:rsidRPr="00331AB4">
        <w:rPr>
          <w:rtl/>
        </w:rPr>
        <w:t>"י</w:t>
      </w:r>
      <w:r w:rsidRPr="00331AB4">
        <w:rPr>
          <w:rtl/>
        </w:rPr>
        <w:t xml:space="preserve"> </w:t>
      </w:r>
      <w:r w:rsidRPr="00331AB4">
        <w:rPr>
          <w:rFonts w:hint="eastAsia"/>
          <w:rtl/>
        </w:rPr>
        <w:t>למי</w:t>
      </w:r>
      <w:r w:rsidRPr="00331AB4">
        <w:rPr>
          <w:rtl/>
        </w:rPr>
        <w:t>"ה</w:t>
      </w:r>
      <w:r w:rsidRPr="00331AB4">
        <w:rPr>
          <w:rtl/>
        </w:rPr>
        <w:t xml:space="preserve"> המסדיר את היבטי התשלום בגין הקרקעות בתחום הזיכיון</w:t>
      </w:r>
      <w:r w:rsidRPr="00331AB4">
        <w:rPr>
          <w:rFonts w:hint="cs"/>
          <w:rtl/>
        </w:rPr>
        <w:t xml:space="preserve">, אולם לא קיים חוזה חכירה עם </w:t>
      </w:r>
      <w:r w:rsidRPr="00331AB4">
        <w:rPr>
          <w:rFonts w:hint="cs"/>
          <w:rtl/>
        </w:rPr>
        <w:t>מי"ה</w:t>
      </w:r>
      <w:r w:rsidRPr="00331AB4">
        <w:rPr>
          <w:rFonts w:hint="cs"/>
          <w:rtl/>
        </w:rPr>
        <w:t xml:space="preserve">. </w:t>
      </w:r>
    </w:p>
    <w:bookmarkEnd w:id="49"/>
    <w:p w:rsidR="006734B0" w:rsidRPr="00331AB4" w:rsidP="00331AB4" w14:paraId="3A2EC747" w14:textId="56DB2A4B">
      <w:pPr>
        <w:pStyle w:val="7392"/>
        <w:rPr>
          <w:rtl/>
        </w:rPr>
      </w:pPr>
      <w:r w:rsidRPr="00331AB4">
        <w:rPr>
          <w:rFonts w:hint="cs"/>
          <w:rtl/>
        </w:rPr>
        <w:t xml:space="preserve">באפריל 2024 מסרה </w:t>
      </w:r>
      <w:r w:rsidRPr="00331AB4">
        <w:rPr>
          <w:rFonts w:hint="cs"/>
          <w:rtl/>
        </w:rPr>
        <w:t>רמ"י</w:t>
      </w:r>
      <w:r w:rsidRPr="00331AB4">
        <w:rPr>
          <w:rFonts w:hint="cs"/>
          <w:rtl/>
        </w:rPr>
        <w:t xml:space="preserve"> למשרד מבקר המדינה כי </w:t>
      </w:r>
      <w:r w:rsidRPr="00331AB4">
        <w:rPr>
          <w:rFonts w:hint="cs"/>
          <w:rtl/>
        </w:rPr>
        <w:t>מי"ה</w:t>
      </w:r>
      <w:r w:rsidRPr="00331AB4">
        <w:rPr>
          <w:rFonts w:hint="cs"/>
          <w:rtl/>
        </w:rPr>
        <w:t xml:space="preserve"> הייתה בעבר חברה ממשלתית, ולא נעשתה אסדרה חוזית חדשה עם </w:t>
      </w:r>
      <w:r w:rsidRPr="00331AB4">
        <w:rPr>
          <w:rFonts w:hint="cs"/>
          <w:rtl/>
        </w:rPr>
        <w:t>הפרטתה</w:t>
      </w:r>
      <w:r w:rsidRPr="00331AB4">
        <w:rPr>
          <w:rFonts w:hint="cs"/>
          <w:rtl/>
        </w:rPr>
        <w:t xml:space="preserve">. עוד מסרה </w:t>
      </w:r>
      <w:r w:rsidRPr="00331AB4">
        <w:rPr>
          <w:rFonts w:hint="cs"/>
          <w:rtl/>
        </w:rPr>
        <w:t>רמ"י</w:t>
      </w:r>
      <w:r w:rsidRPr="00331AB4">
        <w:rPr>
          <w:rFonts w:hint="cs"/>
          <w:rtl/>
        </w:rPr>
        <w:t xml:space="preserve"> כי לעמדתה זיכרון הדברים משנת 1975 והוראות חוק הזיכיון הקובעות כי הממשלה מחכירה את הקרקעות החכורות לבעל הזיכיון מהווים אסדרה מספקת. </w:t>
      </w:r>
    </w:p>
    <w:p w:rsidR="006734B0" w:rsidRPr="00331AB4" w:rsidP="00331AB4" w14:paraId="2F9FCF3A" w14:textId="77777777">
      <w:pPr>
        <w:pStyle w:val="7392"/>
        <w:rPr>
          <w:rtl/>
        </w:rPr>
      </w:pPr>
      <w:r w:rsidRPr="00331AB4">
        <w:rPr>
          <w:rFonts w:hint="cs"/>
          <w:rtl/>
        </w:rPr>
        <w:t>מי"ה</w:t>
      </w:r>
      <w:r w:rsidRPr="00331AB4">
        <w:rPr>
          <w:rFonts w:hint="cs"/>
          <w:rtl/>
        </w:rPr>
        <w:t xml:space="preserve"> מסרה בתשובתה למשרד מבקר המדינה כי </w:t>
      </w:r>
      <w:r w:rsidRPr="00331AB4">
        <w:rPr>
          <w:rFonts w:hint="eastAsia"/>
          <w:rtl/>
        </w:rPr>
        <w:t>חוק</w:t>
      </w:r>
      <w:r w:rsidRPr="00331AB4">
        <w:rPr>
          <w:rtl/>
        </w:rPr>
        <w:t xml:space="preserve"> </w:t>
      </w:r>
      <w:r w:rsidRPr="00331AB4">
        <w:rPr>
          <w:rFonts w:hint="eastAsia"/>
          <w:rtl/>
        </w:rPr>
        <w:t>הזיכיון</w:t>
      </w:r>
      <w:r w:rsidRPr="00331AB4">
        <w:rPr>
          <w:rtl/>
        </w:rPr>
        <w:t xml:space="preserve"> </w:t>
      </w:r>
      <w:r w:rsidRPr="00331AB4">
        <w:rPr>
          <w:rFonts w:hint="eastAsia"/>
          <w:rtl/>
        </w:rPr>
        <w:t>הוא</w:t>
      </w:r>
      <w:r w:rsidRPr="00331AB4">
        <w:rPr>
          <w:rtl/>
        </w:rPr>
        <w:t xml:space="preserve"> </w:t>
      </w:r>
      <w:r w:rsidRPr="00331AB4">
        <w:rPr>
          <w:rFonts w:hint="eastAsia"/>
          <w:rtl/>
        </w:rPr>
        <w:t>חוק</w:t>
      </w:r>
      <w:r w:rsidRPr="00331AB4">
        <w:rPr>
          <w:rtl/>
        </w:rPr>
        <w:t xml:space="preserve"> ייחודי, </w:t>
      </w:r>
      <w:r w:rsidRPr="00331AB4">
        <w:rPr>
          <w:rFonts w:hint="eastAsia"/>
          <w:rtl/>
        </w:rPr>
        <w:t>מעוגנת</w:t>
      </w:r>
      <w:r w:rsidRPr="00331AB4">
        <w:rPr>
          <w:rtl/>
        </w:rPr>
        <w:t xml:space="preserve"> בו </w:t>
      </w:r>
      <w:r w:rsidRPr="00331AB4">
        <w:rPr>
          <w:rFonts w:hint="eastAsia"/>
          <w:rtl/>
        </w:rPr>
        <w:t>חכירה</w:t>
      </w:r>
      <w:r w:rsidRPr="00331AB4">
        <w:rPr>
          <w:rtl/>
        </w:rPr>
        <w:t xml:space="preserve"> </w:t>
      </w:r>
      <w:r w:rsidRPr="00331AB4">
        <w:rPr>
          <w:rFonts w:hint="eastAsia"/>
          <w:rtl/>
        </w:rPr>
        <w:t>סטטוטורית</w:t>
      </w:r>
      <w:r w:rsidRPr="00331AB4">
        <w:rPr>
          <w:rtl/>
        </w:rPr>
        <w:t xml:space="preserve"> </w:t>
      </w:r>
      <w:r w:rsidRPr="00331AB4">
        <w:rPr>
          <w:rFonts w:hint="cs"/>
          <w:rtl/>
        </w:rPr>
        <w:t xml:space="preserve">והוא </w:t>
      </w:r>
      <w:r w:rsidRPr="00331AB4">
        <w:rPr>
          <w:rFonts w:hint="eastAsia"/>
          <w:rtl/>
        </w:rPr>
        <w:t>מקנה</w:t>
      </w:r>
      <w:r w:rsidRPr="00331AB4">
        <w:rPr>
          <w:rtl/>
        </w:rPr>
        <w:t xml:space="preserve"> </w:t>
      </w:r>
      <w:r w:rsidRPr="00331AB4">
        <w:rPr>
          <w:rFonts w:hint="cs"/>
          <w:rtl/>
        </w:rPr>
        <w:t>למי"ה</w:t>
      </w:r>
      <w:r w:rsidRPr="00331AB4">
        <w:rPr>
          <w:rFonts w:hint="cs"/>
          <w:rtl/>
        </w:rPr>
        <w:t xml:space="preserve"> </w:t>
      </w:r>
      <w:r w:rsidRPr="00331AB4">
        <w:rPr>
          <w:rFonts w:hint="eastAsia"/>
          <w:rtl/>
        </w:rPr>
        <w:t>זכויות</w:t>
      </w:r>
      <w:r w:rsidRPr="00331AB4">
        <w:rPr>
          <w:rtl/>
        </w:rPr>
        <w:t xml:space="preserve"> </w:t>
      </w:r>
      <w:r w:rsidRPr="00331AB4">
        <w:rPr>
          <w:rFonts w:hint="eastAsia"/>
          <w:rtl/>
        </w:rPr>
        <w:t>וזכויות</w:t>
      </w:r>
      <w:r w:rsidRPr="00331AB4">
        <w:rPr>
          <w:rtl/>
        </w:rPr>
        <w:t xml:space="preserve"> יתר, הגוברות על הוראות דינים אחרים שהוראות רגילות בחוזי חכירה אינן מתיישבות איתן. </w:t>
      </w:r>
      <w:r w:rsidRPr="00331AB4">
        <w:rPr>
          <w:rFonts w:hint="cs"/>
          <w:rtl/>
        </w:rPr>
        <w:t xml:space="preserve">עוד ציינה </w:t>
      </w:r>
      <w:r w:rsidRPr="00331AB4">
        <w:rPr>
          <w:rFonts w:hint="cs"/>
          <w:rtl/>
        </w:rPr>
        <w:t>מי"ה</w:t>
      </w:r>
      <w:r w:rsidRPr="00331AB4">
        <w:rPr>
          <w:rFonts w:hint="cs"/>
          <w:rtl/>
        </w:rPr>
        <w:t xml:space="preserve"> בתשובתה כי לדעתה </w:t>
      </w:r>
      <w:r w:rsidRPr="00331AB4">
        <w:rPr>
          <w:rtl/>
        </w:rPr>
        <w:t xml:space="preserve">הכפפה של החכירה הסטטוטורית ל"חוזה חכירה" שיגביל את הזכויות הנובעות </w:t>
      </w:r>
      <w:r w:rsidRPr="00331AB4">
        <w:rPr>
          <w:rFonts w:hint="eastAsia"/>
          <w:rtl/>
        </w:rPr>
        <w:t>ממנה</w:t>
      </w:r>
      <w:r w:rsidRPr="00331AB4">
        <w:rPr>
          <w:rFonts w:hint="cs"/>
          <w:rtl/>
        </w:rPr>
        <w:t xml:space="preserve"> אינה נדרשת וגם אינה אפשרית</w:t>
      </w:r>
      <w:r w:rsidRPr="00331AB4">
        <w:rPr>
          <w:rtl/>
        </w:rPr>
        <w:t xml:space="preserve">. </w:t>
      </w:r>
    </w:p>
    <w:p w:rsidR="006734B0" w:rsidRPr="00331AB4" w:rsidP="00331AB4" w14:paraId="20DDB525" w14:textId="77777777">
      <w:pPr>
        <w:pStyle w:val="7318"/>
        <w:rPr>
          <w:rtl/>
        </w:rPr>
      </w:pPr>
      <w:r w:rsidRPr="00331AB4">
        <w:rPr>
          <w:rFonts w:hint="cs"/>
          <w:rtl/>
        </w:rPr>
        <w:t xml:space="preserve">מוצע כי </w:t>
      </w:r>
      <w:r w:rsidRPr="00331AB4">
        <w:rPr>
          <w:rFonts w:hint="cs"/>
          <w:rtl/>
        </w:rPr>
        <w:t>רמ"י</w:t>
      </w:r>
      <w:r w:rsidRPr="00331AB4">
        <w:rPr>
          <w:rFonts w:hint="cs"/>
          <w:rtl/>
        </w:rPr>
        <w:t xml:space="preserve"> תבחן אם אין מקום, על אף הסדר הזיכיון הייחודי כפי שבא לידי ביטוי בחוק הזיכיון, להסדיר את היחסים החוזיים בין בעל הזיכיון לבין </w:t>
      </w:r>
      <w:r w:rsidRPr="00331AB4">
        <w:rPr>
          <w:rFonts w:hint="cs"/>
          <w:rtl/>
        </w:rPr>
        <w:t>רמ"י</w:t>
      </w:r>
      <w:r w:rsidRPr="00331AB4">
        <w:rPr>
          <w:rFonts w:hint="cs"/>
          <w:rtl/>
        </w:rPr>
        <w:t xml:space="preserve"> בכל הנוגע לשימוש בקרקעות המדינה, במסגרת של חוזה חכירה. בחינה שכזאת ראויה בפרט במבט צופה פני עתיד לקראת גיבוש הזיכיון העתידי, לאחר סיום הזיכיון הנוכחי בשנת 2030. אסדרה חוזית עשויה לסייע בחיזוק המשילות של </w:t>
      </w:r>
      <w:r w:rsidRPr="00331AB4">
        <w:rPr>
          <w:rFonts w:hint="cs"/>
          <w:rtl/>
        </w:rPr>
        <w:t>רמ"י</w:t>
      </w:r>
      <w:r w:rsidRPr="00331AB4">
        <w:rPr>
          <w:rFonts w:hint="cs"/>
          <w:rtl/>
        </w:rPr>
        <w:t xml:space="preserve"> על מקרקעי ישראל בתחום הזיכיון, להקנות אמצעי אכיפה חוזיים במקרים שבהם מתגלות הפרות וכן ניתן יהיה להסדיר באמצעותה היבטים נוספים כפי שמקובל לגבי מפעלי תעשייה אחרים.</w:t>
      </w:r>
    </w:p>
    <w:p w:rsidR="006734B0" w:rsidRPr="008D2DC1" w:rsidP="008D2DC1" w14:paraId="30CC489C" w14:textId="77777777">
      <w:pPr>
        <w:pStyle w:val="733155"/>
        <w:rPr>
          <w:rtl/>
        </w:rPr>
      </w:pPr>
      <w:bookmarkStart w:id="50" w:name="_Toc170709962"/>
      <w:bookmarkStart w:id="51" w:name="_Toc171509551"/>
      <w:bookmarkStart w:id="52" w:name="_Hlk174284156"/>
      <w:r w:rsidRPr="008D2DC1">
        <w:rPr>
          <w:rFonts w:hint="eastAsia"/>
          <w:rtl/>
        </w:rPr>
        <w:t>התשלום</w:t>
      </w:r>
      <w:r w:rsidRPr="008D2DC1">
        <w:rPr>
          <w:rtl/>
        </w:rPr>
        <w:t xml:space="preserve"> </w:t>
      </w:r>
      <w:r w:rsidRPr="008D2DC1">
        <w:rPr>
          <w:rFonts w:hint="eastAsia"/>
          <w:rtl/>
        </w:rPr>
        <w:t>בגין</w:t>
      </w:r>
      <w:r w:rsidRPr="008D2DC1">
        <w:rPr>
          <w:rtl/>
        </w:rPr>
        <w:t xml:space="preserve"> </w:t>
      </w:r>
      <w:r w:rsidRPr="008D2DC1">
        <w:rPr>
          <w:rFonts w:hint="eastAsia"/>
          <w:rtl/>
        </w:rPr>
        <w:t>ה</w:t>
      </w:r>
      <w:r w:rsidRPr="008D2DC1">
        <w:rPr>
          <w:rFonts w:hint="cs"/>
          <w:rtl/>
        </w:rPr>
        <w:t>שטחים הכלולים</w:t>
      </w:r>
      <w:r w:rsidRPr="008D2DC1">
        <w:rPr>
          <w:rtl/>
        </w:rPr>
        <w:t xml:space="preserve"> </w:t>
      </w:r>
      <w:r w:rsidRPr="008D2DC1">
        <w:rPr>
          <w:rFonts w:hint="eastAsia"/>
          <w:rtl/>
        </w:rPr>
        <w:t>בתחום</w:t>
      </w:r>
      <w:r w:rsidRPr="008D2DC1">
        <w:rPr>
          <w:rtl/>
        </w:rPr>
        <w:t xml:space="preserve"> </w:t>
      </w:r>
      <w:r w:rsidRPr="008D2DC1">
        <w:rPr>
          <w:rFonts w:hint="eastAsia"/>
          <w:rtl/>
        </w:rPr>
        <w:t>הזיכיון</w:t>
      </w:r>
      <w:bookmarkEnd w:id="50"/>
      <w:bookmarkEnd w:id="51"/>
      <w:r w:rsidRPr="008D2DC1">
        <w:rPr>
          <w:rFonts w:hint="cs"/>
          <w:rtl/>
        </w:rPr>
        <w:t xml:space="preserve"> </w:t>
      </w:r>
    </w:p>
    <w:p w:rsidR="006734B0" w:rsidRPr="000A1268" w:rsidP="00331AB4" w14:paraId="280A516E" w14:textId="77777777">
      <w:pPr>
        <w:pStyle w:val="7392"/>
        <w:rPr>
          <w:rtl/>
        </w:rPr>
      </w:pPr>
      <w:bookmarkStart w:id="53" w:name="_Hlk174886932"/>
      <w:bookmarkEnd w:id="52"/>
      <w:r>
        <w:rPr>
          <w:rFonts w:hint="cs"/>
          <w:rtl/>
        </w:rPr>
        <w:t>שטח הזיכיון מחולק כאמור לשלושה סוגים: קרקעות חכורות (המחולקות לקרקע רגילה, קרקע מפעל וקרקע למתקני מים), קרקעות שמורות ושטח ים המלח</w:t>
      </w:r>
      <w:bookmarkEnd w:id="53"/>
      <w:r>
        <w:rPr>
          <w:rFonts w:hint="cs"/>
          <w:rtl/>
        </w:rPr>
        <w:t>.</w:t>
      </w:r>
      <w:r w:rsidRPr="00221DC7">
        <w:rPr>
          <w:rFonts w:hint="cs"/>
          <w:bCs/>
          <w:rtl/>
        </w:rPr>
        <w:t xml:space="preserve"> </w:t>
      </w:r>
      <w:r w:rsidRPr="00221DC7">
        <w:rPr>
          <w:rFonts w:hint="cs"/>
          <w:b/>
          <w:rtl/>
        </w:rPr>
        <w:t xml:space="preserve">החוק קובע </w:t>
      </w:r>
      <w:r w:rsidRPr="00221DC7">
        <w:rPr>
          <w:rFonts w:hint="cs"/>
          <w:rtl/>
        </w:rPr>
        <w:t>כי</w:t>
      </w:r>
      <w:r w:rsidRPr="00221DC7">
        <w:rPr>
          <w:rFonts w:hint="cs"/>
          <w:bCs/>
          <w:rtl/>
        </w:rPr>
        <w:t xml:space="preserve"> </w:t>
      </w:r>
      <w:r w:rsidRPr="00221DC7">
        <w:rPr>
          <w:rFonts w:hint="cs"/>
          <w:b/>
          <w:rtl/>
        </w:rPr>
        <w:t>בעל הזיכיון ישלם תמלוגים למדינה</w:t>
      </w:r>
      <w:r w:rsidRPr="00221DC7">
        <w:rPr>
          <w:rFonts w:hint="cs"/>
          <w:bCs/>
          <w:rtl/>
        </w:rPr>
        <w:t xml:space="preserve"> </w:t>
      </w:r>
      <w:r w:rsidRPr="00221DC7">
        <w:rPr>
          <w:rtl/>
        </w:rPr>
        <w:t>בתמורה לכל הזכויות המוענקות ל</w:t>
      </w:r>
      <w:r>
        <w:rPr>
          <w:rFonts w:hint="cs"/>
          <w:rtl/>
        </w:rPr>
        <w:t>ו לפי החוק,</w:t>
      </w:r>
      <w:r w:rsidRPr="00221DC7">
        <w:rPr>
          <w:rtl/>
        </w:rPr>
        <w:t xml:space="preserve"> </w:t>
      </w:r>
      <w:r>
        <w:rPr>
          <w:rFonts w:hint="cs"/>
          <w:rtl/>
        </w:rPr>
        <w:t xml:space="preserve">חוץ מאשר בתמורה לקרקעות החכורות, </w:t>
      </w:r>
      <w:r w:rsidRPr="00221DC7">
        <w:rPr>
          <w:rtl/>
        </w:rPr>
        <w:t>ש</w:t>
      </w:r>
      <w:r>
        <w:rPr>
          <w:rFonts w:hint="cs"/>
          <w:rtl/>
        </w:rPr>
        <w:t>עבורן</w:t>
      </w:r>
      <w:r w:rsidRPr="00221DC7">
        <w:rPr>
          <w:rtl/>
        </w:rPr>
        <w:t xml:space="preserve"> ישולמו דמי חכירה</w:t>
      </w:r>
      <w:r>
        <w:rPr>
          <w:rFonts w:hint="cs"/>
          <w:rtl/>
        </w:rPr>
        <w:t>. בכל הנוגע לדמי החכירה קובע החוק, ב</w:t>
      </w:r>
      <w:r w:rsidRPr="00934452">
        <w:rPr>
          <w:rFonts w:hint="cs"/>
          <w:rtl/>
        </w:rPr>
        <w:t xml:space="preserve">סעיף 6 כי </w:t>
      </w:r>
      <w:r>
        <w:rPr>
          <w:rFonts w:hint="cs"/>
          <w:rtl/>
        </w:rPr>
        <w:t>בעל הזיכיון</w:t>
      </w:r>
      <w:r w:rsidRPr="00934452">
        <w:rPr>
          <w:rFonts w:hint="cs"/>
          <w:rtl/>
        </w:rPr>
        <w:t xml:space="preserve"> ישלם למדינה 10 ל"י בעד כל עשר שנות החכירה הראשונות, ולאחר מכן ישלם דמי חכירה הוגנים, המבוססים על ערך הקרקעות.</w:t>
      </w:r>
      <w:r>
        <w:rPr>
          <w:rFonts w:hint="cs"/>
          <w:rtl/>
        </w:rPr>
        <w:t xml:space="preserve"> </w:t>
      </w:r>
    </w:p>
    <w:p w:rsidR="006734B0" w:rsidRPr="00A041D1" w:rsidP="00331AB4" w14:paraId="2EE2AAC0" w14:textId="77777777">
      <w:pPr>
        <w:pStyle w:val="7392"/>
        <w:rPr>
          <w:rtl/>
        </w:rPr>
      </w:pPr>
      <w:r>
        <w:rPr>
          <w:rFonts w:hint="cs"/>
          <w:rtl/>
        </w:rPr>
        <w:t xml:space="preserve">נמצא כי בזיכרון </w:t>
      </w:r>
      <w:r w:rsidRPr="005476A6">
        <w:rPr>
          <w:rFonts w:hint="cs"/>
          <w:rtl/>
        </w:rPr>
        <w:t xml:space="preserve">דברים בין </w:t>
      </w:r>
      <w:r w:rsidRPr="005476A6">
        <w:rPr>
          <w:rFonts w:hint="eastAsia"/>
          <w:rtl/>
        </w:rPr>
        <w:t>רמ</w:t>
      </w:r>
      <w:r w:rsidRPr="008438E5">
        <w:rPr>
          <w:rtl/>
        </w:rPr>
        <w:t>"י</w:t>
      </w:r>
      <w:r w:rsidRPr="005476A6">
        <w:rPr>
          <w:rFonts w:hint="cs"/>
          <w:rtl/>
        </w:rPr>
        <w:t xml:space="preserve"> </w:t>
      </w:r>
      <w:r w:rsidRPr="005476A6">
        <w:rPr>
          <w:rFonts w:hint="cs"/>
          <w:rtl/>
        </w:rPr>
        <w:t>למי</w:t>
      </w:r>
      <w:r>
        <w:rPr>
          <w:rFonts w:hint="cs"/>
          <w:rtl/>
        </w:rPr>
        <w:t>"ה</w:t>
      </w:r>
      <w:r>
        <w:rPr>
          <w:rFonts w:hint="cs"/>
          <w:rtl/>
        </w:rPr>
        <w:t xml:space="preserve"> משנת 1975 נקבע כי בנוגע לקרקעות החכורות מסוג מפעל, דמי החכירה יהיו בגובה של 5% מערך הקרקע, זאת כפי שנהוג בחוזה תעשייה, אולם שווי הקרקע שעליו התבסס החישוב הוא שווי הקרקע שהיה הנמוך ביותר לקרקעות מדינה לשנת 1974, כך שהתשלום היה 75 ל"י לדונם; לגבי קרקע חכורה מסוג מתקן מים, דמי החכירה נקבעו על 41.75 ל"י לדונם; ודמי החכירה בגין הקרקעות החכורות הרגילות (שאינן קרקע מפעל או מתקן מים), </w:t>
      </w:r>
      <w:r w:rsidRPr="00A041D1">
        <w:rPr>
          <w:rFonts w:hint="cs"/>
          <w:rtl/>
        </w:rPr>
        <w:t xml:space="preserve">נקבעו על בסיס פרופיל אחר מרקע לתעשייה, והתשלום שנקבע הוא 1.50 ל"י לדונם. </w:t>
      </w:r>
    </w:p>
    <w:p w:rsidR="006734B0" w:rsidP="00331AB4" w14:paraId="48BD4DA8" w14:textId="0AFAAAA8">
      <w:pPr>
        <w:pStyle w:val="7392"/>
        <w:rPr>
          <w:rtl/>
        </w:rPr>
      </w:pPr>
      <w:r>
        <w:rPr>
          <w:rFonts w:hint="cs"/>
          <w:rtl/>
        </w:rPr>
        <w:t>דמי החכירה נקבעו לתקופה של שבע שנים המתחילה ביום 1.6.74 ומסתיימת ביום 31.5.81, ולאחריה נקבע כי מדי שבע שנים הם יוגדלו בשיעור של 35%</w:t>
      </w:r>
      <w:r>
        <w:rPr>
          <w:rStyle w:val="FootnoteReference1"/>
          <w:rtl/>
        </w:rPr>
        <w:footnoteReference w:id="65"/>
      </w:r>
      <w:r>
        <w:rPr>
          <w:rFonts w:hint="cs"/>
          <w:rtl/>
        </w:rPr>
        <w:t xml:space="preserve">, אולם שווי הקרקע הבסיסי שממנו נגזרים דמי החכירה הוא </w:t>
      </w:r>
      <w:r w:rsidRPr="0047537E">
        <w:rPr>
          <w:rFonts w:hint="cs"/>
          <w:rtl/>
        </w:rPr>
        <w:t>שווי קרקע מלפני 50 שנה (שנת</w:t>
      </w:r>
      <w:r>
        <w:rPr>
          <w:rFonts w:hint="cs"/>
          <w:rtl/>
        </w:rPr>
        <w:t xml:space="preserve"> 1975), והוא לא עודכן מאז. להלן טבלה המרכזת את התשלום </w:t>
      </w:r>
      <w:r>
        <w:rPr>
          <w:rFonts w:hint="cs"/>
          <w:rtl/>
        </w:rPr>
        <w:t>שמי"ה</w:t>
      </w:r>
      <w:r>
        <w:rPr>
          <w:rFonts w:hint="cs"/>
          <w:rtl/>
        </w:rPr>
        <w:t xml:space="preserve"> משלמת </w:t>
      </w:r>
      <w:r>
        <w:rPr>
          <w:rFonts w:hint="cs"/>
          <w:rtl/>
        </w:rPr>
        <w:t>לרמ"י</w:t>
      </w:r>
      <w:r>
        <w:rPr>
          <w:rFonts w:hint="cs"/>
          <w:rtl/>
        </w:rPr>
        <w:t xml:space="preserve">, נכון לשנת </w:t>
      </w:r>
      <w:r w:rsidR="00B87DD9">
        <w:rPr>
          <w:lang w:val="ru-RU"/>
        </w:rPr>
        <w:t>2024</w:t>
      </w:r>
      <w:r>
        <w:rPr>
          <w:rFonts w:hint="cs"/>
          <w:rtl/>
        </w:rPr>
        <w:t xml:space="preserve">: </w:t>
      </w:r>
    </w:p>
    <w:p w:rsidR="006734B0" w:rsidRPr="00331AB4" w:rsidP="00331AB4" w14:paraId="4C47C59D" w14:textId="35134586">
      <w:pPr>
        <w:pStyle w:val="734"/>
        <w:rPr>
          <w:rtl/>
        </w:rPr>
      </w:pPr>
      <w:r>
        <w:rPr>
          <w:rFonts w:hint="cs"/>
          <w:b w:val="0"/>
          <w:bCs w:val="0"/>
          <w:rtl/>
        </w:rPr>
        <w:t>לוח 4</w:t>
      </w:r>
      <w:r w:rsidRPr="00331AB4">
        <w:rPr>
          <w:rFonts w:hint="cs"/>
          <w:b w:val="0"/>
          <w:bCs w:val="0"/>
          <w:rtl/>
        </w:rPr>
        <w:t>:</w:t>
      </w:r>
      <w:r w:rsidRPr="00331AB4">
        <w:rPr>
          <w:rFonts w:hint="cs"/>
          <w:rtl/>
        </w:rPr>
        <w:t xml:space="preserve"> דמי החכירה השנתיים </w:t>
      </w:r>
      <w:r w:rsidRPr="00331AB4">
        <w:rPr>
          <w:rFonts w:hint="cs"/>
          <w:rtl/>
        </w:rPr>
        <w:t>שמי"ה</w:t>
      </w:r>
      <w:r w:rsidRPr="00331AB4">
        <w:rPr>
          <w:rFonts w:hint="cs"/>
          <w:rtl/>
        </w:rPr>
        <w:t xml:space="preserve"> משלמת </w:t>
      </w:r>
      <w:r w:rsidRPr="00331AB4">
        <w:rPr>
          <w:rFonts w:hint="cs"/>
          <w:rtl/>
        </w:rPr>
        <w:t>לרמ"י</w:t>
      </w:r>
      <w:r w:rsidRPr="00331AB4">
        <w:rPr>
          <w:rFonts w:hint="cs"/>
          <w:rtl/>
        </w:rPr>
        <w:t xml:space="preserve"> (נכון לשנת 2024)*</w:t>
      </w:r>
    </w:p>
    <w:tbl>
      <w:tblPr>
        <w:tblStyle w:val="TableGrid"/>
        <w:bidiVisual/>
        <w:tblW w:w="5000" w:type="pct"/>
        <w:jc w:val="center"/>
        <w:tblBorders>
          <w:top w:val="none" w:sz="0" w:space="0" w:color="auto"/>
          <w:bottom w:val="none" w:sz="0" w:space="0" w:color="auto"/>
          <w:insideH w:val="none" w:sz="0" w:space="0" w:color="auto"/>
        </w:tblBorders>
        <w:tblLook w:val="04A0"/>
      </w:tblPr>
      <w:tblGrid>
        <w:gridCol w:w="2919"/>
        <w:gridCol w:w="1961"/>
        <w:gridCol w:w="2480"/>
      </w:tblGrid>
      <w:tr w14:paraId="456B7A65" w14:textId="77777777" w:rsidTr="00331AB4">
        <w:tblPrEx>
          <w:tblW w:w="5000" w:type="pct"/>
          <w:jc w:val="center"/>
          <w:tblBorders>
            <w:top w:val="none" w:sz="0" w:space="0" w:color="auto"/>
            <w:bottom w:val="none" w:sz="0" w:space="0" w:color="auto"/>
            <w:insideH w:val="none" w:sz="0" w:space="0" w:color="auto"/>
          </w:tblBorders>
          <w:tblLook w:val="04A0"/>
        </w:tblPrEx>
        <w:trPr>
          <w:jc w:val="center"/>
        </w:trPr>
        <w:tc>
          <w:tcPr>
            <w:tcW w:w="1983" w:type="pct"/>
            <w:shd w:val="clear" w:color="auto" w:fill="C8DCE4"/>
            <w:vAlign w:val="bottom"/>
          </w:tcPr>
          <w:p w:rsidR="006734B0" w:rsidRPr="00331AB4" w:rsidP="00331AB4" w14:paraId="7874F3F8" w14:textId="77777777">
            <w:pPr>
              <w:pStyle w:val="73R"/>
              <w:rPr>
                <w:rFonts w:ascii="Times New Roman" w:hAnsi="Times New Roman"/>
                <w:b/>
                <w:bCs/>
                <w:rtl/>
              </w:rPr>
            </w:pPr>
            <w:r w:rsidRPr="00331AB4">
              <w:rPr>
                <w:rFonts w:hint="eastAsia"/>
                <w:b/>
                <w:bCs/>
                <w:rtl/>
              </w:rPr>
              <w:t>סוג</w:t>
            </w:r>
            <w:r w:rsidRPr="00331AB4">
              <w:rPr>
                <w:b/>
                <w:bCs/>
                <w:rtl/>
              </w:rPr>
              <w:t xml:space="preserve"> </w:t>
            </w:r>
            <w:r w:rsidRPr="00331AB4">
              <w:rPr>
                <w:rFonts w:hint="eastAsia"/>
                <w:b/>
                <w:bCs/>
                <w:rtl/>
              </w:rPr>
              <w:t>ה</w:t>
            </w:r>
            <w:r w:rsidRPr="00331AB4">
              <w:rPr>
                <w:rFonts w:hint="cs"/>
                <w:b/>
                <w:bCs/>
                <w:rtl/>
              </w:rPr>
              <w:t>שטח</w:t>
            </w:r>
          </w:p>
        </w:tc>
        <w:tc>
          <w:tcPr>
            <w:tcW w:w="1332" w:type="pct"/>
            <w:shd w:val="clear" w:color="auto" w:fill="C8DCE4"/>
            <w:vAlign w:val="bottom"/>
          </w:tcPr>
          <w:p w:rsidR="006734B0" w:rsidRPr="00331AB4" w:rsidP="00331AB4" w14:paraId="39C06C6D" w14:textId="77777777">
            <w:pPr>
              <w:pStyle w:val="73R"/>
              <w:rPr>
                <w:rFonts w:ascii="Times New Roman" w:hAnsi="Times New Roman"/>
                <w:b/>
                <w:bCs/>
                <w:rtl/>
              </w:rPr>
            </w:pPr>
            <w:r w:rsidRPr="00331AB4">
              <w:rPr>
                <w:rFonts w:hint="eastAsia"/>
                <w:b/>
                <w:bCs/>
                <w:rtl/>
              </w:rPr>
              <w:t>גודל</w:t>
            </w:r>
            <w:r w:rsidRPr="00331AB4">
              <w:rPr>
                <w:b/>
                <w:bCs/>
                <w:rtl/>
              </w:rPr>
              <w:t xml:space="preserve"> </w:t>
            </w:r>
            <w:r w:rsidRPr="00331AB4">
              <w:rPr>
                <w:rFonts w:hint="eastAsia"/>
                <w:b/>
                <w:bCs/>
                <w:rtl/>
              </w:rPr>
              <w:t>השטח</w:t>
            </w:r>
            <w:r w:rsidRPr="00331AB4">
              <w:rPr>
                <w:b/>
                <w:bCs/>
                <w:rtl/>
              </w:rPr>
              <w:t xml:space="preserve"> (בדונם)</w:t>
            </w:r>
          </w:p>
        </w:tc>
        <w:tc>
          <w:tcPr>
            <w:tcW w:w="1685" w:type="pct"/>
            <w:shd w:val="clear" w:color="auto" w:fill="C8DCE4"/>
            <w:vAlign w:val="bottom"/>
          </w:tcPr>
          <w:p w:rsidR="006734B0" w:rsidRPr="00331AB4" w:rsidP="00331AB4" w14:paraId="260C6AD7" w14:textId="0DCB2928">
            <w:pPr>
              <w:pStyle w:val="73R"/>
              <w:rPr>
                <w:rFonts w:ascii="Times New Roman" w:hAnsi="Times New Roman"/>
                <w:b/>
                <w:bCs/>
                <w:rtl/>
              </w:rPr>
            </w:pPr>
            <w:r w:rsidRPr="00331AB4">
              <w:rPr>
                <w:rFonts w:hint="eastAsia"/>
                <w:b/>
                <w:bCs/>
                <w:rtl/>
              </w:rPr>
              <w:t>סה</w:t>
            </w:r>
            <w:r w:rsidRPr="00331AB4">
              <w:rPr>
                <w:b/>
                <w:bCs/>
                <w:rtl/>
              </w:rPr>
              <w:t xml:space="preserve">"כ תשלום (בש"ח) </w:t>
            </w:r>
            <w:r w:rsidR="00331AB4">
              <w:rPr>
                <w:b/>
                <w:bCs/>
                <w:rtl/>
              </w:rPr>
              <w:br/>
            </w:r>
            <w:r w:rsidRPr="00331AB4">
              <w:rPr>
                <w:rFonts w:hint="cs"/>
                <w:b/>
                <w:bCs/>
                <w:rtl/>
              </w:rPr>
              <w:t xml:space="preserve">(כולל </w:t>
            </w:r>
            <w:r w:rsidRPr="000724E3" w:rsidR="000724E3">
              <w:rPr>
                <w:b/>
                <w:bCs/>
                <w:rtl/>
              </w:rPr>
              <w:t>מע"ם</w:t>
            </w:r>
            <w:r w:rsidRPr="00331AB4">
              <w:rPr>
                <w:rFonts w:hint="cs"/>
                <w:b/>
                <w:bCs/>
                <w:rtl/>
              </w:rPr>
              <w:t>)</w:t>
            </w:r>
          </w:p>
        </w:tc>
      </w:tr>
      <w:tr w14:paraId="68AF9483" w14:textId="77777777" w:rsidTr="00331AB4">
        <w:tblPrEx>
          <w:tblW w:w="5000" w:type="pct"/>
          <w:jc w:val="center"/>
          <w:tblLook w:val="04A0"/>
        </w:tblPrEx>
        <w:trPr>
          <w:jc w:val="center"/>
        </w:trPr>
        <w:tc>
          <w:tcPr>
            <w:tcW w:w="1983" w:type="pct"/>
            <w:shd w:val="clear" w:color="auto" w:fill="DFECEF"/>
          </w:tcPr>
          <w:p w:rsidR="006734B0" w:rsidRPr="005B136C" w:rsidP="00331AB4" w14:paraId="474348B0" w14:textId="77777777">
            <w:pPr>
              <w:pStyle w:val="73R"/>
              <w:rPr>
                <w:rtl/>
              </w:rPr>
            </w:pPr>
            <w:r w:rsidRPr="005B136C">
              <w:rPr>
                <w:rFonts w:ascii="Times New Roman" w:hAnsi="Times New Roman" w:hint="cs"/>
                <w:rtl/>
              </w:rPr>
              <w:t>קרקע חכורה "מפעל"</w:t>
            </w:r>
          </w:p>
        </w:tc>
        <w:tc>
          <w:tcPr>
            <w:tcW w:w="1332" w:type="pct"/>
            <w:shd w:val="clear" w:color="auto" w:fill="DFECEF"/>
          </w:tcPr>
          <w:p w:rsidR="006734B0" w:rsidRPr="00E56FCE" w:rsidP="00331AB4" w14:paraId="7B48532A" w14:textId="77777777">
            <w:pPr>
              <w:pStyle w:val="73R"/>
              <w:rPr>
                <w:rtl/>
              </w:rPr>
            </w:pPr>
            <w:r w:rsidRPr="00E56FCE">
              <w:rPr>
                <w:rFonts w:hint="cs"/>
                <w:rtl/>
              </w:rPr>
              <w:t>1,839</w:t>
            </w:r>
          </w:p>
        </w:tc>
        <w:tc>
          <w:tcPr>
            <w:tcW w:w="1685" w:type="pct"/>
            <w:shd w:val="clear" w:color="auto" w:fill="DFECEF"/>
          </w:tcPr>
          <w:p w:rsidR="006734B0" w:rsidRPr="00E56FCE" w:rsidP="00331AB4" w14:paraId="20AB5A30" w14:textId="77777777">
            <w:pPr>
              <w:pStyle w:val="73R"/>
              <w:rPr>
                <w:rtl/>
              </w:rPr>
            </w:pPr>
            <w:r w:rsidRPr="00E56FCE">
              <w:rPr>
                <w:rFonts w:hint="cs"/>
                <w:rtl/>
              </w:rPr>
              <w:t>2,073,000</w:t>
            </w:r>
          </w:p>
        </w:tc>
      </w:tr>
      <w:tr w14:paraId="2B8BBDEE" w14:textId="77777777" w:rsidTr="00331AB4">
        <w:tblPrEx>
          <w:tblW w:w="5000" w:type="pct"/>
          <w:jc w:val="center"/>
          <w:tblLook w:val="04A0"/>
        </w:tblPrEx>
        <w:trPr>
          <w:jc w:val="center"/>
        </w:trPr>
        <w:tc>
          <w:tcPr>
            <w:tcW w:w="1983" w:type="pct"/>
            <w:shd w:val="clear" w:color="auto" w:fill="F0F8F9"/>
          </w:tcPr>
          <w:p w:rsidR="006734B0" w:rsidRPr="005B136C" w:rsidP="00331AB4" w14:paraId="32E164D2" w14:textId="77777777">
            <w:pPr>
              <w:pStyle w:val="73R"/>
              <w:rPr>
                <w:rFonts w:ascii="Times New Roman" w:hAnsi="Times New Roman"/>
                <w:rtl/>
              </w:rPr>
            </w:pPr>
            <w:r w:rsidRPr="005B136C">
              <w:rPr>
                <w:rFonts w:ascii="Times New Roman" w:hAnsi="Times New Roman" w:hint="cs"/>
                <w:rtl/>
              </w:rPr>
              <w:t>קרקע חכורה "מתקן מים"</w:t>
            </w:r>
          </w:p>
        </w:tc>
        <w:tc>
          <w:tcPr>
            <w:tcW w:w="1332" w:type="pct"/>
            <w:shd w:val="clear" w:color="auto" w:fill="F0F8F9"/>
          </w:tcPr>
          <w:p w:rsidR="006734B0" w:rsidRPr="005B136C" w:rsidP="00331AB4" w14:paraId="0BE5901A" w14:textId="77777777">
            <w:pPr>
              <w:pStyle w:val="73R"/>
              <w:rPr>
                <w:rtl/>
              </w:rPr>
            </w:pPr>
            <w:r w:rsidRPr="005B136C">
              <w:rPr>
                <w:rFonts w:hint="cs"/>
                <w:rtl/>
              </w:rPr>
              <w:t>91</w:t>
            </w:r>
            <w:r>
              <w:rPr>
                <w:rFonts w:hint="cs"/>
                <w:rtl/>
              </w:rPr>
              <w:t>.5</w:t>
            </w:r>
          </w:p>
        </w:tc>
        <w:tc>
          <w:tcPr>
            <w:tcW w:w="1685" w:type="pct"/>
            <w:shd w:val="clear" w:color="auto" w:fill="F0F8F9"/>
          </w:tcPr>
          <w:p w:rsidR="006734B0" w:rsidRPr="005B136C" w:rsidP="00331AB4" w14:paraId="00D5F7B0" w14:textId="77777777">
            <w:pPr>
              <w:pStyle w:val="73R"/>
              <w:rPr>
                <w:rtl/>
              </w:rPr>
            </w:pPr>
            <w:r>
              <w:rPr>
                <w:rFonts w:hint="cs"/>
                <w:rtl/>
              </w:rPr>
              <w:t>8,200</w:t>
            </w:r>
          </w:p>
        </w:tc>
      </w:tr>
      <w:tr w14:paraId="4CC3E246" w14:textId="77777777" w:rsidTr="00331AB4">
        <w:tblPrEx>
          <w:tblW w:w="5000" w:type="pct"/>
          <w:jc w:val="center"/>
          <w:tblLook w:val="04A0"/>
        </w:tblPrEx>
        <w:trPr>
          <w:jc w:val="center"/>
        </w:trPr>
        <w:tc>
          <w:tcPr>
            <w:tcW w:w="1983" w:type="pct"/>
            <w:shd w:val="clear" w:color="auto" w:fill="DFECEF"/>
          </w:tcPr>
          <w:p w:rsidR="006734B0" w:rsidRPr="005B136C" w:rsidP="00331AB4" w14:paraId="2B0226A2" w14:textId="77777777">
            <w:pPr>
              <w:pStyle w:val="73R"/>
              <w:rPr>
                <w:rFonts w:ascii="Times New Roman" w:hAnsi="Times New Roman"/>
                <w:rtl/>
              </w:rPr>
            </w:pPr>
            <w:r w:rsidRPr="005B136C">
              <w:rPr>
                <w:rFonts w:ascii="Times New Roman" w:hAnsi="Times New Roman" w:hint="cs"/>
                <w:rtl/>
              </w:rPr>
              <w:t>קרקע חכורה "רגילה"</w:t>
            </w:r>
          </w:p>
        </w:tc>
        <w:tc>
          <w:tcPr>
            <w:tcW w:w="1332" w:type="pct"/>
            <w:shd w:val="clear" w:color="auto" w:fill="DFECEF"/>
          </w:tcPr>
          <w:p w:rsidR="006734B0" w:rsidRPr="005B136C" w:rsidP="00331AB4" w14:paraId="0C90EBA9" w14:textId="77777777">
            <w:pPr>
              <w:pStyle w:val="73R"/>
              <w:rPr>
                <w:rtl/>
              </w:rPr>
            </w:pPr>
            <w:r w:rsidRPr="005B136C">
              <w:rPr>
                <w:rFonts w:hint="cs"/>
                <w:rtl/>
              </w:rPr>
              <w:t>28,300</w:t>
            </w:r>
          </w:p>
        </w:tc>
        <w:tc>
          <w:tcPr>
            <w:tcW w:w="1685" w:type="pct"/>
            <w:shd w:val="clear" w:color="auto" w:fill="DFECEF"/>
          </w:tcPr>
          <w:p w:rsidR="006734B0" w:rsidRPr="005B136C" w:rsidP="00331AB4" w14:paraId="2EAD6336" w14:textId="77777777">
            <w:pPr>
              <w:pStyle w:val="73R"/>
              <w:rPr>
                <w:rtl/>
              </w:rPr>
            </w:pPr>
            <w:r>
              <w:rPr>
                <w:rFonts w:hint="cs"/>
                <w:rtl/>
              </w:rPr>
              <w:t>638,200</w:t>
            </w:r>
          </w:p>
        </w:tc>
      </w:tr>
      <w:tr w14:paraId="05F38C69" w14:textId="77777777" w:rsidTr="00331AB4">
        <w:tblPrEx>
          <w:tblW w:w="5000" w:type="pct"/>
          <w:jc w:val="center"/>
          <w:tblLook w:val="04A0"/>
        </w:tblPrEx>
        <w:trPr>
          <w:jc w:val="center"/>
        </w:trPr>
        <w:tc>
          <w:tcPr>
            <w:tcW w:w="1983" w:type="pct"/>
            <w:shd w:val="clear" w:color="auto" w:fill="F0F8F9"/>
          </w:tcPr>
          <w:p w:rsidR="006734B0" w:rsidRPr="005B136C" w:rsidP="00331AB4" w14:paraId="11CC7CD9" w14:textId="77777777">
            <w:pPr>
              <w:pStyle w:val="73R"/>
              <w:rPr>
                <w:rtl/>
              </w:rPr>
            </w:pPr>
            <w:r w:rsidRPr="005B136C">
              <w:rPr>
                <w:rFonts w:ascii="Times New Roman" w:hAnsi="Times New Roman" w:hint="cs"/>
                <w:rtl/>
              </w:rPr>
              <w:t>קרקע שמורה</w:t>
            </w:r>
          </w:p>
        </w:tc>
        <w:tc>
          <w:tcPr>
            <w:tcW w:w="1332" w:type="pct"/>
            <w:shd w:val="clear" w:color="auto" w:fill="F0F8F9"/>
          </w:tcPr>
          <w:p w:rsidR="006734B0" w:rsidRPr="005B136C" w:rsidP="00331AB4" w14:paraId="6CDE51B8" w14:textId="77777777">
            <w:pPr>
              <w:pStyle w:val="73R"/>
              <w:rPr>
                <w:rtl/>
              </w:rPr>
            </w:pPr>
            <w:r w:rsidRPr="005B136C">
              <w:rPr>
                <w:rFonts w:hint="cs"/>
                <w:rtl/>
              </w:rPr>
              <w:t>240,000</w:t>
            </w:r>
          </w:p>
        </w:tc>
        <w:tc>
          <w:tcPr>
            <w:tcW w:w="1685" w:type="pct"/>
            <w:shd w:val="clear" w:color="auto" w:fill="F0F8F9"/>
          </w:tcPr>
          <w:p w:rsidR="006734B0" w:rsidRPr="005B136C" w:rsidP="00331AB4" w14:paraId="27F1E539" w14:textId="77777777">
            <w:pPr>
              <w:pStyle w:val="73R"/>
              <w:rPr>
                <w:rtl/>
              </w:rPr>
            </w:pPr>
            <w:r w:rsidRPr="005B136C">
              <w:rPr>
                <w:rFonts w:hint="cs"/>
                <w:rtl/>
              </w:rPr>
              <w:t>ללא תשלום</w:t>
            </w:r>
            <w:r>
              <w:rPr>
                <w:rFonts w:hint="cs"/>
                <w:rtl/>
              </w:rPr>
              <w:t xml:space="preserve">** </w:t>
            </w:r>
          </w:p>
        </w:tc>
      </w:tr>
      <w:tr w14:paraId="6C38F6D8" w14:textId="77777777" w:rsidTr="00331AB4">
        <w:tblPrEx>
          <w:tblW w:w="5000" w:type="pct"/>
          <w:jc w:val="center"/>
          <w:tblLook w:val="04A0"/>
        </w:tblPrEx>
        <w:trPr>
          <w:jc w:val="center"/>
        </w:trPr>
        <w:tc>
          <w:tcPr>
            <w:tcW w:w="1983" w:type="pct"/>
            <w:shd w:val="clear" w:color="auto" w:fill="DFECEF"/>
          </w:tcPr>
          <w:p w:rsidR="006734B0" w:rsidRPr="005B136C" w:rsidP="00331AB4" w14:paraId="6B5E3D4F" w14:textId="77777777">
            <w:pPr>
              <w:pStyle w:val="73R"/>
              <w:rPr>
                <w:rFonts w:ascii="Times New Roman" w:hAnsi="Times New Roman"/>
                <w:rtl/>
              </w:rPr>
            </w:pPr>
            <w:r w:rsidRPr="005B136C">
              <w:rPr>
                <w:rFonts w:hint="eastAsia"/>
                <w:rtl/>
              </w:rPr>
              <w:t>ים</w:t>
            </w:r>
            <w:r w:rsidRPr="005B136C">
              <w:rPr>
                <w:rtl/>
              </w:rPr>
              <w:t xml:space="preserve"> </w:t>
            </w:r>
            <w:r w:rsidRPr="005B136C">
              <w:rPr>
                <w:rFonts w:hint="eastAsia"/>
                <w:rtl/>
              </w:rPr>
              <w:t>המלח</w:t>
            </w:r>
            <w:r w:rsidRPr="005B136C">
              <w:rPr>
                <w:rtl/>
              </w:rPr>
              <w:t xml:space="preserve"> </w:t>
            </w:r>
            <w:r w:rsidRPr="005B136C">
              <w:rPr>
                <w:rFonts w:hint="eastAsia"/>
                <w:rtl/>
              </w:rPr>
              <w:t>ורצועת</w:t>
            </w:r>
            <w:r w:rsidRPr="005B136C">
              <w:rPr>
                <w:rtl/>
              </w:rPr>
              <w:t xml:space="preserve"> </w:t>
            </w:r>
            <w:r w:rsidRPr="005B136C">
              <w:rPr>
                <w:rFonts w:hint="eastAsia"/>
                <w:rtl/>
              </w:rPr>
              <w:t>חוף</w:t>
            </w:r>
          </w:p>
        </w:tc>
        <w:tc>
          <w:tcPr>
            <w:tcW w:w="1332" w:type="pct"/>
            <w:shd w:val="clear" w:color="auto" w:fill="DFECEF"/>
          </w:tcPr>
          <w:p w:rsidR="006734B0" w:rsidRPr="005B136C" w:rsidP="00331AB4" w14:paraId="1962DD23" w14:textId="77777777">
            <w:pPr>
              <w:pStyle w:val="73R"/>
              <w:rPr>
                <w:rtl/>
              </w:rPr>
            </w:pPr>
            <w:r w:rsidRPr="005B136C">
              <w:rPr>
                <w:rFonts w:hint="cs"/>
                <w:rtl/>
              </w:rPr>
              <w:t>כ-381,770</w:t>
            </w:r>
          </w:p>
        </w:tc>
        <w:tc>
          <w:tcPr>
            <w:tcW w:w="1685" w:type="pct"/>
            <w:shd w:val="clear" w:color="auto" w:fill="DFECEF"/>
          </w:tcPr>
          <w:p w:rsidR="006734B0" w:rsidRPr="005B136C" w:rsidP="00331AB4" w14:paraId="00CA4EAD" w14:textId="77777777">
            <w:pPr>
              <w:pStyle w:val="73R"/>
              <w:rPr>
                <w:rtl/>
              </w:rPr>
            </w:pPr>
            <w:r w:rsidRPr="005B136C">
              <w:rPr>
                <w:rFonts w:hint="cs"/>
                <w:rtl/>
              </w:rPr>
              <w:t>ללא תשלום</w:t>
            </w:r>
            <w:r>
              <w:rPr>
                <w:rFonts w:hint="cs"/>
                <w:rtl/>
              </w:rPr>
              <w:t>**</w:t>
            </w:r>
          </w:p>
        </w:tc>
      </w:tr>
      <w:tr w14:paraId="14D8CE19" w14:textId="77777777" w:rsidTr="00331AB4">
        <w:tblPrEx>
          <w:tblW w:w="5000" w:type="pct"/>
          <w:jc w:val="center"/>
          <w:tblLook w:val="04A0"/>
        </w:tblPrEx>
        <w:trPr>
          <w:jc w:val="center"/>
        </w:trPr>
        <w:tc>
          <w:tcPr>
            <w:tcW w:w="1983" w:type="pct"/>
            <w:shd w:val="clear" w:color="auto" w:fill="F0F8F9"/>
          </w:tcPr>
          <w:p w:rsidR="006734B0" w:rsidRPr="00331AB4" w:rsidP="00331AB4" w14:paraId="6062BEEB" w14:textId="77777777">
            <w:pPr>
              <w:pStyle w:val="73R"/>
              <w:rPr>
                <w:rFonts w:ascii="Times New Roman" w:hAnsi="Times New Roman"/>
                <w:b/>
                <w:bCs/>
                <w:rtl/>
              </w:rPr>
            </w:pPr>
            <w:r w:rsidRPr="00331AB4">
              <w:rPr>
                <w:rFonts w:hint="eastAsia"/>
                <w:b/>
                <w:bCs/>
                <w:rtl/>
              </w:rPr>
              <w:t>סה</w:t>
            </w:r>
            <w:r w:rsidRPr="00331AB4">
              <w:rPr>
                <w:b/>
                <w:bCs/>
                <w:rtl/>
              </w:rPr>
              <w:t xml:space="preserve">"כ </w:t>
            </w:r>
          </w:p>
        </w:tc>
        <w:tc>
          <w:tcPr>
            <w:tcW w:w="1332" w:type="pct"/>
            <w:shd w:val="clear" w:color="auto" w:fill="F0F8F9"/>
          </w:tcPr>
          <w:p w:rsidR="006734B0" w:rsidRPr="00331AB4" w:rsidP="00331AB4" w14:paraId="47432BE4" w14:textId="77777777">
            <w:pPr>
              <w:pStyle w:val="73R"/>
              <w:rPr>
                <w:b/>
                <w:bCs/>
                <w:rtl/>
              </w:rPr>
            </w:pPr>
          </w:p>
        </w:tc>
        <w:tc>
          <w:tcPr>
            <w:tcW w:w="1685" w:type="pct"/>
            <w:shd w:val="clear" w:color="auto" w:fill="F0F8F9"/>
          </w:tcPr>
          <w:p w:rsidR="006734B0" w:rsidRPr="00331AB4" w:rsidP="00331AB4" w14:paraId="76F7A098" w14:textId="1FC3BCDE">
            <w:pPr>
              <w:pStyle w:val="73R"/>
              <w:rPr>
                <w:b/>
                <w:bCs/>
                <w:rtl/>
              </w:rPr>
            </w:pPr>
            <w:r w:rsidRPr="00331AB4">
              <w:rPr>
                <w:rFonts w:hint="cs"/>
                <w:b/>
                <w:bCs/>
                <w:rtl/>
              </w:rPr>
              <w:t>כ-2.7 מיליון</w:t>
            </w:r>
          </w:p>
        </w:tc>
      </w:tr>
    </w:tbl>
    <w:p w:rsidR="006734B0" w:rsidP="00331AB4" w14:paraId="5C6757B1" w14:textId="77777777">
      <w:pPr>
        <w:pStyle w:val="738"/>
        <w:spacing w:after="0"/>
        <w:rPr>
          <w:rtl/>
        </w:rPr>
      </w:pPr>
      <w:r>
        <w:rPr>
          <w:rFonts w:hint="cs"/>
          <w:rtl/>
        </w:rPr>
        <w:t>ה</w:t>
      </w:r>
      <w:r w:rsidRPr="006A1FB8">
        <w:rPr>
          <w:rFonts w:hint="cs"/>
          <w:rtl/>
        </w:rPr>
        <w:t xml:space="preserve">מקור: נתוני </w:t>
      </w:r>
      <w:r w:rsidRPr="006A1FB8">
        <w:rPr>
          <w:rFonts w:hint="cs"/>
          <w:rtl/>
        </w:rPr>
        <w:t>רמ"י</w:t>
      </w:r>
      <w:r>
        <w:rPr>
          <w:rFonts w:hint="cs"/>
          <w:rtl/>
        </w:rPr>
        <w:t>.</w:t>
      </w:r>
    </w:p>
    <w:p w:rsidR="006734B0" w:rsidP="00331AB4" w14:paraId="039C0D80" w14:textId="77777777">
      <w:pPr>
        <w:pStyle w:val="738"/>
        <w:spacing w:before="0" w:after="0"/>
        <w:ind w:left="282" w:hanging="282"/>
        <w:rPr>
          <w:rtl/>
        </w:rPr>
      </w:pPr>
      <w:r>
        <w:rPr>
          <w:rFonts w:hint="cs"/>
          <w:rtl/>
        </w:rPr>
        <w:t>*</w:t>
      </w:r>
      <w:r>
        <w:rPr>
          <w:rtl/>
        </w:rPr>
        <w:tab/>
      </w:r>
      <w:r w:rsidRPr="005C1160">
        <w:rPr>
          <w:rFonts w:hint="cs"/>
          <w:rtl/>
        </w:rPr>
        <w:t>לתקופה 1.6.2</w:t>
      </w:r>
      <w:r>
        <w:rPr>
          <w:rFonts w:hint="cs"/>
          <w:rtl/>
        </w:rPr>
        <w:t xml:space="preserve">3 </w:t>
      </w:r>
      <w:r w:rsidRPr="005C1160">
        <w:rPr>
          <w:rFonts w:hint="cs"/>
          <w:rtl/>
        </w:rPr>
        <w:t>-31.5.2</w:t>
      </w:r>
      <w:r>
        <w:rPr>
          <w:rFonts w:hint="cs"/>
          <w:rtl/>
        </w:rPr>
        <w:t>4.</w:t>
      </w:r>
    </w:p>
    <w:p w:rsidR="006734B0" w:rsidP="00331AB4" w14:paraId="14BEA611" w14:textId="77777777">
      <w:pPr>
        <w:pStyle w:val="738"/>
        <w:spacing w:before="0"/>
        <w:ind w:left="282" w:hanging="282"/>
        <w:rPr>
          <w:rtl/>
        </w:rPr>
      </w:pPr>
      <w:r>
        <w:rPr>
          <w:rFonts w:hint="cs"/>
          <w:rtl/>
        </w:rPr>
        <w:t>*</w:t>
      </w:r>
      <w:r w:rsidRPr="009A030F">
        <w:rPr>
          <w:rFonts w:hint="cs"/>
          <w:rtl/>
        </w:rPr>
        <w:t>*</w:t>
      </w:r>
      <w:r>
        <w:rPr>
          <w:rtl/>
        </w:rPr>
        <w:tab/>
      </w:r>
      <w:r w:rsidRPr="009A030F">
        <w:rPr>
          <w:rFonts w:hint="cs"/>
          <w:rtl/>
        </w:rPr>
        <w:t>כאמור</w:t>
      </w:r>
      <w:r>
        <w:rPr>
          <w:rFonts w:hint="cs"/>
          <w:rtl/>
        </w:rPr>
        <w:t>,</w:t>
      </w:r>
      <w:r w:rsidRPr="009A030F">
        <w:rPr>
          <w:rFonts w:hint="cs"/>
          <w:rtl/>
        </w:rPr>
        <w:t xml:space="preserve"> לפי טענת </w:t>
      </w:r>
      <w:r w:rsidRPr="009A030F">
        <w:rPr>
          <w:rFonts w:hint="cs"/>
          <w:rtl/>
        </w:rPr>
        <w:t>מי"ה</w:t>
      </w:r>
      <w:r w:rsidRPr="009A030F">
        <w:rPr>
          <w:rFonts w:hint="cs"/>
          <w:rtl/>
        </w:rPr>
        <w:t xml:space="preserve"> התשלום בגין </w:t>
      </w:r>
      <w:r>
        <w:rPr>
          <w:rFonts w:hint="cs"/>
          <w:rtl/>
        </w:rPr>
        <w:t>קרקעות אלה</w:t>
      </w:r>
      <w:r w:rsidRPr="009A030F">
        <w:rPr>
          <w:rFonts w:hint="cs"/>
          <w:rtl/>
        </w:rPr>
        <w:t xml:space="preserve"> הוא חלק מהתמלוגים המשולמים</w:t>
      </w:r>
      <w:r>
        <w:rPr>
          <w:rFonts w:hint="cs"/>
          <w:rtl/>
        </w:rPr>
        <w:t>.</w:t>
      </w:r>
    </w:p>
    <w:p w:rsidR="006734B0" w:rsidRPr="00331AB4" w:rsidP="00331AB4" w14:paraId="70F5A759" w14:textId="76ADDB88">
      <w:pPr>
        <w:pStyle w:val="7318"/>
        <w:rPr>
          <w:rtl/>
        </w:rPr>
      </w:pPr>
      <w:r w:rsidRPr="00331AB4">
        <w:rPr>
          <w:rFonts w:hint="cs"/>
          <w:rtl/>
        </w:rPr>
        <w:t xml:space="preserve">מהאמור </w:t>
      </w:r>
      <w:bookmarkStart w:id="54" w:name="_Hlk174284257"/>
      <w:r w:rsidRPr="00331AB4">
        <w:rPr>
          <w:rFonts w:hint="cs"/>
          <w:rtl/>
        </w:rPr>
        <w:t xml:space="preserve">עולה כי על פניו התשלום שנקבע בשנת 1975 בגין הקרקעות בתחום הזיכיון הוא תשלום מופחת: דמי החכירה לשטח המפעל הם דמי חכירה המחושבים על בסיס השווי הנמוך ביותר שנקבע באותה התקופה לתעשייה - 75 ל"י לדונם; דמי החכירה שנקבעו בגין שטח הקרקעות </w:t>
      </w:r>
      <w:r w:rsidRPr="000724E3" w:rsidR="000724E3">
        <w:rPr>
          <w:rtl/>
        </w:rPr>
        <w:t>החכורות הרגילות חושבו</w:t>
      </w:r>
      <w:r w:rsidR="000724E3">
        <w:rPr>
          <w:lang w:val="ru-RU"/>
        </w:rPr>
        <w:t xml:space="preserve"> </w:t>
      </w:r>
      <w:r w:rsidRPr="00331AB4">
        <w:rPr>
          <w:rFonts w:hint="cs"/>
          <w:rtl/>
        </w:rPr>
        <w:t xml:space="preserve">על בסיס פרופיל אחר מקרקע לתעשייה - 1.5 ל"י לדונם בלבד. המנגנון שקבעה </w:t>
      </w:r>
      <w:r w:rsidRPr="00331AB4">
        <w:rPr>
          <w:rFonts w:hint="cs"/>
          <w:rtl/>
        </w:rPr>
        <w:t>רמ"י</w:t>
      </w:r>
      <w:r w:rsidRPr="00331AB4">
        <w:rPr>
          <w:rFonts w:hint="cs"/>
          <w:rtl/>
        </w:rPr>
        <w:t xml:space="preserve"> לעדכון דמי החכירה התבסס על החלוקה האמורה ועל סכומי החכירה המופחתים שנקבעו, כמו גם שווי הבסיס של הקרקע משנת 1975. </w:t>
      </w:r>
      <w:bookmarkEnd w:id="54"/>
    </w:p>
    <w:p w:rsidR="006734B0" w:rsidRPr="00331AB4" w:rsidP="00331AB4" w14:paraId="1B2204FC" w14:textId="77777777">
      <w:pPr>
        <w:pStyle w:val="7318"/>
        <w:rPr>
          <w:rtl/>
        </w:rPr>
      </w:pPr>
      <w:bookmarkStart w:id="55" w:name="_Hlk174284277"/>
      <w:r w:rsidRPr="00331AB4">
        <w:rPr>
          <w:rFonts w:hint="cs"/>
          <w:rtl/>
        </w:rPr>
        <w:t xml:space="preserve">בביקורת נמצא כי </w:t>
      </w:r>
      <w:r w:rsidRPr="00331AB4">
        <w:rPr>
          <w:rFonts w:hint="cs"/>
          <w:rtl/>
        </w:rPr>
        <w:t>רמ"י</w:t>
      </w:r>
      <w:r w:rsidRPr="00331AB4">
        <w:rPr>
          <w:rFonts w:hint="cs"/>
          <w:rtl/>
        </w:rPr>
        <w:t xml:space="preserve"> כגורם המנהל את מקרקעי ישראל, ומשרד האוצר כמשרד האחראי לחוק הזיכיון, לא בחנו במהלך השנים את האפשרות לשינוי גובה דמי החכירה ולגביית תשלום עבור הקרקעות השמורות ששטחן הוא כ-240,000 דונם, זאת על אף הזמן שעבר והשינויים האפשריים שחלו בשווי הקרקע במרוצת השנים. </w:t>
      </w:r>
    </w:p>
    <w:p w:rsidR="006734B0" w:rsidRPr="00331AB4" w:rsidP="00331AB4" w14:paraId="0325F092" w14:textId="76BA069A">
      <w:pPr>
        <w:pStyle w:val="7392"/>
      </w:pPr>
      <w:r w:rsidRPr="00331AB4">
        <w:rPr>
          <w:rFonts w:hint="cs"/>
          <w:rtl/>
        </w:rPr>
        <w:t>מי"ה</w:t>
      </w:r>
      <w:r w:rsidRPr="00331AB4">
        <w:rPr>
          <w:rFonts w:hint="cs"/>
          <w:rtl/>
        </w:rPr>
        <w:t xml:space="preserve"> מסרה בתשובתה למשרד מבקר המדינה כי לא ניתן לחייב בגין הקרקעות השמורות בתשלום נוסף, שכן התמלוגים שהיא משלמת מגלמים גם את התשלום עבור הקרקעות השמורות. עוד מסרה </w:t>
      </w:r>
      <w:r w:rsidRPr="00331AB4">
        <w:rPr>
          <w:rFonts w:hint="cs"/>
          <w:rtl/>
        </w:rPr>
        <w:t>מי"ה</w:t>
      </w:r>
      <w:r w:rsidRPr="00331AB4">
        <w:rPr>
          <w:rFonts w:hint="cs"/>
          <w:rtl/>
        </w:rPr>
        <w:t xml:space="preserve"> בתשובתה כי אין מקום לשנות את שווי הבסיס של הקרקע, וכי מנגנון עדכון דמי החכירה מגולם בהוספת הצמדה ו-35% מדמי החכירה המקוריים מדי </w:t>
      </w:r>
      <w:r w:rsidR="00727D4C">
        <w:rPr>
          <w:rFonts w:hint="cs"/>
          <w:rtl/>
        </w:rPr>
        <w:t>שבע</w:t>
      </w:r>
      <w:r w:rsidRPr="00331AB4">
        <w:rPr>
          <w:rFonts w:hint="cs"/>
          <w:rtl/>
        </w:rPr>
        <w:t xml:space="preserve"> שנים. </w:t>
      </w:r>
    </w:p>
    <w:p w:rsidR="006734B0" w:rsidRPr="00331AB4" w:rsidP="00331AB4" w14:paraId="618ACD48" w14:textId="475CCF2A">
      <w:pPr>
        <w:pStyle w:val="7318"/>
        <w:rPr>
          <w:rtl/>
        </w:rPr>
      </w:pPr>
      <w:bookmarkStart w:id="56" w:name="_Hlk184813561"/>
      <w:bookmarkEnd w:id="55"/>
      <w:r w:rsidRPr="00331AB4">
        <w:rPr>
          <w:rFonts w:hint="cs"/>
          <w:rtl/>
        </w:rPr>
        <w:t xml:space="preserve">מומלץ כי </w:t>
      </w:r>
      <w:r w:rsidRPr="00331AB4">
        <w:rPr>
          <w:rFonts w:hint="cs"/>
          <w:rtl/>
        </w:rPr>
        <w:t>רמ"י</w:t>
      </w:r>
      <w:r w:rsidRPr="00331AB4">
        <w:rPr>
          <w:rFonts w:hint="cs"/>
          <w:rtl/>
        </w:rPr>
        <w:t xml:space="preserve"> ומשרד האוצר יבחנו את הצורך בעדכון דמי החכירה באופן שהם ישקפו את שווי השימוש העדכני בקרקע </w:t>
      </w:r>
      <w:r w:rsidRPr="00331AB4">
        <w:rPr>
          <w:rFonts w:hint="eastAsia"/>
          <w:rtl/>
        </w:rPr>
        <w:t>ואת</w:t>
      </w:r>
      <w:r w:rsidRPr="00331AB4">
        <w:rPr>
          <w:rtl/>
        </w:rPr>
        <w:t xml:space="preserve"> </w:t>
      </w:r>
      <w:r w:rsidRPr="00331AB4">
        <w:rPr>
          <w:rFonts w:hint="eastAsia"/>
          <w:rtl/>
        </w:rPr>
        <w:t>האפשרות</w:t>
      </w:r>
      <w:r w:rsidRPr="00331AB4">
        <w:rPr>
          <w:rtl/>
        </w:rPr>
        <w:t xml:space="preserve"> </w:t>
      </w:r>
      <w:r w:rsidRPr="00331AB4">
        <w:rPr>
          <w:rFonts w:hint="eastAsia"/>
          <w:rtl/>
        </w:rPr>
        <w:t>לקביעת</w:t>
      </w:r>
      <w:r w:rsidRPr="00331AB4">
        <w:rPr>
          <w:rFonts w:hint="cs"/>
          <w:rtl/>
        </w:rPr>
        <w:t xml:space="preserve"> תשלום נפרד בגין הקרקעות השמורות, שכן במצב הקיים אין</w:t>
      </w:r>
      <w:r w:rsidRPr="00331AB4">
        <w:rPr>
          <w:rtl/>
        </w:rPr>
        <w:t xml:space="preserve"> </w:t>
      </w:r>
      <w:r w:rsidRPr="00331AB4">
        <w:rPr>
          <w:rFonts w:hint="cs"/>
          <w:rtl/>
        </w:rPr>
        <w:t xml:space="preserve">לבעל הזיכיון </w:t>
      </w:r>
      <w:r w:rsidRPr="00331AB4">
        <w:rPr>
          <w:rFonts w:hint="eastAsia"/>
          <w:rtl/>
        </w:rPr>
        <w:t>תמריץ</w:t>
      </w:r>
      <w:r w:rsidRPr="00331AB4">
        <w:rPr>
          <w:rtl/>
        </w:rPr>
        <w:t xml:space="preserve"> </w:t>
      </w:r>
      <w:r w:rsidRPr="00331AB4">
        <w:rPr>
          <w:rFonts w:hint="eastAsia"/>
          <w:rtl/>
        </w:rPr>
        <w:t>לצמצום</w:t>
      </w:r>
      <w:r w:rsidRPr="00331AB4">
        <w:rPr>
          <w:rtl/>
        </w:rPr>
        <w:t xml:space="preserve"> </w:t>
      </w:r>
      <w:r w:rsidRPr="00331AB4">
        <w:rPr>
          <w:rFonts w:hint="eastAsia"/>
          <w:rtl/>
        </w:rPr>
        <w:t>השטח</w:t>
      </w:r>
      <w:r w:rsidRPr="00331AB4">
        <w:rPr>
          <w:rFonts w:hint="cs"/>
          <w:rtl/>
        </w:rPr>
        <w:t>, שהוא משאב ציבורי יקר, גם</w:t>
      </w:r>
      <w:r w:rsidRPr="00331AB4">
        <w:rPr>
          <w:rtl/>
        </w:rPr>
        <w:t xml:space="preserve"> </w:t>
      </w:r>
      <w:r w:rsidRPr="00331AB4">
        <w:rPr>
          <w:rFonts w:hint="cs"/>
          <w:rtl/>
        </w:rPr>
        <w:t xml:space="preserve">אם </w:t>
      </w:r>
      <w:r w:rsidRPr="00331AB4">
        <w:rPr>
          <w:rFonts w:hint="eastAsia"/>
          <w:rtl/>
        </w:rPr>
        <w:t>מתב</w:t>
      </w:r>
      <w:r w:rsidRPr="00331AB4">
        <w:rPr>
          <w:rFonts w:hint="cs"/>
          <w:rtl/>
        </w:rPr>
        <w:t>ר</w:t>
      </w:r>
      <w:r w:rsidRPr="00331AB4">
        <w:rPr>
          <w:rFonts w:hint="eastAsia"/>
          <w:rtl/>
        </w:rPr>
        <w:t>ר</w:t>
      </w:r>
      <w:r w:rsidRPr="00331AB4">
        <w:rPr>
          <w:rFonts w:hint="cs"/>
          <w:rtl/>
        </w:rPr>
        <w:t xml:space="preserve"> שהוא אינו נדרש לפעילותו. כמו כן, הגם שקיים מנגנון עדכון מדי </w:t>
      </w:r>
      <w:r w:rsidR="00727D4C">
        <w:rPr>
          <w:rFonts w:hint="cs"/>
          <w:rtl/>
        </w:rPr>
        <w:t>שבע</w:t>
      </w:r>
      <w:r w:rsidRPr="00331AB4">
        <w:rPr>
          <w:rFonts w:hint="cs"/>
          <w:rtl/>
        </w:rPr>
        <w:t xml:space="preserve"> שנים, התשלום בגין הקרקעות החכורות ושטח המפעל הוא לפי ערכי קרקע ישנים ומופחתים. מצב זה פוגע בעקרון השוויון ובצדק החלוקתי, ויש לפעול לתיקונו בהקדם. </w:t>
      </w:r>
    </w:p>
    <w:bookmarkEnd w:id="56"/>
    <w:p w:rsidR="006734B0" w:rsidRPr="00331AB4" w:rsidP="00331AB4" w14:paraId="7788C8B9" w14:textId="77777777">
      <w:pPr>
        <w:pStyle w:val="7321"/>
        <w:rPr>
          <w:rtl/>
        </w:rPr>
      </w:pPr>
      <w:r w:rsidRPr="00331AB4">
        <w:rPr>
          <w:rFonts w:hint="cs"/>
          <w:rtl/>
        </w:rPr>
        <w:t>✰</w:t>
      </w:r>
    </w:p>
    <w:p w:rsidR="006734B0" w:rsidRPr="00331AB4" w:rsidP="00331AB4" w14:paraId="55895233" w14:textId="77777777">
      <w:pPr>
        <w:pStyle w:val="7318"/>
        <w:rPr>
          <w:rtl/>
        </w:rPr>
      </w:pPr>
      <w:r w:rsidRPr="00331AB4">
        <w:rPr>
          <w:rFonts w:hint="cs"/>
          <w:rtl/>
        </w:rPr>
        <w:t xml:space="preserve">על פי חוק רשות מקרקעי ישראל </w:t>
      </w:r>
      <w:r w:rsidRPr="00331AB4">
        <w:rPr>
          <w:rFonts w:hint="cs"/>
          <w:rtl/>
        </w:rPr>
        <w:t>רמ"י</w:t>
      </w:r>
      <w:r w:rsidRPr="00331AB4">
        <w:rPr>
          <w:rFonts w:hint="cs"/>
          <w:rtl/>
        </w:rPr>
        <w:t xml:space="preserve"> מופקדת על ניהול מקרקעי ישראל כנאמן הציבור, ובין מטרותיה - ניהול מקרקעי ישראל כמשאב לשם פיתוחה של המדינה ולטובת הציבור, הסביבה והדורות הבאים. הקרקע היא משאב טבע המצוי במחסור לנוכח הצפיפות הגבוהה המאפיינת את המדינה והתחרות הגדולה על שימושי הקרקע. האסדרה החלה על הקרקע נועדה בין היתר לייעל את השימוש בה ולשמור על השטחים הפתוחים שבהם קיימים ערכי הטבע, הנוף והמורשת של ישראל, ואשר מהווים את עתודות הקרקע לעתיד. בהיעדר אסדרה, אין תמריץ או סנקציה לייעול השימוש בקרקע ולהפנמת העלויות החיצוניות של השימוש בה. </w:t>
      </w:r>
    </w:p>
    <w:p w:rsidR="006734B0" w:rsidRPr="00331AB4" w:rsidP="00331AB4" w14:paraId="10234513" w14:textId="69D5C73B">
      <w:pPr>
        <w:pStyle w:val="7318"/>
        <w:rPr>
          <w:rtl/>
        </w:rPr>
      </w:pPr>
      <w:r w:rsidRPr="00331AB4">
        <w:rPr>
          <w:rFonts w:hint="eastAsia"/>
          <w:rtl/>
        </w:rPr>
        <w:t>ממצאי</w:t>
      </w:r>
      <w:r w:rsidRPr="00331AB4">
        <w:rPr>
          <w:rtl/>
        </w:rPr>
        <w:t xml:space="preserve"> הביקורת מעלים ליקויים לגבי האופן שבו התנהלה </w:t>
      </w:r>
      <w:r w:rsidRPr="00331AB4">
        <w:rPr>
          <w:rtl/>
        </w:rPr>
        <w:t>רמ"י</w:t>
      </w:r>
      <w:r w:rsidRPr="00331AB4">
        <w:rPr>
          <w:rtl/>
        </w:rPr>
        <w:t xml:space="preserve"> במשך עשרות שנים בכל הנוגע לניהול </w:t>
      </w:r>
      <w:r w:rsidRPr="000724E3" w:rsidR="000724E3">
        <w:rPr>
          <w:rtl/>
        </w:rPr>
        <w:t>השטח הכלול</w:t>
      </w:r>
      <w:r w:rsidR="000724E3">
        <w:rPr>
          <w:lang w:val="ru-RU"/>
        </w:rPr>
        <w:t xml:space="preserve"> </w:t>
      </w:r>
      <w:r w:rsidRPr="00331AB4">
        <w:rPr>
          <w:rtl/>
        </w:rPr>
        <w:t xml:space="preserve">בתחום זיכיון ים המלח והפיקוח על השימושים </w:t>
      </w:r>
      <w:r w:rsidRPr="000724E3" w:rsidR="000724E3">
        <w:rPr>
          <w:rtl/>
        </w:rPr>
        <w:t>שמי"ה</w:t>
      </w:r>
      <w:r w:rsidRPr="000724E3" w:rsidR="000724E3">
        <w:rPr>
          <w:rtl/>
        </w:rPr>
        <w:t xml:space="preserve"> עשתה בו</w:t>
      </w:r>
      <w:r w:rsidRPr="00331AB4">
        <w:rPr>
          <w:rtl/>
        </w:rPr>
        <w:t xml:space="preserve">: נמצא כי אף שלפי חוק הזיכיון שימוש בקרקעות השמורות מצריך שינוי של מעמדן לקרקעות חכורות ותשלום דמי חכירה בהתאם, הוקמו בשטח הקרקעות השמורות </w:t>
      </w:r>
      <w:r w:rsidRPr="00331AB4">
        <w:rPr>
          <w:rFonts w:hint="eastAsia"/>
          <w:rtl/>
        </w:rPr>
        <w:t>מתקנים</w:t>
      </w:r>
      <w:r w:rsidRPr="00331AB4">
        <w:rPr>
          <w:rtl/>
        </w:rPr>
        <w:t xml:space="preserve"> </w:t>
      </w:r>
      <w:r w:rsidRPr="00331AB4">
        <w:rPr>
          <w:rFonts w:hint="eastAsia"/>
          <w:rtl/>
        </w:rPr>
        <w:t>המשמשים</w:t>
      </w:r>
      <w:r w:rsidRPr="00331AB4">
        <w:rPr>
          <w:rtl/>
        </w:rPr>
        <w:t xml:space="preserve"> </w:t>
      </w:r>
      <w:r w:rsidRPr="00331AB4">
        <w:rPr>
          <w:rFonts w:hint="eastAsia"/>
          <w:rtl/>
        </w:rPr>
        <w:t>את</w:t>
      </w:r>
      <w:r w:rsidRPr="00331AB4">
        <w:rPr>
          <w:rtl/>
        </w:rPr>
        <w:t xml:space="preserve"> </w:t>
      </w:r>
      <w:r w:rsidRPr="00331AB4">
        <w:rPr>
          <w:rFonts w:hint="eastAsia"/>
          <w:rtl/>
        </w:rPr>
        <w:t>מי</w:t>
      </w:r>
      <w:r w:rsidRPr="00331AB4">
        <w:rPr>
          <w:rtl/>
        </w:rPr>
        <w:t>"ה</w:t>
      </w:r>
      <w:r w:rsidRPr="00331AB4">
        <w:rPr>
          <w:rtl/>
        </w:rPr>
        <w:t xml:space="preserve"> </w:t>
      </w:r>
      <w:r w:rsidRPr="00331AB4">
        <w:rPr>
          <w:rFonts w:hint="eastAsia"/>
          <w:rtl/>
        </w:rPr>
        <w:t>בלי</w:t>
      </w:r>
      <w:r w:rsidRPr="00331AB4">
        <w:rPr>
          <w:rtl/>
        </w:rPr>
        <w:t xml:space="preserve"> </w:t>
      </w:r>
      <w:r w:rsidRPr="00331AB4">
        <w:rPr>
          <w:rFonts w:hint="eastAsia"/>
          <w:rtl/>
        </w:rPr>
        <w:t>שרמ</w:t>
      </w:r>
      <w:r w:rsidRPr="00331AB4">
        <w:rPr>
          <w:rtl/>
        </w:rPr>
        <w:t>"י</w:t>
      </w:r>
      <w:r w:rsidRPr="00331AB4">
        <w:rPr>
          <w:rtl/>
        </w:rPr>
        <w:t xml:space="preserve"> </w:t>
      </w:r>
      <w:r w:rsidRPr="00331AB4">
        <w:rPr>
          <w:rFonts w:hint="eastAsia"/>
          <w:rtl/>
        </w:rPr>
        <w:t>פעלה</w:t>
      </w:r>
      <w:r w:rsidRPr="00331AB4">
        <w:rPr>
          <w:rtl/>
        </w:rPr>
        <w:t xml:space="preserve"> </w:t>
      </w:r>
      <w:r w:rsidRPr="00331AB4">
        <w:rPr>
          <w:rFonts w:hint="eastAsia"/>
          <w:rtl/>
        </w:rPr>
        <w:t>להסדיר</w:t>
      </w:r>
      <w:r w:rsidRPr="00331AB4">
        <w:rPr>
          <w:rtl/>
        </w:rPr>
        <w:t xml:space="preserve"> </w:t>
      </w:r>
      <w:r w:rsidRPr="00331AB4">
        <w:rPr>
          <w:rFonts w:hint="eastAsia"/>
          <w:rtl/>
        </w:rPr>
        <w:t>את</w:t>
      </w:r>
      <w:r w:rsidRPr="00331AB4">
        <w:rPr>
          <w:rtl/>
        </w:rPr>
        <w:t xml:space="preserve"> </w:t>
      </w:r>
      <w:r w:rsidRPr="00331AB4">
        <w:rPr>
          <w:rFonts w:hint="eastAsia"/>
          <w:rtl/>
        </w:rPr>
        <w:t>מעמד</w:t>
      </w:r>
      <w:r w:rsidRPr="00331AB4">
        <w:rPr>
          <w:rtl/>
        </w:rPr>
        <w:t xml:space="preserve"> </w:t>
      </w:r>
      <w:r w:rsidRPr="00331AB4">
        <w:rPr>
          <w:rFonts w:hint="eastAsia"/>
          <w:rtl/>
        </w:rPr>
        <w:t>הקרקע</w:t>
      </w:r>
      <w:r w:rsidRPr="00331AB4">
        <w:rPr>
          <w:rtl/>
        </w:rPr>
        <w:t xml:space="preserve"> </w:t>
      </w:r>
      <w:r w:rsidRPr="00331AB4">
        <w:rPr>
          <w:rFonts w:hint="eastAsia"/>
          <w:rtl/>
        </w:rPr>
        <w:t>ולדרוש</w:t>
      </w:r>
      <w:r w:rsidRPr="00331AB4">
        <w:rPr>
          <w:rtl/>
        </w:rPr>
        <w:t xml:space="preserve"> </w:t>
      </w:r>
      <w:r w:rsidRPr="00331AB4">
        <w:rPr>
          <w:rFonts w:hint="eastAsia"/>
          <w:rtl/>
        </w:rPr>
        <w:t>תשלום</w:t>
      </w:r>
      <w:r w:rsidRPr="00331AB4">
        <w:rPr>
          <w:rtl/>
        </w:rPr>
        <w:t xml:space="preserve"> </w:t>
      </w:r>
      <w:r w:rsidRPr="00331AB4">
        <w:rPr>
          <w:rFonts w:hint="eastAsia"/>
          <w:rtl/>
        </w:rPr>
        <w:t>בגינם</w:t>
      </w:r>
      <w:r w:rsidRPr="00331AB4">
        <w:rPr>
          <w:rFonts w:hint="cs"/>
          <w:rtl/>
        </w:rPr>
        <w:t>.</w:t>
      </w:r>
      <w:r w:rsidRPr="00331AB4">
        <w:rPr>
          <w:rtl/>
        </w:rPr>
        <w:t xml:space="preserve"> </w:t>
      </w:r>
      <w:r w:rsidRPr="00331AB4">
        <w:rPr>
          <w:rFonts w:hint="cs"/>
          <w:rtl/>
        </w:rPr>
        <w:t xml:space="preserve">עוד נמצא </w:t>
      </w:r>
      <w:r w:rsidRPr="00331AB4">
        <w:rPr>
          <w:rtl/>
        </w:rPr>
        <w:t xml:space="preserve">כי אף ששטחים נרחבים מהשטח שהוגדר כשטח ים המלח בחוק הזיכיון התייבשו </w:t>
      </w:r>
      <w:r w:rsidRPr="00331AB4">
        <w:rPr>
          <w:rtl/>
        </w:rPr>
        <w:t>ומי"ה</w:t>
      </w:r>
      <w:r w:rsidRPr="00331AB4">
        <w:rPr>
          <w:rtl/>
        </w:rPr>
        <w:t xml:space="preserve"> בנתה </w:t>
      </w:r>
      <w:r w:rsidRPr="001D0522" w:rsidR="001D0522">
        <w:rPr>
          <w:rtl/>
        </w:rPr>
        <w:t xml:space="preserve">על חלקם </w:t>
      </w:r>
      <w:r w:rsidRPr="00331AB4">
        <w:rPr>
          <w:rtl/>
        </w:rPr>
        <w:t xml:space="preserve">מתקנים, </w:t>
      </w:r>
      <w:r w:rsidRPr="00331AB4">
        <w:rPr>
          <w:rtl/>
        </w:rPr>
        <w:t>רמ"י</w:t>
      </w:r>
      <w:r w:rsidRPr="00331AB4">
        <w:rPr>
          <w:rtl/>
        </w:rPr>
        <w:t xml:space="preserve"> לא בחנה </w:t>
      </w:r>
      <w:r w:rsidRPr="00331AB4">
        <w:rPr>
          <w:rFonts w:hint="eastAsia"/>
          <w:rtl/>
        </w:rPr>
        <w:t>את</w:t>
      </w:r>
      <w:r w:rsidRPr="00331AB4">
        <w:rPr>
          <w:rtl/>
        </w:rPr>
        <w:t xml:space="preserve"> מעמד הקרקע שנוצרה והאם נכון לגבות תשלום בגין השימושים המתקיימים </w:t>
      </w:r>
      <w:r w:rsidRPr="00331AB4">
        <w:rPr>
          <w:rFonts w:hint="eastAsia"/>
          <w:rtl/>
        </w:rPr>
        <w:t>עליה</w:t>
      </w:r>
      <w:r w:rsidRPr="00331AB4">
        <w:rPr>
          <w:rtl/>
        </w:rPr>
        <w:t xml:space="preserve">. </w:t>
      </w:r>
      <w:r w:rsidRPr="00331AB4">
        <w:rPr>
          <w:rFonts w:hint="eastAsia"/>
          <w:rtl/>
        </w:rPr>
        <w:t>עוד</w:t>
      </w:r>
      <w:r w:rsidRPr="00331AB4">
        <w:rPr>
          <w:rtl/>
        </w:rPr>
        <w:t xml:space="preserve"> </w:t>
      </w:r>
      <w:r w:rsidRPr="00331AB4">
        <w:rPr>
          <w:rFonts w:hint="eastAsia"/>
          <w:rtl/>
        </w:rPr>
        <w:t>נמצא</w:t>
      </w:r>
      <w:r w:rsidRPr="00331AB4">
        <w:rPr>
          <w:rtl/>
        </w:rPr>
        <w:t xml:space="preserve"> </w:t>
      </w:r>
      <w:r w:rsidRPr="00331AB4">
        <w:rPr>
          <w:rFonts w:hint="eastAsia"/>
          <w:rtl/>
        </w:rPr>
        <w:t>כי</w:t>
      </w:r>
      <w:r w:rsidRPr="00331AB4">
        <w:rPr>
          <w:rtl/>
        </w:rPr>
        <w:t xml:space="preserve"> </w:t>
      </w:r>
      <w:r w:rsidRPr="00331AB4">
        <w:rPr>
          <w:rFonts w:hint="eastAsia"/>
          <w:rtl/>
        </w:rPr>
        <w:t>רמ</w:t>
      </w:r>
      <w:r w:rsidRPr="00331AB4">
        <w:rPr>
          <w:rtl/>
        </w:rPr>
        <w:t>"י</w:t>
      </w:r>
      <w:r w:rsidRPr="00331AB4">
        <w:rPr>
          <w:rtl/>
        </w:rPr>
        <w:t xml:space="preserve"> </w:t>
      </w:r>
      <w:r w:rsidRPr="00331AB4">
        <w:rPr>
          <w:rFonts w:hint="eastAsia"/>
          <w:rtl/>
        </w:rPr>
        <w:t>לא</w:t>
      </w:r>
      <w:r w:rsidRPr="00331AB4">
        <w:rPr>
          <w:rtl/>
        </w:rPr>
        <w:t xml:space="preserve"> </w:t>
      </w:r>
      <w:r w:rsidRPr="00331AB4">
        <w:rPr>
          <w:rFonts w:hint="eastAsia"/>
          <w:rtl/>
        </w:rPr>
        <w:t>קיימה</w:t>
      </w:r>
      <w:r w:rsidRPr="00331AB4">
        <w:rPr>
          <w:rtl/>
        </w:rPr>
        <w:t xml:space="preserve"> </w:t>
      </w:r>
      <w:r w:rsidRPr="00331AB4">
        <w:rPr>
          <w:rFonts w:hint="eastAsia"/>
          <w:rtl/>
        </w:rPr>
        <w:t>סיורי</w:t>
      </w:r>
      <w:r w:rsidRPr="00331AB4">
        <w:rPr>
          <w:rtl/>
        </w:rPr>
        <w:t xml:space="preserve"> </w:t>
      </w:r>
      <w:r w:rsidRPr="00331AB4">
        <w:rPr>
          <w:rFonts w:hint="eastAsia"/>
          <w:rtl/>
        </w:rPr>
        <w:t>פיקוח</w:t>
      </w:r>
      <w:r w:rsidRPr="00331AB4">
        <w:rPr>
          <w:rtl/>
        </w:rPr>
        <w:t xml:space="preserve"> </w:t>
      </w:r>
      <w:r w:rsidRPr="00331AB4">
        <w:rPr>
          <w:rFonts w:hint="eastAsia"/>
          <w:rtl/>
        </w:rPr>
        <w:t>בשטח</w:t>
      </w:r>
      <w:r w:rsidRPr="00331AB4">
        <w:rPr>
          <w:rtl/>
        </w:rPr>
        <w:t xml:space="preserve"> </w:t>
      </w:r>
      <w:r w:rsidRPr="00331AB4">
        <w:rPr>
          <w:rFonts w:hint="cs"/>
          <w:rtl/>
        </w:rPr>
        <w:t>הזיכיון</w:t>
      </w:r>
      <w:r w:rsidRPr="00331AB4">
        <w:rPr>
          <w:rtl/>
        </w:rPr>
        <w:t xml:space="preserve">, </w:t>
      </w:r>
      <w:r w:rsidRPr="00331AB4">
        <w:rPr>
          <w:rFonts w:hint="eastAsia"/>
          <w:rtl/>
        </w:rPr>
        <w:t>לא</w:t>
      </w:r>
      <w:r w:rsidRPr="00331AB4">
        <w:rPr>
          <w:rtl/>
        </w:rPr>
        <w:t xml:space="preserve"> </w:t>
      </w:r>
      <w:r w:rsidRPr="00331AB4">
        <w:rPr>
          <w:rFonts w:hint="eastAsia"/>
          <w:rtl/>
        </w:rPr>
        <w:t>פעלה</w:t>
      </w:r>
      <w:r w:rsidRPr="00331AB4">
        <w:rPr>
          <w:rtl/>
        </w:rPr>
        <w:t xml:space="preserve"> </w:t>
      </w:r>
      <w:r w:rsidRPr="00331AB4">
        <w:rPr>
          <w:rFonts w:hint="eastAsia"/>
          <w:rtl/>
        </w:rPr>
        <w:t>לאסדרת</w:t>
      </w:r>
      <w:r w:rsidRPr="00331AB4">
        <w:rPr>
          <w:rtl/>
        </w:rPr>
        <w:t xml:space="preserve"> </w:t>
      </w:r>
      <w:r w:rsidRPr="00331AB4">
        <w:rPr>
          <w:rFonts w:hint="eastAsia"/>
          <w:rtl/>
        </w:rPr>
        <w:t>השימוש</w:t>
      </w:r>
      <w:r w:rsidRPr="00331AB4">
        <w:rPr>
          <w:rtl/>
        </w:rPr>
        <w:t xml:space="preserve"> </w:t>
      </w:r>
      <w:r w:rsidRPr="00331AB4">
        <w:rPr>
          <w:rFonts w:hint="eastAsia"/>
          <w:rtl/>
        </w:rPr>
        <w:t>בתחנת</w:t>
      </w:r>
      <w:r w:rsidRPr="00331AB4">
        <w:rPr>
          <w:rtl/>
        </w:rPr>
        <w:t xml:space="preserve"> </w:t>
      </w:r>
      <w:r w:rsidRPr="00331AB4">
        <w:rPr>
          <w:rFonts w:hint="eastAsia"/>
          <w:rtl/>
        </w:rPr>
        <w:t>הכוח</w:t>
      </w:r>
      <w:r w:rsidRPr="00331AB4">
        <w:rPr>
          <w:rtl/>
        </w:rPr>
        <w:t xml:space="preserve"> </w:t>
      </w:r>
      <w:r w:rsidRPr="00331AB4">
        <w:rPr>
          <w:rFonts w:hint="eastAsia"/>
          <w:rtl/>
        </w:rPr>
        <w:t>החדשה</w:t>
      </w:r>
      <w:r w:rsidRPr="00331AB4">
        <w:rPr>
          <w:rtl/>
        </w:rPr>
        <w:t xml:space="preserve"> </w:t>
      </w:r>
      <w:r w:rsidRPr="00331AB4">
        <w:rPr>
          <w:rFonts w:hint="eastAsia"/>
          <w:rtl/>
        </w:rPr>
        <w:t>במפעל</w:t>
      </w:r>
      <w:r w:rsidRPr="00331AB4">
        <w:rPr>
          <w:rtl/>
        </w:rPr>
        <w:t xml:space="preserve"> </w:t>
      </w:r>
      <w:r w:rsidRPr="00331AB4">
        <w:rPr>
          <w:rFonts w:hint="eastAsia"/>
          <w:rtl/>
        </w:rPr>
        <w:t>האשלג</w:t>
      </w:r>
      <w:r w:rsidRPr="00331AB4">
        <w:rPr>
          <w:rtl/>
        </w:rPr>
        <w:t xml:space="preserve"> </w:t>
      </w:r>
      <w:r w:rsidRPr="00331AB4">
        <w:rPr>
          <w:rFonts w:hint="eastAsia"/>
          <w:rtl/>
        </w:rPr>
        <w:t>ולא</w:t>
      </w:r>
      <w:r w:rsidRPr="00331AB4">
        <w:rPr>
          <w:rtl/>
        </w:rPr>
        <w:t xml:space="preserve"> </w:t>
      </w:r>
      <w:r w:rsidRPr="00331AB4">
        <w:rPr>
          <w:rFonts w:hint="eastAsia"/>
          <w:rtl/>
        </w:rPr>
        <w:t>פעלה</w:t>
      </w:r>
      <w:r w:rsidRPr="00331AB4">
        <w:rPr>
          <w:rtl/>
        </w:rPr>
        <w:t xml:space="preserve"> </w:t>
      </w:r>
      <w:r w:rsidRPr="00331AB4">
        <w:rPr>
          <w:rFonts w:hint="eastAsia"/>
          <w:rtl/>
        </w:rPr>
        <w:t>לגבות</w:t>
      </w:r>
      <w:r w:rsidRPr="00331AB4">
        <w:rPr>
          <w:rtl/>
        </w:rPr>
        <w:t xml:space="preserve"> </w:t>
      </w:r>
      <w:r w:rsidRPr="00331AB4">
        <w:rPr>
          <w:rFonts w:hint="eastAsia"/>
          <w:rtl/>
        </w:rPr>
        <w:t>את</w:t>
      </w:r>
      <w:r w:rsidRPr="00331AB4">
        <w:rPr>
          <w:rtl/>
        </w:rPr>
        <w:t xml:space="preserve"> </w:t>
      </w:r>
      <w:r w:rsidRPr="00331AB4">
        <w:rPr>
          <w:rFonts w:hint="eastAsia"/>
          <w:rtl/>
        </w:rPr>
        <w:t>התשלומים</w:t>
      </w:r>
      <w:r w:rsidRPr="00331AB4">
        <w:rPr>
          <w:rtl/>
        </w:rPr>
        <w:t xml:space="preserve"> </w:t>
      </w:r>
      <w:r w:rsidRPr="00331AB4">
        <w:rPr>
          <w:rFonts w:hint="eastAsia"/>
          <w:rtl/>
        </w:rPr>
        <w:t>הנוספים</w:t>
      </w:r>
      <w:r w:rsidRPr="00331AB4">
        <w:rPr>
          <w:rtl/>
        </w:rPr>
        <w:t xml:space="preserve"> </w:t>
      </w:r>
      <w:r w:rsidRPr="00331AB4">
        <w:rPr>
          <w:rFonts w:hint="eastAsia"/>
          <w:rtl/>
        </w:rPr>
        <w:t>שיש</w:t>
      </w:r>
      <w:r w:rsidRPr="00331AB4">
        <w:rPr>
          <w:rtl/>
        </w:rPr>
        <w:t xml:space="preserve"> </w:t>
      </w:r>
      <w:r w:rsidRPr="00331AB4">
        <w:rPr>
          <w:rFonts w:hint="eastAsia"/>
          <w:rtl/>
        </w:rPr>
        <w:t>לגבות</w:t>
      </w:r>
      <w:r w:rsidRPr="00331AB4">
        <w:rPr>
          <w:rtl/>
        </w:rPr>
        <w:t xml:space="preserve"> </w:t>
      </w:r>
      <w:r w:rsidRPr="00331AB4">
        <w:rPr>
          <w:rFonts w:hint="eastAsia"/>
          <w:rtl/>
        </w:rPr>
        <w:t>בגינה</w:t>
      </w:r>
      <w:r w:rsidRPr="00331AB4">
        <w:rPr>
          <w:rtl/>
        </w:rPr>
        <w:t xml:space="preserve">. </w:t>
      </w:r>
      <w:r w:rsidRPr="00331AB4">
        <w:rPr>
          <w:rFonts w:hint="eastAsia"/>
          <w:rtl/>
        </w:rPr>
        <w:t>כתוצאה</w:t>
      </w:r>
      <w:r w:rsidRPr="00331AB4">
        <w:rPr>
          <w:rtl/>
        </w:rPr>
        <w:t xml:space="preserve"> </w:t>
      </w:r>
      <w:r w:rsidRPr="00331AB4">
        <w:rPr>
          <w:rFonts w:hint="eastAsia"/>
          <w:rtl/>
        </w:rPr>
        <w:t>מכל</w:t>
      </w:r>
      <w:r w:rsidRPr="00331AB4">
        <w:rPr>
          <w:rtl/>
        </w:rPr>
        <w:t xml:space="preserve"> </w:t>
      </w:r>
      <w:r w:rsidRPr="00331AB4">
        <w:rPr>
          <w:rFonts w:hint="eastAsia"/>
          <w:rtl/>
        </w:rPr>
        <w:t>אלו</w:t>
      </w:r>
      <w:r w:rsidRPr="00331AB4">
        <w:rPr>
          <w:rtl/>
        </w:rPr>
        <w:t xml:space="preserve"> </w:t>
      </w:r>
      <w:r w:rsidRPr="00331AB4">
        <w:rPr>
          <w:rFonts w:hint="eastAsia"/>
          <w:rtl/>
        </w:rPr>
        <w:t>נפגע</w:t>
      </w:r>
      <w:r w:rsidRPr="00331AB4">
        <w:rPr>
          <w:rtl/>
        </w:rPr>
        <w:t xml:space="preserve"> </w:t>
      </w:r>
      <w:r w:rsidRPr="00331AB4">
        <w:rPr>
          <w:rFonts w:hint="eastAsia"/>
          <w:rtl/>
        </w:rPr>
        <w:t>הפיקוח</w:t>
      </w:r>
      <w:r w:rsidRPr="00331AB4">
        <w:rPr>
          <w:rtl/>
        </w:rPr>
        <w:t xml:space="preserve"> </w:t>
      </w:r>
      <w:r w:rsidRPr="00331AB4">
        <w:rPr>
          <w:rFonts w:hint="eastAsia"/>
          <w:rtl/>
        </w:rPr>
        <w:t>הממשלתי</w:t>
      </w:r>
      <w:r w:rsidRPr="00331AB4">
        <w:rPr>
          <w:rtl/>
        </w:rPr>
        <w:t xml:space="preserve"> </w:t>
      </w:r>
      <w:r w:rsidRPr="00331AB4">
        <w:rPr>
          <w:rFonts w:hint="eastAsia"/>
          <w:rtl/>
        </w:rPr>
        <w:t>על</w:t>
      </w:r>
      <w:r w:rsidRPr="00331AB4">
        <w:rPr>
          <w:rtl/>
        </w:rPr>
        <w:t xml:space="preserve"> </w:t>
      </w:r>
      <w:r w:rsidRPr="00331AB4">
        <w:rPr>
          <w:rFonts w:hint="eastAsia"/>
          <w:rtl/>
        </w:rPr>
        <w:t>הנעשה</w:t>
      </w:r>
      <w:r w:rsidRPr="00331AB4">
        <w:rPr>
          <w:rtl/>
        </w:rPr>
        <w:t xml:space="preserve"> </w:t>
      </w:r>
      <w:r w:rsidRPr="00331AB4">
        <w:rPr>
          <w:rFonts w:hint="eastAsia"/>
          <w:rtl/>
        </w:rPr>
        <w:t>בתחום</w:t>
      </w:r>
      <w:r w:rsidRPr="00331AB4">
        <w:rPr>
          <w:rtl/>
        </w:rPr>
        <w:t xml:space="preserve"> </w:t>
      </w:r>
      <w:r w:rsidRPr="00331AB4">
        <w:rPr>
          <w:rFonts w:hint="eastAsia"/>
          <w:rtl/>
        </w:rPr>
        <w:t>הזיכיון</w:t>
      </w:r>
      <w:r w:rsidRPr="00331AB4">
        <w:rPr>
          <w:rtl/>
        </w:rPr>
        <w:t xml:space="preserve"> </w:t>
      </w:r>
      <w:r w:rsidRPr="00331AB4">
        <w:rPr>
          <w:rFonts w:hint="eastAsia"/>
          <w:rtl/>
        </w:rPr>
        <w:t>ונפגעה</w:t>
      </w:r>
      <w:r w:rsidRPr="00331AB4">
        <w:rPr>
          <w:rtl/>
        </w:rPr>
        <w:t xml:space="preserve"> </w:t>
      </w:r>
      <w:r w:rsidRPr="00331AB4">
        <w:rPr>
          <w:rFonts w:hint="eastAsia"/>
          <w:rtl/>
        </w:rPr>
        <w:t>הקופה</w:t>
      </w:r>
      <w:r w:rsidRPr="00331AB4">
        <w:rPr>
          <w:rtl/>
        </w:rPr>
        <w:t xml:space="preserve"> </w:t>
      </w:r>
      <w:r w:rsidRPr="00331AB4">
        <w:rPr>
          <w:rFonts w:hint="eastAsia"/>
          <w:rtl/>
        </w:rPr>
        <w:t>הציבורית</w:t>
      </w:r>
      <w:r w:rsidRPr="00331AB4">
        <w:rPr>
          <w:rtl/>
        </w:rPr>
        <w:t>.</w:t>
      </w:r>
    </w:p>
    <w:p w:rsidR="006734B0" w:rsidRPr="00331AB4" w:rsidP="00331AB4" w14:paraId="341D9583" w14:textId="1E6AD098">
      <w:pPr>
        <w:pStyle w:val="7318"/>
        <w:rPr>
          <w:rtl/>
        </w:rPr>
      </w:pPr>
      <w:r w:rsidRPr="00331AB4">
        <w:rPr>
          <w:rFonts w:hint="cs"/>
          <w:rtl/>
        </w:rPr>
        <w:t xml:space="preserve">על </w:t>
      </w:r>
      <w:r w:rsidRPr="00331AB4">
        <w:rPr>
          <w:rFonts w:hint="cs"/>
          <w:rtl/>
        </w:rPr>
        <w:t>רמ"י</w:t>
      </w:r>
      <w:r w:rsidRPr="00331AB4">
        <w:rPr>
          <w:rFonts w:hint="cs"/>
          <w:rtl/>
        </w:rPr>
        <w:t xml:space="preserve"> לחולל שינוי יסודי בכל הנוגע למעקב, לפיקוח ולאכיפה שהיא מקיימת בשטח הזיכיון של </w:t>
      </w:r>
      <w:r w:rsidRPr="00331AB4">
        <w:rPr>
          <w:rFonts w:hint="cs"/>
          <w:rtl/>
        </w:rPr>
        <w:t>מי"ה</w:t>
      </w:r>
      <w:r w:rsidRPr="00331AB4">
        <w:rPr>
          <w:rFonts w:hint="cs"/>
          <w:rtl/>
        </w:rPr>
        <w:t xml:space="preserve"> </w:t>
      </w:r>
      <w:r w:rsidRPr="000724E3" w:rsidR="000724E3">
        <w:rPr>
          <w:rtl/>
        </w:rPr>
        <w:t>ולפעול</w:t>
      </w:r>
      <w:r w:rsidR="000724E3">
        <w:rPr>
          <w:lang w:val="ru-RU"/>
        </w:rPr>
        <w:t xml:space="preserve"> </w:t>
      </w:r>
      <w:r w:rsidRPr="00331AB4">
        <w:rPr>
          <w:rFonts w:hint="cs"/>
          <w:rtl/>
        </w:rPr>
        <w:t xml:space="preserve">בהתאם לתפקידה בחוק - שמירה על המקרקעין כמשאב ציבורי ופיקוח עליהם. עליה לקדם אסדרה של </w:t>
      </w:r>
      <w:r w:rsidRPr="000724E3" w:rsidR="000724E3">
        <w:rPr>
          <w:rtl/>
        </w:rPr>
        <w:t>שימושי הקרקע</w:t>
      </w:r>
      <w:r w:rsidR="000724E3">
        <w:rPr>
          <w:lang w:val="ru-RU"/>
        </w:rPr>
        <w:t xml:space="preserve"> </w:t>
      </w:r>
      <w:r w:rsidRPr="00331AB4">
        <w:rPr>
          <w:rFonts w:hint="cs"/>
          <w:rtl/>
        </w:rPr>
        <w:t xml:space="preserve">השונים המתקיימים בתחום הזיכיון, ולפעול, בהתאם להוראות הדין, לגביית הכספים שהיא הייתה צריכה לגבות בעניין זה </w:t>
      </w:r>
      <w:r w:rsidRPr="00331AB4">
        <w:rPr>
          <w:rFonts w:hint="cs"/>
          <w:rtl/>
        </w:rPr>
        <w:t>ממי"ה</w:t>
      </w:r>
      <w:r w:rsidRPr="00331AB4">
        <w:rPr>
          <w:rFonts w:hint="cs"/>
          <w:rtl/>
        </w:rPr>
        <w:t xml:space="preserve">. מוצע כי משרד האוצר </w:t>
      </w:r>
      <w:r w:rsidRPr="00331AB4">
        <w:rPr>
          <w:rFonts w:hint="cs"/>
          <w:rtl/>
        </w:rPr>
        <w:t>ורמ"י</w:t>
      </w:r>
      <w:r w:rsidRPr="00331AB4">
        <w:rPr>
          <w:rFonts w:hint="cs"/>
          <w:rtl/>
        </w:rPr>
        <w:t xml:space="preserve"> יבחנו את האפשרות לפעול מול </w:t>
      </w:r>
      <w:r w:rsidRPr="00331AB4">
        <w:rPr>
          <w:rFonts w:hint="cs"/>
          <w:rtl/>
        </w:rPr>
        <w:t>מי"ה</w:t>
      </w:r>
      <w:r w:rsidRPr="00331AB4">
        <w:rPr>
          <w:rFonts w:hint="cs"/>
          <w:rtl/>
        </w:rPr>
        <w:t xml:space="preserve"> לצמצום שטח הזיכיון ולייתר את הדרישה הרוחבית לקבל את הסכמת </w:t>
      </w:r>
      <w:r w:rsidRPr="00331AB4">
        <w:rPr>
          <w:rFonts w:hint="cs"/>
          <w:rtl/>
        </w:rPr>
        <w:t>מי"ה</w:t>
      </w:r>
      <w:r w:rsidRPr="00331AB4">
        <w:rPr>
          <w:rFonts w:hint="cs"/>
          <w:rtl/>
        </w:rPr>
        <w:t xml:space="preserve"> בכל היתר בנייה בשטח הקרקעות החכורות. עוד מוצע כי משרד האוצר </w:t>
      </w:r>
      <w:r w:rsidRPr="00331AB4">
        <w:rPr>
          <w:rFonts w:hint="cs"/>
          <w:rtl/>
        </w:rPr>
        <w:t>ורמ"י</w:t>
      </w:r>
      <w:r w:rsidRPr="00331AB4">
        <w:rPr>
          <w:rFonts w:hint="cs"/>
          <w:rtl/>
        </w:rPr>
        <w:t xml:space="preserve"> יבחנו את האפשרות להסדיר את היחסים החוזיים מול </w:t>
      </w:r>
      <w:r w:rsidRPr="00331AB4">
        <w:rPr>
          <w:rFonts w:hint="cs"/>
          <w:rtl/>
        </w:rPr>
        <w:t>מי"ה</w:t>
      </w:r>
      <w:r w:rsidRPr="00331AB4">
        <w:rPr>
          <w:rFonts w:hint="cs"/>
          <w:rtl/>
        </w:rPr>
        <w:t xml:space="preserve"> ומול הזכיין העתידי במסגרת חוזה החכירה וכן את האפשרות לעדכן את שיעור דמי החכירה שעליהם הוחלט לפני כיובל שנים כך שהם ישקפו את שווי השימוש העדכני בקרקע. </w:t>
      </w:r>
    </w:p>
    <w:p w:rsidR="006734B0" w:rsidRPr="00331AB4" w:rsidP="00331AB4" w14:paraId="6DFD917D" w14:textId="7C88D000">
      <w:pPr>
        <w:pStyle w:val="7318"/>
        <w:rPr>
          <w:rtl/>
        </w:rPr>
      </w:pPr>
      <w:r w:rsidRPr="00331AB4">
        <w:rPr>
          <w:rFonts w:hint="eastAsia"/>
          <w:rtl/>
        </w:rPr>
        <w:t>עוד</w:t>
      </w:r>
      <w:r w:rsidRPr="00331AB4">
        <w:rPr>
          <w:rtl/>
        </w:rPr>
        <w:t xml:space="preserve"> עלה</w:t>
      </w:r>
      <w:r w:rsidRPr="00331AB4">
        <w:rPr>
          <w:rFonts w:hint="cs"/>
          <w:rtl/>
        </w:rPr>
        <w:t xml:space="preserve"> כי </w:t>
      </w:r>
      <w:r w:rsidRPr="00331AB4">
        <w:rPr>
          <w:rFonts w:hint="cs"/>
          <w:rtl/>
        </w:rPr>
        <w:t>רמ"י</w:t>
      </w:r>
      <w:r w:rsidRPr="00331AB4">
        <w:rPr>
          <w:rFonts w:hint="cs"/>
          <w:rtl/>
        </w:rPr>
        <w:t xml:space="preserve"> </w:t>
      </w:r>
      <w:r w:rsidRPr="000300E0" w:rsidR="000300E0">
        <w:rPr>
          <w:rtl/>
        </w:rPr>
        <w:t>אינה</w:t>
      </w:r>
      <w:r w:rsidR="000300E0">
        <w:rPr>
          <w:rFonts w:hint="cs"/>
          <w:rtl/>
        </w:rPr>
        <w:t xml:space="preserve"> </w:t>
      </w:r>
      <w:r w:rsidRPr="00331AB4">
        <w:rPr>
          <w:rFonts w:hint="cs"/>
          <w:rtl/>
        </w:rPr>
        <w:t>חבר</w:t>
      </w:r>
      <w:r w:rsidR="00FE4AA0">
        <w:rPr>
          <w:rFonts w:hint="cs"/>
          <w:rtl/>
        </w:rPr>
        <w:t>ה</w:t>
      </w:r>
      <w:r w:rsidRPr="00331AB4">
        <w:rPr>
          <w:rFonts w:hint="cs"/>
          <w:rtl/>
        </w:rPr>
        <w:t xml:space="preserve"> בצוות הבין-משרדי להיערכות לתום תקופת הזיכיון, שבו חברים נציגים ממספר רב של גופים ממשלתיים רלוונטיים ושמטרתו לגבש המלצות לקראת תום תקופת הזיכיון הנוכחי וגיבוש הזיכיון העתידי. </w:t>
      </w:r>
      <w:r w:rsidRPr="00331AB4">
        <w:rPr>
          <w:rFonts w:hint="eastAsia"/>
          <w:rtl/>
        </w:rPr>
        <w:t>מומלץ</w:t>
      </w:r>
      <w:r w:rsidRPr="00331AB4">
        <w:rPr>
          <w:rFonts w:hint="cs"/>
          <w:rtl/>
        </w:rPr>
        <w:t xml:space="preserve"> כי משרד האוצר </w:t>
      </w:r>
      <w:r w:rsidRPr="00331AB4">
        <w:rPr>
          <w:rFonts w:hint="cs"/>
          <w:rtl/>
        </w:rPr>
        <w:t>ורמ"י</w:t>
      </w:r>
      <w:r w:rsidRPr="00331AB4">
        <w:rPr>
          <w:rFonts w:hint="cs"/>
          <w:rtl/>
        </w:rPr>
        <w:t xml:space="preserve"> יפעלו לשילוב </w:t>
      </w:r>
      <w:r w:rsidRPr="00331AB4">
        <w:rPr>
          <w:rFonts w:hint="cs"/>
          <w:rtl/>
        </w:rPr>
        <w:t>רמ"י</w:t>
      </w:r>
      <w:r w:rsidRPr="00331AB4">
        <w:rPr>
          <w:rFonts w:hint="cs"/>
          <w:rtl/>
        </w:rPr>
        <w:t xml:space="preserve"> בעבודת </w:t>
      </w:r>
      <w:r w:rsidRPr="000724E3" w:rsidR="000724E3">
        <w:rPr>
          <w:rtl/>
        </w:rPr>
        <w:t>צוות בין-משרדי זה</w:t>
      </w:r>
      <w:r w:rsidR="000724E3">
        <w:rPr>
          <w:lang w:val="ru-RU"/>
        </w:rPr>
        <w:t xml:space="preserve"> </w:t>
      </w:r>
      <w:r w:rsidRPr="00331AB4">
        <w:rPr>
          <w:rFonts w:hint="cs"/>
          <w:rtl/>
        </w:rPr>
        <w:t xml:space="preserve">כדי </w:t>
      </w:r>
      <w:r w:rsidRPr="00331AB4">
        <w:rPr>
          <w:rFonts w:hint="cs"/>
          <w:rtl/>
        </w:rPr>
        <w:t>שרמ"י</w:t>
      </w:r>
      <w:r w:rsidRPr="00331AB4">
        <w:rPr>
          <w:rFonts w:hint="cs"/>
          <w:rtl/>
        </w:rPr>
        <w:t xml:space="preserve"> תוכל לקדם </w:t>
      </w:r>
      <w:r w:rsidRPr="000724E3" w:rsidR="000724E3">
        <w:rPr>
          <w:rtl/>
        </w:rPr>
        <w:t>במסגרתו</w:t>
      </w:r>
      <w:r w:rsidRPr="00331AB4">
        <w:rPr>
          <w:rFonts w:hint="cs"/>
          <w:rtl/>
        </w:rPr>
        <w:t xml:space="preserve"> את הסוגיות המועלות בדוח זה. </w:t>
      </w:r>
    </w:p>
    <w:p w:rsidR="006734B0" w:rsidRPr="00331AB4" w:rsidP="00331AB4" w14:paraId="33C34C84" w14:textId="77777777">
      <w:pPr>
        <w:pStyle w:val="7329"/>
        <w:rPr>
          <w:rtl/>
        </w:rPr>
      </w:pPr>
      <w:bookmarkStart w:id="57" w:name="_Toc170709964"/>
      <w:bookmarkStart w:id="58" w:name="_Toc171509553"/>
      <w:r w:rsidRPr="00331AB4">
        <w:rPr>
          <w:rFonts w:hint="cs"/>
          <w:rtl/>
        </w:rPr>
        <w:t xml:space="preserve">הטיפול במפגעי פסולת שיצרה </w:t>
      </w:r>
      <w:r w:rsidRPr="00331AB4">
        <w:rPr>
          <w:rFonts w:hint="cs"/>
          <w:rtl/>
        </w:rPr>
        <w:t>מי"ה</w:t>
      </w:r>
      <w:r w:rsidRPr="00331AB4">
        <w:rPr>
          <w:rFonts w:hint="cs"/>
          <w:rtl/>
        </w:rPr>
        <w:t xml:space="preserve"> בתחום הזיכיון </w:t>
      </w:r>
    </w:p>
    <w:p w:rsidR="006734B0" w:rsidRPr="00331AB4" w:rsidP="00331AB4" w14:paraId="665B3134" w14:textId="77777777">
      <w:pPr>
        <w:pStyle w:val="7392"/>
      </w:pPr>
      <w:r w:rsidRPr="00331AB4">
        <w:rPr>
          <w:rFonts w:hint="cs"/>
          <w:rtl/>
        </w:rPr>
        <w:t>הדירקטיבה האירופית לפסולת משנת 2008</w:t>
      </w:r>
      <w:r>
        <w:rPr>
          <w:rStyle w:val="FootnoteReference1"/>
          <w:rtl/>
        </w:rPr>
        <w:footnoteReference w:id="66"/>
      </w:r>
      <w:r w:rsidRPr="00331AB4">
        <w:rPr>
          <w:rFonts w:hint="cs"/>
          <w:rtl/>
        </w:rPr>
        <w:t xml:space="preserve"> (להלן - הדירקטיבה האירופית) מגדירה פסולת כ"כל חומר או חפץ שהמחזיק בו משליך אותו, מתכוון להשליכו, או נדרש להשליכו על פי דין". טיפול לא נכון בפסולת עלול ליצור מפגעים סביבתיים, כגון זיהום קרקע ומי תהום, התרבות מזיקים וזיהום אוויר בעקבות פליטת גזים רעילים וגזי חממה, וכן להביא למפגעים חזותיים ולפגיעה בנוף. לפי המשרד </w:t>
      </w:r>
      <w:r w:rsidRPr="00331AB4">
        <w:rPr>
          <w:rFonts w:hint="cs"/>
          <w:rtl/>
        </w:rPr>
        <w:t>להג"ס</w:t>
      </w:r>
      <w:r w:rsidRPr="00331AB4">
        <w:rPr>
          <w:rFonts w:hint="cs"/>
          <w:rtl/>
        </w:rPr>
        <w:t xml:space="preserve"> העלויות הסביבתיות של פסולת, ובמיוחד של טיפול לא מוסדר בפסולת, </w:t>
      </w:r>
      <w:r w:rsidRPr="00331AB4">
        <w:rPr>
          <w:rFonts w:hint="eastAsia"/>
          <w:rtl/>
        </w:rPr>
        <w:t>יכולות</w:t>
      </w:r>
      <w:r w:rsidRPr="00331AB4">
        <w:rPr>
          <w:rtl/>
        </w:rPr>
        <w:t xml:space="preserve"> </w:t>
      </w:r>
      <w:r w:rsidRPr="00331AB4">
        <w:rPr>
          <w:rFonts w:hint="eastAsia"/>
          <w:rtl/>
        </w:rPr>
        <w:t>להיות</w:t>
      </w:r>
      <w:r w:rsidRPr="00331AB4">
        <w:rPr>
          <w:rtl/>
        </w:rPr>
        <w:t xml:space="preserve"> </w:t>
      </w:r>
      <w:r w:rsidRPr="00331AB4">
        <w:rPr>
          <w:rFonts w:hint="eastAsia"/>
          <w:rtl/>
        </w:rPr>
        <w:t>כבירות</w:t>
      </w:r>
      <w:r w:rsidRPr="00331AB4">
        <w:rPr>
          <w:rtl/>
        </w:rPr>
        <w:t xml:space="preserve"> </w:t>
      </w:r>
      <w:r w:rsidRPr="00331AB4">
        <w:rPr>
          <w:rFonts w:hint="eastAsia"/>
          <w:rtl/>
        </w:rPr>
        <w:t>לבריאות</w:t>
      </w:r>
      <w:r w:rsidRPr="00331AB4">
        <w:rPr>
          <w:rtl/>
        </w:rPr>
        <w:t xml:space="preserve"> </w:t>
      </w:r>
      <w:r w:rsidRPr="00331AB4">
        <w:rPr>
          <w:rFonts w:hint="eastAsia"/>
          <w:rtl/>
        </w:rPr>
        <w:t>האדם</w:t>
      </w:r>
      <w:r w:rsidRPr="00331AB4">
        <w:rPr>
          <w:rtl/>
        </w:rPr>
        <w:t xml:space="preserve"> </w:t>
      </w:r>
      <w:r w:rsidRPr="00331AB4">
        <w:rPr>
          <w:rFonts w:hint="eastAsia"/>
          <w:rtl/>
        </w:rPr>
        <w:t>ולסביבה</w:t>
      </w:r>
      <w:r>
        <w:rPr>
          <w:rStyle w:val="FootnoteReference1"/>
          <w:rtl/>
        </w:rPr>
        <w:footnoteReference w:id="67"/>
      </w:r>
      <w:r w:rsidRPr="00331AB4">
        <w:rPr>
          <w:rtl/>
        </w:rPr>
        <w:t>.</w:t>
      </w:r>
      <w:r w:rsidRPr="00331AB4">
        <w:rPr>
          <w:rFonts w:hint="cs"/>
          <w:rtl/>
        </w:rPr>
        <w:t xml:space="preserve"> </w:t>
      </w:r>
    </w:p>
    <w:p w:rsidR="006734B0" w:rsidRPr="00331AB4" w:rsidP="00331AB4" w14:paraId="537B7C25" w14:textId="63964514">
      <w:pPr>
        <w:pStyle w:val="7392"/>
        <w:rPr>
          <w:rtl/>
        </w:rPr>
      </w:pPr>
      <w:r w:rsidRPr="00331AB4">
        <w:rPr>
          <w:rFonts w:hint="cs"/>
          <w:rtl/>
        </w:rPr>
        <w:t>במהלך תהליכים תעשייתיים מתקבלת פסולת תעשייתית. כדי לקבוע שהפסולת שנוצרת היא שימושית וסחירה ולכן היא אינה בגדר פסולת (</w:t>
      </w:r>
      <w:r w:rsidRPr="00331AB4">
        <w:rPr>
          <w:rFonts w:hint="eastAsia"/>
          <w:rtl/>
        </w:rPr>
        <w:t>להלן</w:t>
      </w:r>
      <w:r w:rsidRPr="00331AB4">
        <w:rPr>
          <w:rtl/>
        </w:rPr>
        <w:t xml:space="preserve"> - </w:t>
      </w:r>
      <w:r w:rsidRPr="00331AB4">
        <w:rPr>
          <w:rFonts w:hint="eastAsia"/>
          <w:rtl/>
        </w:rPr>
        <w:t>תוצר</w:t>
      </w:r>
      <w:r w:rsidRPr="00331AB4">
        <w:rPr>
          <w:rtl/>
        </w:rPr>
        <w:t xml:space="preserve"> </w:t>
      </w:r>
      <w:r w:rsidRPr="00331AB4">
        <w:rPr>
          <w:rFonts w:hint="eastAsia"/>
          <w:rtl/>
        </w:rPr>
        <w:t>לוואי</w:t>
      </w:r>
      <w:r w:rsidRPr="00331AB4">
        <w:rPr>
          <w:rtl/>
        </w:rPr>
        <w:t xml:space="preserve"> </w:t>
      </w:r>
      <w:r w:rsidRPr="00331AB4">
        <w:rPr>
          <w:rFonts w:hint="eastAsia"/>
          <w:rtl/>
        </w:rPr>
        <w:t>שמיש</w:t>
      </w:r>
      <w:r w:rsidRPr="00331AB4">
        <w:rPr>
          <w:rFonts w:hint="cs"/>
          <w:rtl/>
        </w:rPr>
        <w:t xml:space="preserve">), יש לבצע סיווג לחומר. בהתאם להנחיות המשרד </w:t>
      </w:r>
      <w:r w:rsidRPr="00331AB4">
        <w:rPr>
          <w:rFonts w:hint="cs"/>
          <w:rtl/>
        </w:rPr>
        <w:t>להג"ס</w:t>
      </w:r>
      <w:r w:rsidRPr="00331AB4">
        <w:rPr>
          <w:rFonts w:hint="cs"/>
          <w:rtl/>
        </w:rPr>
        <w:t xml:space="preserve">, על הסיווג להתבצע בהתבסס על הקריטריונים הקבועים </w:t>
      </w:r>
      <w:r w:rsidRPr="001B38CD" w:rsidR="001B38CD">
        <w:rPr>
          <w:rtl/>
        </w:rPr>
        <w:t>בדירקטיבה</w:t>
      </w:r>
      <w:r w:rsidRPr="00331AB4">
        <w:rPr>
          <w:rFonts w:hint="cs"/>
          <w:rtl/>
        </w:rPr>
        <w:t xml:space="preserve"> האירופית, ולכלול נתונים כמותיים ותוכנית מפורטת הכוללת אבני דרך ולוחות זמנים לאסדרה ולטיפול בחומר, לאחר בדיקת ישימות והיתכנות. אישור המשרד </w:t>
      </w:r>
      <w:r w:rsidRPr="00331AB4">
        <w:rPr>
          <w:rFonts w:hint="cs"/>
          <w:rtl/>
        </w:rPr>
        <w:t>להג"ס</w:t>
      </w:r>
      <w:r w:rsidRPr="00331AB4">
        <w:rPr>
          <w:rFonts w:hint="cs"/>
          <w:rtl/>
        </w:rPr>
        <w:t xml:space="preserve"> לכך שהחומר המתקבל בתהליך התעשייתי הוא לא פסולת אלא תוצר לוואי יינתן רק לאחר שהמשרד יוודא כי קיימת תוכנית ישימה ומסודרת לשימוש בחומר. </w:t>
      </w:r>
    </w:p>
    <w:p w:rsidR="006734B0" w:rsidRPr="00331AB4" w:rsidP="00331AB4" w14:paraId="435672A1" w14:textId="77A4E08A">
      <w:pPr>
        <w:pStyle w:val="7392"/>
        <w:rPr>
          <w:rtl/>
        </w:rPr>
      </w:pPr>
      <w:r w:rsidRPr="00331AB4">
        <w:rPr>
          <w:rFonts w:hint="cs"/>
          <w:rtl/>
        </w:rPr>
        <w:t xml:space="preserve">כל עוד לא נתן המשרד </w:t>
      </w:r>
      <w:r w:rsidRPr="00331AB4">
        <w:rPr>
          <w:rFonts w:hint="cs"/>
          <w:rtl/>
        </w:rPr>
        <w:t>להג"ס</w:t>
      </w:r>
      <w:r w:rsidRPr="00331AB4">
        <w:rPr>
          <w:rFonts w:hint="cs"/>
          <w:rtl/>
        </w:rPr>
        <w:t xml:space="preserve"> אישור לכך שהפסולת התעשייתית היא תוצר לוואי שמיש, היא בגדר פסולת. </w:t>
      </w:r>
      <w:r w:rsidRPr="00331AB4">
        <w:rPr>
          <w:rFonts w:hint="cs"/>
          <w:rtl/>
        </w:rPr>
        <w:t>ככזו</w:t>
      </w:r>
      <w:r w:rsidRPr="00331AB4">
        <w:rPr>
          <w:rFonts w:hint="cs"/>
          <w:rtl/>
        </w:rPr>
        <w:t>, וכדי למנוע מפגעים סביבתיים, נדרש לוודא כי יש לה פתרון קצה</w:t>
      </w:r>
      <w:r>
        <w:rPr>
          <w:rStyle w:val="FootnoteReference1"/>
          <w:rtl/>
        </w:rPr>
        <w:footnoteReference w:id="68"/>
      </w:r>
      <w:r w:rsidRPr="00331AB4">
        <w:rPr>
          <w:rFonts w:hint="cs"/>
          <w:rtl/>
        </w:rPr>
        <w:t xml:space="preserve"> ובמידה שפתרון הקצה שלה הוא הטמנה, יש לוודא כי ההטמנה נעשית באתר הטמנה מוסדר עם תשתיות מתאימות, וכי עירום החומר באתר והתפעול שלו מתבצעים בהתאם להוראות המשרד </w:t>
      </w:r>
      <w:r w:rsidRPr="00331AB4">
        <w:rPr>
          <w:rFonts w:hint="cs"/>
          <w:rtl/>
        </w:rPr>
        <w:t>להג"ס</w:t>
      </w:r>
      <w:r w:rsidRPr="00331AB4">
        <w:rPr>
          <w:rFonts w:hint="cs"/>
          <w:rtl/>
        </w:rPr>
        <w:t>. יצוין כי החל בשנת 2007, בהתאם לתיקון מס' 9 לחוק שמירת הניקיון</w:t>
      </w:r>
      <w:r>
        <w:rPr>
          <w:rStyle w:val="FootnoteReference1"/>
          <w:rtl/>
        </w:rPr>
        <w:footnoteReference w:id="69"/>
      </w:r>
      <w:r w:rsidR="001B38CD">
        <w:rPr>
          <w:rFonts w:hint="cs"/>
          <w:rtl/>
          <w:lang w:val="ru-RU"/>
        </w:rPr>
        <w:t xml:space="preserve">, </w:t>
      </w:r>
      <w:r w:rsidRPr="00331AB4">
        <w:rPr>
          <w:rFonts w:hint="cs"/>
          <w:rtl/>
        </w:rPr>
        <w:t>מוטל על כל מפעיל אתר לסילוק פסולת לשלם היטל הטמנה לקרן לשמירת הניקיון. הטלת ההיטל נועדה להביא להפנמת העלויות הסביבתיות החיצוניות הנוצרות משימוש בהטמנת פסולת, ולעודד שימוש בשיטות חלופיות לטיפול בפסולת אשר צורכות פחות קרקע ופוגעות פחות בסביבה</w:t>
      </w:r>
      <w:r>
        <w:rPr>
          <w:rStyle w:val="FootnoteReference1"/>
          <w:rtl/>
        </w:rPr>
        <w:footnoteReference w:id="70"/>
      </w:r>
      <w:r w:rsidRPr="00331AB4">
        <w:rPr>
          <w:rFonts w:hint="cs"/>
          <w:rtl/>
        </w:rPr>
        <w:t>.</w:t>
      </w:r>
    </w:p>
    <w:p w:rsidR="006734B0" w:rsidRPr="008D2DC1" w:rsidP="008D2DC1" w14:paraId="34011870" w14:textId="77777777">
      <w:pPr>
        <w:pStyle w:val="733155"/>
        <w:rPr>
          <w:rtl/>
        </w:rPr>
      </w:pPr>
      <w:r w:rsidRPr="008D2DC1">
        <w:rPr>
          <w:rFonts w:hint="cs"/>
          <w:rtl/>
        </w:rPr>
        <w:t xml:space="preserve">היעדר טיפול בפסולת התעשייתית של </w:t>
      </w:r>
      <w:r w:rsidRPr="008D2DC1">
        <w:rPr>
          <w:rFonts w:hint="cs"/>
          <w:rtl/>
        </w:rPr>
        <w:t>מי"ה</w:t>
      </w:r>
      <w:r w:rsidRPr="008D2DC1">
        <w:rPr>
          <w:rFonts w:hint="cs"/>
          <w:rtl/>
        </w:rPr>
        <w:t xml:space="preserve"> והיעדר גביית היטל הטמנה בגינה</w:t>
      </w:r>
    </w:p>
    <w:p w:rsidR="006734B0" w:rsidRPr="00331AB4" w:rsidP="00331AB4" w14:paraId="291355A8" w14:textId="25FA9025">
      <w:pPr>
        <w:pStyle w:val="7392"/>
        <w:rPr>
          <w:rtl/>
        </w:rPr>
      </w:pPr>
      <w:r w:rsidRPr="00331AB4">
        <w:rPr>
          <w:rFonts w:hint="cs"/>
          <w:rtl/>
        </w:rPr>
        <w:t xml:space="preserve">הפעילות התעשייתית של </w:t>
      </w:r>
      <w:r w:rsidRPr="00331AB4">
        <w:rPr>
          <w:rFonts w:hint="cs"/>
          <w:rtl/>
        </w:rPr>
        <w:t>מי"ה</w:t>
      </w:r>
      <w:r w:rsidRPr="00331AB4">
        <w:rPr>
          <w:rFonts w:hint="cs"/>
          <w:rtl/>
        </w:rPr>
        <w:t xml:space="preserve"> מייצרת זרמי פסולת שונים. בהכללה, ניתן לחלק את זרמי הפסולת האלה לשלושה זרמים עיקריים</w:t>
      </w:r>
      <w:r>
        <w:rPr>
          <w:rStyle w:val="FootnoteReference1"/>
          <w:rtl/>
        </w:rPr>
        <w:footnoteReference w:id="71"/>
      </w:r>
      <w:r w:rsidRPr="00331AB4">
        <w:rPr>
          <w:rFonts w:hint="cs"/>
          <w:rtl/>
        </w:rPr>
        <w:t>:</w:t>
      </w:r>
    </w:p>
    <w:p w:rsidR="006734B0" w:rsidRPr="00331AB4" w:rsidP="00331AB4" w14:paraId="65C9E71E" w14:textId="77777777">
      <w:pPr>
        <w:pStyle w:val="735"/>
        <w:numPr>
          <w:ilvl w:val="0"/>
          <w:numId w:val="28"/>
        </w:numPr>
        <w:rPr>
          <w:rtl/>
        </w:rPr>
      </w:pPr>
      <w:r w:rsidRPr="00331AB4">
        <w:rPr>
          <w:rFonts w:hint="cs"/>
          <w:rtl/>
        </w:rPr>
        <w:t xml:space="preserve">בוצה מלחית הנוצרת בתהליך הייצור במפעל המגנזיום. המדובר בתערובת מלחית מוצקה, ללא תכולת רטיבות, שנערמת משנות התשעים באתר הבוצה המלחית; </w:t>
      </w:r>
    </w:p>
    <w:p w:rsidR="006734B0" w:rsidRPr="00331AB4" w:rsidP="00331AB4" w14:paraId="0DB468FB" w14:textId="77777777">
      <w:pPr>
        <w:pStyle w:val="735"/>
        <w:numPr>
          <w:ilvl w:val="0"/>
          <w:numId w:val="28"/>
        </w:numPr>
      </w:pPr>
      <w:r w:rsidRPr="00331AB4">
        <w:rPr>
          <w:rFonts w:hint="cs"/>
          <w:rtl/>
        </w:rPr>
        <w:t>שאריות מלח הנוצרות בתהליך התעשייתי ונערמות בהר המלח;</w:t>
      </w:r>
    </w:p>
    <w:p w:rsidR="006734B0" w:rsidRPr="00331AB4" w:rsidP="00331AB4" w14:paraId="5D2C1B0E" w14:textId="77777777">
      <w:pPr>
        <w:pStyle w:val="735"/>
        <w:numPr>
          <w:ilvl w:val="0"/>
          <w:numId w:val="28"/>
        </w:numPr>
      </w:pPr>
      <w:r w:rsidRPr="00331AB4">
        <w:rPr>
          <w:rFonts w:hint="cs"/>
          <w:rtl/>
        </w:rPr>
        <w:t>מלח שנקצר מקרקעית בריכות האידוי (</w:t>
      </w:r>
      <w:r w:rsidRPr="00331AB4">
        <w:rPr>
          <w:rFonts w:hint="eastAsia"/>
          <w:rtl/>
        </w:rPr>
        <w:t>להלן</w:t>
      </w:r>
      <w:r w:rsidRPr="00331AB4">
        <w:rPr>
          <w:rtl/>
        </w:rPr>
        <w:t xml:space="preserve"> - </w:t>
      </w:r>
      <w:r w:rsidRPr="00331AB4">
        <w:rPr>
          <w:rFonts w:hint="eastAsia"/>
          <w:rtl/>
        </w:rPr>
        <w:t>המלח</w:t>
      </w:r>
      <w:r w:rsidRPr="00331AB4">
        <w:rPr>
          <w:rtl/>
        </w:rPr>
        <w:t xml:space="preserve"> </w:t>
      </w:r>
      <w:r w:rsidRPr="00331AB4">
        <w:rPr>
          <w:rFonts w:hint="eastAsia"/>
          <w:rtl/>
        </w:rPr>
        <w:t>הקצור</w:t>
      </w:r>
      <w:r w:rsidRPr="00331AB4">
        <w:rPr>
          <w:rFonts w:hint="cs"/>
          <w:rtl/>
        </w:rPr>
        <w:t>) אשר נכון למועד הביקורת מוערם על גבי סוללות ההגנה של הבריכות לצד בריכות האידוי ובתוכן.</w:t>
      </w:r>
    </w:p>
    <w:p w:rsidR="006734B0" w:rsidP="00331AB4" w14:paraId="0016D8EF" w14:textId="77777777">
      <w:pPr>
        <w:pStyle w:val="7392"/>
        <w:rPr>
          <w:rtl/>
        </w:rPr>
      </w:pPr>
      <w:r>
        <w:rPr>
          <w:rFonts w:hint="cs"/>
          <w:rtl/>
        </w:rPr>
        <w:t xml:space="preserve">כל אחד משלושת זרמי הפסולת האמורים יצרו לאורך השנים מערומים גדולים של חומר (להלן - אתרי פסולת) הנראים למרחוק, כפי שניתן לראות בתצלומים שלהלן: </w:t>
      </w:r>
    </w:p>
    <w:p w:rsidR="006734B0" w:rsidRPr="00331AB4" w:rsidP="00331AB4" w14:paraId="078CEB12" w14:textId="0E7CF8F4">
      <w:pPr>
        <w:pStyle w:val="734"/>
        <w:rPr>
          <w:rtl/>
        </w:rPr>
      </w:pPr>
      <w:r w:rsidRPr="00331AB4">
        <w:rPr>
          <w:rFonts w:hint="cs"/>
          <w:b w:val="0"/>
          <w:bCs w:val="0"/>
          <w:rtl/>
        </w:rPr>
        <w:t>איור</w:t>
      </w:r>
      <w:r w:rsidR="00D0542F">
        <w:rPr>
          <w:rFonts w:hint="cs"/>
          <w:b w:val="0"/>
          <w:bCs w:val="0"/>
          <w:rtl/>
        </w:rPr>
        <w:t xml:space="preserve"> 2</w:t>
      </w:r>
      <w:r w:rsidRPr="00331AB4">
        <w:rPr>
          <w:rFonts w:hint="cs"/>
          <w:b w:val="0"/>
          <w:bCs w:val="0"/>
          <w:rtl/>
        </w:rPr>
        <w:t>:</w:t>
      </w:r>
      <w:r w:rsidRPr="00331AB4">
        <w:rPr>
          <w:rFonts w:hint="cs"/>
          <w:rtl/>
        </w:rPr>
        <w:t xml:space="preserve"> אתרי פסולת בתחום הזיכיון</w:t>
      </w:r>
    </w:p>
    <w:p w:rsidR="006734B0" w:rsidP="006734B0" w14:paraId="4422C564" w14:textId="77777777">
      <w:pPr>
        <w:spacing w:line="360" w:lineRule="auto"/>
        <w:jc w:val="center"/>
        <w:rPr>
          <w:rtl/>
        </w:rPr>
      </w:pPr>
      <w:r>
        <w:rPr>
          <w:noProof/>
        </w:rPr>
        <w:drawing>
          <wp:inline distT="0" distB="0" distL="0" distR="0">
            <wp:extent cx="4014445" cy="4815840"/>
            <wp:effectExtent l="0" t="0" r="0" b="0"/>
            <wp:docPr id="836493700" name="תמונה 836493700" descr="תמונה שמכילה טקסט, עיגול, צילום מסך, עיצוב&#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493700" name="תמונה 836493700" descr="תמונה שמכילה טקסט, עיגול, צילום מסך, עיצוב&#10;&#10;תוכן שנוצר על-ידי בינה מלאכותית עשוי להיות שגוי."/>
                    <pic:cNvPicPr>
                      <a:picLocks noChangeAspect="1" noChangeArrowheads="1"/>
                    </pic:cNvPicPr>
                  </pic:nvPicPr>
                  <pic:blipFill>
                    <a:blip xmlns:r="http://schemas.openxmlformats.org/officeDocument/2006/relationships" r:embed="rId56">
                      <a:extLst>
                        <a:ext xmlns:a="http://schemas.openxmlformats.org/drawingml/2006/main" uri="{28A0092B-C50C-407E-A947-70E740481C1C}">
                          <a14:useLocalDpi xmlns:a14="http://schemas.microsoft.com/office/drawing/2010/main" val="0"/>
                        </a:ext>
                      </a:extLst>
                    </a:blip>
                    <a:srcRect b="5042"/>
                    <a:stretch>
                      <a:fillRect/>
                    </a:stretch>
                  </pic:blipFill>
                  <pic:spPr bwMode="auto">
                    <a:xfrm>
                      <a:off x="0" y="0"/>
                      <a:ext cx="4036194" cy="4841931"/>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6734B0" w:rsidP="00331AB4" w14:paraId="04FB6923" w14:textId="77777777">
      <w:pPr>
        <w:pStyle w:val="738"/>
        <w:rPr>
          <w:rtl/>
        </w:rPr>
      </w:pPr>
      <w:r>
        <w:rPr>
          <w:rFonts w:hint="cs"/>
          <w:rtl/>
        </w:rPr>
        <w:t>ה</w:t>
      </w:r>
      <w:r w:rsidRPr="005E04B7">
        <w:rPr>
          <w:rFonts w:hint="cs"/>
          <w:rtl/>
        </w:rPr>
        <w:t xml:space="preserve">מקור: </w:t>
      </w:r>
      <w:r w:rsidRPr="005E04B7">
        <w:rPr>
          <w:rFonts w:hint="cs"/>
          <w:rtl/>
        </w:rPr>
        <w:t>מי"ה</w:t>
      </w:r>
      <w:r w:rsidRPr="005E04B7">
        <w:rPr>
          <w:rFonts w:hint="cs"/>
          <w:rtl/>
        </w:rPr>
        <w:t xml:space="preserve">, צוות הביקורת, מצגת </w:t>
      </w:r>
      <w:r w:rsidRPr="005E04B7">
        <w:rPr>
          <w:rFonts w:hint="cs"/>
          <w:rtl/>
        </w:rPr>
        <w:t>כי"ל</w:t>
      </w:r>
      <w:r w:rsidRPr="005E04B7">
        <w:rPr>
          <w:rFonts w:hint="cs"/>
          <w:rtl/>
        </w:rPr>
        <w:t>.</w:t>
      </w:r>
      <w:r>
        <w:rPr>
          <w:rFonts w:hint="cs"/>
          <w:rtl/>
        </w:rPr>
        <w:t xml:space="preserve"> </w:t>
      </w:r>
    </w:p>
    <w:p w:rsidR="006734B0" w:rsidRPr="00331AB4" w:rsidP="00331AB4" w14:paraId="3BFD22E1" w14:textId="5709F739">
      <w:pPr>
        <w:pStyle w:val="7392"/>
        <w:rPr>
          <w:rtl/>
        </w:rPr>
      </w:pPr>
      <w:r w:rsidRPr="00331AB4">
        <w:rPr>
          <w:rFonts w:hint="cs"/>
          <w:rtl/>
        </w:rPr>
        <w:t>מי"ה</w:t>
      </w:r>
      <w:r w:rsidRPr="00331AB4">
        <w:rPr>
          <w:rFonts w:hint="cs"/>
          <w:rtl/>
        </w:rPr>
        <w:t xml:space="preserve"> מסרה בתשובתה למשרד מבקר המדינה כי זרמי הפסולת לעיל אינם נכללים בדירקטיבה האירופית, וכי הדירקטיבה הרלוונטית היא הדירקטיבה החלה על פסולת כרייה ומסדירה את הטיפול בה (להלן - דירקטיבת פסולת הכרייה)</w:t>
      </w:r>
      <w:r>
        <w:rPr>
          <w:rStyle w:val="FootnoteReference1"/>
          <w:rtl/>
        </w:rPr>
        <w:footnoteReference w:id="72"/>
      </w:r>
      <w:r w:rsidRPr="00331AB4">
        <w:rPr>
          <w:rFonts w:hint="cs"/>
          <w:rtl/>
        </w:rPr>
        <w:t xml:space="preserve">. עוד טענה </w:t>
      </w:r>
      <w:r w:rsidRPr="00331AB4">
        <w:rPr>
          <w:rFonts w:hint="cs"/>
          <w:rtl/>
        </w:rPr>
        <w:t>מי"ה</w:t>
      </w:r>
      <w:r w:rsidRPr="00331AB4">
        <w:rPr>
          <w:rFonts w:hint="cs"/>
          <w:rtl/>
        </w:rPr>
        <w:t xml:space="preserve"> כי לא ניתן ואין הצדקה לגבות היטל הטמנה על פסולת כרייה מאחר ש</w:t>
      </w:r>
      <w:r w:rsidRPr="00331AB4">
        <w:rPr>
          <w:rtl/>
        </w:rPr>
        <w:t>לפי חוק שמירת הניקיון, היטל הטמנה חל רק על הטמנה של סוגי פסולת המצוינים בתוספת לחוק</w:t>
      </w:r>
      <w:r w:rsidRPr="00331AB4">
        <w:rPr>
          <w:rFonts w:hint="cs"/>
          <w:rtl/>
        </w:rPr>
        <w:t xml:space="preserve">, ופסולת כרייה אינה כלולה בתוספת. לטענת </w:t>
      </w:r>
      <w:r w:rsidRPr="00331AB4">
        <w:rPr>
          <w:rFonts w:hint="cs"/>
          <w:rtl/>
        </w:rPr>
        <w:t>מי"ה</w:t>
      </w:r>
      <w:r w:rsidRPr="00331AB4">
        <w:rPr>
          <w:rFonts w:hint="cs"/>
          <w:rtl/>
        </w:rPr>
        <w:t xml:space="preserve"> גם </w:t>
      </w:r>
      <w:r w:rsidRPr="00331AB4">
        <w:rPr>
          <w:rtl/>
        </w:rPr>
        <w:t xml:space="preserve">התכליות של היטל ההטמנה </w:t>
      </w:r>
      <w:r w:rsidRPr="00331AB4">
        <w:rPr>
          <w:rFonts w:hint="cs"/>
          <w:rtl/>
        </w:rPr>
        <w:t xml:space="preserve">(דוגמת </w:t>
      </w:r>
      <w:r w:rsidRPr="00331AB4">
        <w:rPr>
          <w:rtl/>
        </w:rPr>
        <w:t>עידוד שימוש בשיטות חלופיות לטיפול בפסולת ועידוד צמצום הפסולת במקור) אינן רלוונטיות לפסולת הכרייה.</w:t>
      </w:r>
      <w:r w:rsidRPr="00331AB4">
        <w:rPr>
          <w:rFonts w:hint="cs"/>
          <w:rtl/>
        </w:rPr>
        <w:t xml:space="preserve"> עוד מסרה </w:t>
      </w:r>
      <w:r w:rsidRPr="00331AB4">
        <w:rPr>
          <w:rFonts w:hint="cs"/>
          <w:rtl/>
        </w:rPr>
        <w:t>מי"ה</w:t>
      </w:r>
      <w:r w:rsidRPr="00331AB4">
        <w:rPr>
          <w:rFonts w:hint="cs"/>
          <w:rtl/>
        </w:rPr>
        <w:t xml:space="preserve"> כי היא העבירה בשנת 2015 למשרד </w:t>
      </w:r>
      <w:r w:rsidRPr="00331AB4">
        <w:rPr>
          <w:rFonts w:hint="cs"/>
          <w:rtl/>
        </w:rPr>
        <w:t>להג"ס</w:t>
      </w:r>
      <w:r w:rsidRPr="00331AB4">
        <w:rPr>
          <w:rFonts w:hint="cs"/>
          <w:rtl/>
        </w:rPr>
        <w:t xml:space="preserve"> סקירה </w:t>
      </w:r>
      <w:r w:rsidRPr="00331AB4">
        <w:rPr>
          <w:rFonts w:hint="eastAsia"/>
          <w:rtl/>
        </w:rPr>
        <w:t>בין</w:t>
      </w:r>
      <w:r w:rsidRPr="00331AB4">
        <w:rPr>
          <w:rtl/>
        </w:rPr>
        <w:t>-לאומית</w:t>
      </w:r>
      <w:r w:rsidRPr="00331AB4">
        <w:rPr>
          <w:rFonts w:hint="cs"/>
          <w:rtl/>
        </w:rPr>
        <w:t xml:space="preserve"> המלמדת כי פסולת כרייה אינה מושא לחיוב בהיטל הטמנה במדינות אחרות</w:t>
      </w:r>
      <w:r w:rsidRPr="00331AB4">
        <w:rPr>
          <w:rtl/>
        </w:rPr>
        <w:t>,</w:t>
      </w:r>
      <w:r w:rsidRPr="00331AB4">
        <w:rPr>
          <w:rFonts w:hint="cs"/>
          <w:rtl/>
        </w:rPr>
        <w:t xml:space="preserve"> וכי אם יוטל היטל ישראל תהיה המדינה היחידה בעולם שעושה כן. </w:t>
      </w:r>
    </w:p>
    <w:p w:rsidR="006734B0" w:rsidRPr="00331AB4" w:rsidP="00331AB4" w14:paraId="792FF04B" w14:textId="77777777">
      <w:pPr>
        <w:pStyle w:val="7392"/>
        <w:rPr>
          <w:rtl/>
        </w:rPr>
      </w:pPr>
      <w:r w:rsidRPr="00331AB4">
        <w:rPr>
          <w:rFonts w:hint="cs"/>
          <w:rtl/>
        </w:rPr>
        <w:t xml:space="preserve">מבירור מול המשרד </w:t>
      </w:r>
      <w:r w:rsidRPr="00331AB4">
        <w:rPr>
          <w:rFonts w:hint="cs"/>
          <w:rtl/>
        </w:rPr>
        <w:t>להג"ס</w:t>
      </w:r>
      <w:r w:rsidRPr="00331AB4">
        <w:rPr>
          <w:rFonts w:hint="cs"/>
          <w:rtl/>
        </w:rPr>
        <w:t xml:space="preserve"> עלה כי דירקטיבת פסולת הכרייה מחריגה מתחולתה פסולות </w:t>
      </w:r>
      <w:r w:rsidRPr="00331AB4">
        <w:rPr>
          <w:rFonts w:hint="eastAsia"/>
          <w:rtl/>
        </w:rPr>
        <w:t>שאינן</w:t>
      </w:r>
      <w:r w:rsidRPr="00331AB4">
        <w:rPr>
          <w:rFonts w:hint="cs"/>
          <w:rtl/>
        </w:rPr>
        <w:t xml:space="preserve"> תוצר ישיר של פעילות הכרייה. עוד ציין המשרד כי מכל מקום </w:t>
      </w:r>
      <w:r w:rsidRPr="00331AB4">
        <w:rPr>
          <w:rtl/>
        </w:rPr>
        <w:t>דירקטיבת פסולת הכרייה קובעת הוראות דומות ומקבילות לדירקטיב</w:t>
      </w:r>
      <w:r w:rsidRPr="00331AB4">
        <w:rPr>
          <w:rFonts w:hint="cs"/>
          <w:rtl/>
        </w:rPr>
        <w:t>ה האירופי</w:t>
      </w:r>
      <w:r w:rsidRPr="00331AB4">
        <w:rPr>
          <w:rtl/>
        </w:rPr>
        <w:t xml:space="preserve">ת </w:t>
      </w:r>
      <w:r w:rsidRPr="00331AB4">
        <w:rPr>
          <w:rFonts w:hint="cs"/>
          <w:rtl/>
        </w:rPr>
        <w:t>ל</w:t>
      </w:r>
      <w:r w:rsidRPr="00331AB4">
        <w:rPr>
          <w:rtl/>
        </w:rPr>
        <w:t>פסולת ומחייבת ת</w:t>
      </w:r>
      <w:r w:rsidRPr="00331AB4">
        <w:rPr>
          <w:rFonts w:hint="eastAsia"/>
          <w:rtl/>
        </w:rPr>
        <w:t>ו</w:t>
      </w:r>
      <w:r w:rsidRPr="00331AB4">
        <w:rPr>
          <w:rtl/>
        </w:rPr>
        <w:t>כנית לניהול הפסולת, רישוי של אתרי פסולת, נקיטת צעדים לצמצום נזקים סביבתיים (</w:t>
      </w:r>
      <w:r w:rsidRPr="00331AB4">
        <w:rPr>
          <w:rFonts w:hint="eastAsia"/>
          <w:rtl/>
        </w:rPr>
        <w:t>לרבות</w:t>
      </w:r>
      <w:r w:rsidRPr="00331AB4">
        <w:rPr>
          <w:rtl/>
        </w:rPr>
        <w:t xml:space="preserve"> מניעת זיהום של הקרקע או המים), שיקום האתרים ועוד,</w:t>
      </w:r>
      <w:r w:rsidRPr="00331AB4">
        <w:rPr>
          <w:rFonts w:hint="cs"/>
          <w:rtl/>
        </w:rPr>
        <w:t xml:space="preserve"> ו</w:t>
      </w:r>
      <w:r w:rsidRPr="00331AB4">
        <w:rPr>
          <w:rtl/>
        </w:rPr>
        <w:t xml:space="preserve">על כן מבחינת המדיניות </w:t>
      </w:r>
      <w:r w:rsidRPr="00331AB4">
        <w:rPr>
          <w:rFonts w:hint="eastAsia"/>
          <w:rtl/>
        </w:rPr>
        <w:t>בנוגע</w:t>
      </w:r>
      <w:r w:rsidRPr="00331AB4">
        <w:rPr>
          <w:rFonts w:hint="cs"/>
          <w:rtl/>
        </w:rPr>
        <w:t xml:space="preserve"> לאופן הטיפול בפסולת </w:t>
      </w:r>
      <w:r w:rsidRPr="00331AB4">
        <w:rPr>
          <w:rtl/>
        </w:rPr>
        <w:t xml:space="preserve">אין הבדל מהותי בין הדירקטיבות. </w:t>
      </w:r>
      <w:r w:rsidRPr="00331AB4">
        <w:rPr>
          <w:rFonts w:hint="cs"/>
          <w:rtl/>
        </w:rPr>
        <w:t xml:space="preserve">ואכן, מקריאת הסקירה </w:t>
      </w:r>
      <w:r w:rsidRPr="00331AB4">
        <w:rPr>
          <w:rFonts w:hint="eastAsia"/>
          <w:rtl/>
        </w:rPr>
        <w:t>הבין</w:t>
      </w:r>
      <w:r w:rsidRPr="00331AB4">
        <w:rPr>
          <w:rtl/>
        </w:rPr>
        <w:t>-לאומית</w:t>
      </w:r>
      <w:r w:rsidRPr="00331AB4">
        <w:rPr>
          <w:rFonts w:hint="cs"/>
          <w:rtl/>
        </w:rPr>
        <w:t xml:space="preserve"> שהגישה </w:t>
      </w:r>
      <w:r w:rsidRPr="00331AB4">
        <w:rPr>
          <w:rFonts w:hint="cs"/>
          <w:rtl/>
        </w:rPr>
        <w:t>מי"ה</w:t>
      </w:r>
      <w:r w:rsidRPr="00331AB4">
        <w:rPr>
          <w:rFonts w:hint="cs"/>
          <w:rtl/>
        </w:rPr>
        <w:t xml:space="preserve"> עולה כי דירקטיבת פסולת הכרייה מנחה לדרוש מבעל עסק מתן ערבויות כספיות לשם הבטחת שיקום מתחם פסולת כרייה בתום תקופת הפעילות בו וכן להחזיר את פסולת הכרייה למכרה </w:t>
      </w:r>
      <w:r w:rsidRPr="00331AB4">
        <w:rPr>
          <w:rFonts w:hint="eastAsia"/>
          <w:rtl/>
        </w:rPr>
        <w:t>ש</w:t>
      </w:r>
      <w:r w:rsidRPr="00331AB4">
        <w:rPr>
          <w:rFonts w:hint="cs"/>
          <w:rtl/>
        </w:rPr>
        <w:t xml:space="preserve">בו הסתיימה הכרייה, דברים אשר ממילא אינם מתקיימים בענייננו. </w:t>
      </w:r>
    </w:p>
    <w:p w:rsidR="006734B0" w:rsidRPr="00331AB4" w:rsidP="00331AB4" w14:paraId="3F22764A" w14:textId="5E4EAC01">
      <w:pPr>
        <w:pStyle w:val="7392"/>
        <w:rPr>
          <w:rtl/>
        </w:rPr>
      </w:pPr>
      <w:r w:rsidRPr="00331AB4">
        <w:rPr>
          <w:rFonts w:hint="cs"/>
          <w:rtl/>
        </w:rPr>
        <w:t xml:space="preserve">עוד עלה בבירור מול המשרד </w:t>
      </w:r>
      <w:r w:rsidRPr="00331AB4">
        <w:rPr>
          <w:rFonts w:hint="cs"/>
          <w:rtl/>
        </w:rPr>
        <w:t>להג"ס</w:t>
      </w:r>
      <w:r w:rsidRPr="00331AB4">
        <w:rPr>
          <w:rFonts w:hint="cs"/>
          <w:rtl/>
        </w:rPr>
        <w:t xml:space="preserve"> כי הוא </w:t>
      </w:r>
      <w:r w:rsidRPr="00331AB4">
        <w:rPr>
          <w:rFonts w:hint="eastAsia"/>
          <w:rtl/>
        </w:rPr>
        <w:t>אינו</w:t>
      </w:r>
      <w:r w:rsidRPr="00331AB4">
        <w:rPr>
          <w:rFonts w:hint="cs"/>
          <w:rtl/>
        </w:rPr>
        <w:t xml:space="preserve"> מקבל את טענתה של </w:t>
      </w:r>
      <w:r w:rsidRPr="00331AB4">
        <w:rPr>
          <w:rFonts w:hint="cs"/>
          <w:rtl/>
        </w:rPr>
        <w:t>מי"ה</w:t>
      </w:r>
      <w:r w:rsidRPr="00331AB4">
        <w:rPr>
          <w:rFonts w:hint="cs"/>
          <w:rtl/>
        </w:rPr>
        <w:t xml:space="preserve"> </w:t>
      </w:r>
      <w:r w:rsidRPr="00331AB4">
        <w:rPr>
          <w:rFonts w:hint="eastAsia"/>
          <w:rtl/>
        </w:rPr>
        <w:t>ו</w:t>
      </w:r>
      <w:r w:rsidRPr="00331AB4">
        <w:rPr>
          <w:rFonts w:hint="cs"/>
          <w:rtl/>
        </w:rPr>
        <w:t xml:space="preserve">לפיה הפסולת </w:t>
      </w:r>
      <w:r w:rsidRPr="00331AB4">
        <w:rPr>
          <w:rFonts w:hint="eastAsia"/>
          <w:rtl/>
        </w:rPr>
        <w:t>שהיא</w:t>
      </w:r>
      <w:r w:rsidRPr="00331AB4">
        <w:rPr>
          <w:rFonts w:hint="cs"/>
          <w:rtl/>
        </w:rPr>
        <w:t xml:space="preserve"> מייצרת </w:t>
      </w:r>
      <w:r w:rsidRPr="00331AB4">
        <w:rPr>
          <w:rFonts w:hint="eastAsia"/>
          <w:rtl/>
        </w:rPr>
        <w:t>אינה</w:t>
      </w:r>
      <w:r w:rsidRPr="00331AB4">
        <w:rPr>
          <w:rFonts w:hint="cs"/>
          <w:rtl/>
        </w:rPr>
        <w:t xml:space="preserve"> נכללת בתוספת לחוק שמירת הניקיון מבחינת היכולת לחייבה בהיטל הטמנה, שכן הדבר מצריך בחינה. עוד מסר המשרד </w:t>
      </w:r>
      <w:r w:rsidRPr="00331AB4">
        <w:rPr>
          <w:rFonts w:hint="eastAsia"/>
          <w:rtl/>
        </w:rPr>
        <w:t>כי</w:t>
      </w:r>
      <w:r w:rsidRPr="00331AB4">
        <w:rPr>
          <w:rtl/>
        </w:rPr>
        <w:t xml:space="preserve"> </w:t>
      </w:r>
      <w:r w:rsidRPr="00331AB4">
        <w:rPr>
          <w:rFonts w:hint="cs"/>
          <w:rtl/>
        </w:rPr>
        <w:t>ל</w:t>
      </w:r>
      <w:r w:rsidRPr="00331AB4">
        <w:rPr>
          <w:rFonts w:hint="eastAsia"/>
          <w:rtl/>
        </w:rPr>
        <w:t>פי</w:t>
      </w:r>
      <w:r w:rsidRPr="00331AB4">
        <w:rPr>
          <w:rFonts w:hint="cs"/>
          <w:rtl/>
        </w:rPr>
        <w:t xml:space="preserve"> עמדתו </w:t>
      </w:r>
      <w:r w:rsidRPr="00331AB4">
        <w:rPr>
          <w:rFonts w:hint="eastAsia"/>
          <w:rtl/>
        </w:rPr>
        <w:t>התכליות</w:t>
      </w:r>
      <w:r w:rsidRPr="00331AB4">
        <w:rPr>
          <w:rtl/>
        </w:rPr>
        <w:t xml:space="preserve"> </w:t>
      </w:r>
      <w:r w:rsidRPr="00331AB4">
        <w:rPr>
          <w:rFonts w:hint="eastAsia"/>
          <w:rtl/>
        </w:rPr>
        <w:t>של</w:t>
      </w:r>
      <w:r w:rsidRPr="00331AB4">
        <w:rPr>
          <w:rtl/>
        </w:rPr>
        <w:t xml:space="preserve"> </w:t>
      </w:r>
      <w:r w:rsidRPr="00331AB4">
        <w:rPr>
          <w:rFonts w:hint="eastAsia"/>
          <w:rtl/>
        </w:rPr>
        <w:t>היטל</w:t>
      </w:r>
      <w:r w:rsidRPr="00331AB4">
        <w:rPr>
          <w:rtl/>
        </w:rPr>
        <w:t xml:space="preserve"> </w:t>
      </w:r>
      <w:r w:rsidRPr="00331AB4">
        <w:rPr>
          <w:rFonts w:hint="eastAsia"/>
          <w:rtl/>
        </w:rPr>
        <w:t>ההטמנה</w:t>
      </w:r>
      <w:r w:rsidRPr="00331AB4">
        <w:rPr>
          <w:rtl/>
        </w:rPr>
        <w:t xml:space="preserve"> </w:t>
      </w:r>
      <w:r w:rsidRPr="00331AB4">
        <w:rPr>
          <w:rFonts w:hint="eastAsia"/>
          <w:rtl/>
        </w:rPr>
        <w:t>רלוונטיות</w:t>
      </w:r>
      <w:r w:rsidRPr="00331AB4">
        <w:rPr>
          <w:rtl/>
        </w:rPr>
        <w:t xml:space="preserve"> </w:t>
      </w:r>
      <w:r w:rsidRPr="00331AB4">
        <w:rPr>
          <w:rFonts w:hint="eastAsia"/>
          <w:rtl/>
        </w:rPr>
        <w:t>לפסולת</w:t>
      </w:r>
      <w:r w:rsidRPr="00331AB4">
        <w:rPr>
          <w:rtl/>
        </w:rPr>
        <w:t xml:space="preserve"> </w:t>
      </w:r>
      <w:r w:rsidRPr="00331AB4">
        <w:rPr>
          <w:rFonts w:hint="eastAsia"/>
          <w:rtl/>
        </w:rPr>
        <w:t>כרייה</w:t>
      </w:r>
      <w:r w:rsidRPr="00331AB4">
        <w:rPr>
          <w:rtl/>
        </w:rPr>
        <w:t xml:space="preserve">. </w:t>
      </w:r>
      <w:r w:rsidRPr="00331AB4">
        <w:rPr>
          <w:rFonts w:hint="eastAsia"/>
          <w:rtl/>
        </w:rPr>
        <w:t>להלן</w:t>
      </w:r>
      <w:r w:rsidRPr="00331AB4">
        <w:rPr>
          <w:rtl/>
        </w:rPr>
        <w:t xml:space="preserve"> </w:t>
      </w:r>
      <w:r w:rsidRPr="00331AB4">
        <w:rPr>
          <w:rFonts w:hint="cs"/>
          <w:rtl/>
        </w:rPr>
        <w:t xml:space="preserve">יוצגו </w:t>
      </w:r>
      <w:r w:rsidRPr="00331AB4">
        <w:rPr>
          <w:rFonts w:hint="eastAsia"/>
          <w:rtl/>
        </w:rPr>
        <w:t>ממצאי</w:t>
      </w:r>
      <w:r w:rsidRPr="00331AB4">
        <w:rPr>
          <w:rtl/>
        </w:rPr>
        <w:t xml:space="preserve"> </w:t>
      </w:r>
      <w:r w:rsidRPr="00331AB4">
        <w:rPr>
          <w:rFonts w:hint="eastAsia"/>
          <w:rtl/>
        </w:rPr>
        <w:t>הביקורת</w:t>
      </w:r>
      <w:r w:rsidRPr="00331AB4">
        <w:rPr>
          <w:rtl/>
        </w:rPr>
        <w:t xml:space="preserve"> </w:t>
      </w:r>
      <w:r w:rsidRPr="00331AB4">
        <w:rPr>
          <w:rFonts w:hint="eastAsia"/>
          <w:rtl/>
        </w:rPr>
        <w:t>לגבי</w:t>
      </w:r>
      <w:r w:rsidRPr="00331AB4">
        <w:rPr>
          <w:rtl/>
        </w:rPr>
        <w:t xml:space="preserve"> </w:t>
      </w:r>
      <w:r w:rsidRPr="00331AB4">
        <w:rPr>
          <w:rFonts w:hint="eastAsia"/>
          <w:rtl/>
        </w:rPr>
        <w:t>כל</w:t>
      </w:r>
      <w:r w:rsidRPr="00331AB4">
        <w:rPr>
          <w:rtl/>
        </w:rPr>
        <w:t xml:space="preserve"> </w:t>
      </w:r>
      <w:r w:rsidRPr="00331AB4">
        <w:rPr>
          <w:rFonts w:hint="eastAsia"/>
          <w:rtl/>
        </w:rPr>
        <w:t>אחד</w:t>
      </w:r>
      <w:r w:rsidRPr="00331AB4">
        <w:rPr>
          <w:rtl/>
        </w:rPr>
        <w:t xml:space="preserve"> </w:t>
      </w:r>
      <w:r w:rsidRPr="00331AB4">
        <w:rPr>
          <w:rFonts w:hint="eastAsia"/>
          <w:rtl/>
        </w:rPr>
        <w:t>מזרמי</w:t>
      </w:r>
      <w:r w:rsidRPr="00331AB4">
        <w:rPr>
          <w:rtl/>
        </w:rPr>
        <w:t xml:space="preserve"> </w:t>
      </w:r>
      <w:r w:rsidRPr="00331AB4">
        <w:rPr>
          <w:rFonts w:hint="eastAsia"/>
          <w:rtl/>
        </w:rPr>
        <w:t>הפסולת</w:t>
      </w:r>
      <w:r w:rsidR="00FE4AA0">
        <w:rPr>
          <w:rFonts w:hint="cs"/>
          <w:rtl/>
        </w:rPr>
        <w:t xml:space="preserve"> שצוינו</w:t>
      </w:r>
      <w:r w:rsidRPr="00331AB4">
        <w:rPr>
          <w:rtl/>
        </w:rPr>
        <w:t xml:space="preserve"> </w:t>
      </w:r>
      <w:r w:rsidRPr="00331AB4">
        <w:rPr>
          <w:rFonts w:hint="eastAsia"/>
          <w:rtl/>
        </w:rPr>
        <w:t>לעיל</w:t>
      </w:r>
      <w:r w:rsidRPr="00331AB4">
        <w:rPr>
          <w:rtl/>
        </w:rPr>
        <w:t>:</w:t>
      </w:r>
      <w:r w:rsidRPr="00331AB4">
        <w:rPr>
          <w:rFonts w:hint="cs"/>
          <w:rtl/>
        </w:rPr>
        <w:t xml:space="preserve"> </w:t>
      </w:r>
    </w:p>
    <w:p w:rsidR="006734B0" w:rsidRPr="008C362D" w:rsidP="008C362D" w14:paraId="0EEF1224" w14:textId="77777777">
      <w:pPr>
        <w:pStyle w:val="73414"/>
        <w:rPr>
          <w:rtl/>
        </w:rPr>
      </w:pPr>
      <w:r w:rsidRPr="008C362D">
        <w:rPr>
          <w:rFonts w:hint="cs"/>
          <w:rtl/>
        </w:rPr>
        <w:t xml:space="preserve">אתר הבוצה המלחית של מפעל המגנזיום </w:t>
      </w:r>
    </w:p>
    <w:p w:rsidR="006734B0" w:rsidRPr="008C362D" w:rsidP="008C362D" w14:paraId="049798AB" w14:textId="77777777">
      <w:pPr>
        <w:pStyle w:val="735"/>
        <w:numPr>
          <w:ilvl w:val="0"/>
          <w:numId w:val="26"/>
        </w:numPr>
        <w:rPr>
          <w:rtl/>
        </w:rPr>
      </w:pPr>
      <w:r w:rsidRPr="008C362D">
        <w:rPr>
          <w:rFonts w:hint="cs"/>
          <w:rtl/>
        </w:rPr>
        <w:t xml:space="preserve">בשנות התשעים, עם תחילת פעילותו של המפעל, החלה </w:t>
      </w:r>
      <w:r w:rsidRPr="008C362D">
        <w:rPr>
          <w:rFonts w:hint="cs"/>
          <w:rtl/>
        </w:rPr>
        <w:t>מי"ה</w:t>
      </w:r>
      <w:r w:rsidRPr="008C362D">
        <w:rPr>
          <w:rFonts w:hint="cs"/>
          <w:rtl/>
        </w:rPr>
        <w:t xml:space="preserve"> להעביר בוצה מלחית הנוצרת תוך כדי תהליך האלקטרוליזה במפעל המגנזיום, לאתר הבוצה המלחית. לפי נתוני המשרד </w:t>
      </w:r>
      <w:r w:rsidRPr="008C362D">
        <w:rPr>
          <w:rFonts w:hint="cs"/>
          <w:rtl/>
        </w:rPr>
        <w:t>להג"ס</w:t>
      </w:r>
      <w:r w:rsidRPr="008C362D">
        <w:rPr>
          <w:rFonts w:hint="cs"/>
          <w:rtl/>
        </w:rPr>
        <w:t xml:space="preserve">, מדי שנה </w:t>
      </w:r>
      <w:r w:rsidRPr="008C362D">
        <w:rPr>
          <w:rFonts w:hint="cs"/>
          <w:rtl/>
        </w:rPr>
        <w:t>מי"ה</w:t>
      </w:r>
      <w:r w:rsidRPr="008C362D">
        <w:rPr>
          <w:rFonts w:hint="cs"/>
          <w:rtl/>
        </w:rPr>
        <w:t xml:space="preserve"> מעבירה אליו כ-15,000 טונות של בוצה, ובמשך השנים הצטברו בו כ-300,000 טונות ממנה. </w:t>
      </w:r>
    </w:p>
    <w:p w:rsidR="006734B0" w:rsidRPr="008C362D" w:rsidP="008C362D" w14:paraId="46C88454" w14:textId="0B297BC2">
      <w:pPr>
        <w:pStyle w:val="7317"/>
        <w:rPr>
          <w:rtl/>
        </w:rPr>
      </w:pPr>
      <w:r w:rsidRPr="008C362D">
        <w:rPr>
          <w:rtl/>
        </w:rPr>
        <w:t xml:space="preserve">בינואר 2023 קבע המשרד </w:t>
      </w:r>
      <w:r w:rsidRPr="008C362D">
        <w:rPr>
          <w:rFonts w:hint="eastAsia"/>
          <w:rtl/>
        </w:rPr>
        <w:t>להג</w:t>
      </w:r>
      <w:r w:rsidRPr="008C362D">
        <w:rPr>
          <w:rtl/>
        </w:rPr>
        <w:t>"ס</w:t>
      </w:r>
      <w:r w:rsidRPr="008C362D">
        <w:rPr>
          <w:rtl/>
        </w:rPr>
        <w:t xml:space="preserve"> תנאים </w:t>
      </w:r>
      <w:r w:rsidRPr="008C362D">
        <w:rPr>
          <w:rFonts w:hint="eastAsia"/>
          <w:rtl/>
        </w:rPr>
        <w:t>סביבתיים</w:t>
      </w:r>
      <w:r w:rsidRPr="008C362D">
        <w:rPr>
          <w:rtl/>
        </w:rPr>
        <w:t xml:space="preserve"> </w:t>
      </w:r>
      <w:r w:rsidRPr="008C362D">
        <w:rPr>
          <w:rFonts w:hint="eastAsia"/>
          <w:rtl/>
        </w:rPr>
        <w:t>ברישיון</w:t>
      </w:r>
      <w:r w:rsidRPr="008C362D">
        <w:rPr>
          <w:rtl/>
        </w:rPr>
        <w:t xml:space="preserve"> </w:t>
      </w:r>
      <w:r w:rsidRPr="008C362D">
        <w:rPr>
          <w:rFonts w:hint="eastAsia"/>
          <w:rtl/>
        </w:rPr>
        <w:t>העסק</w:t>
      </w:r>
      <w:r w:rsidRPr="008C362D">
        <w:rPr>
          <w:rtl/>
        </w:rPr>
        <w:t xml:space="preserve"> </w:t>
      </w:r>
      <w:r w:rsidRPr="008C362D">
        <w:rPr>
          <w:rFonts w:hint="eastAsia"/>
          <w:rtl/>
        </w:rPr>
        <w:t>של</w:t>
      </w:r>
      <w:r w:rsidRPr="008C362D">
        <w:rPr>
          <w:rtl/>
        </w:rPr>
        <w:t xml:space="preserve"> </w:t>
      </w:r>
      <w:r w:rsidRPr="008C362D">
        <w:rPr>
          <w:rFonts w:hint="eastAsia"/>
          <w:rtl/>
        </w:rPr>
        <w:t>מפעל</w:t>
      </w:r>
      <w:r w:rsidRPr="008C362D">
        <w:rPr>
          <w:rtl/>
        </w:rPr>
        <w:t xml:space="preserve"> המגנזיום בנושא הבוצה המלחית. </w:t>
      </w:r>
      <w:r w:rsidRPr="008C362D">
        <w:rPr>
          <w:rFonts w:hint="eastAsia"/>
          <w:rtl/>
        </w:rPr>
        <w:t>במסגרת</w:t>
      </w:r>
      <w:r w:rsidRPr="008C362D">
        <w:rPr>
          <w:rtl/>
        </w:rPr>
        <w:t xml:space="preserve"> </w:t>
      </w:r>
      <w:r w:rsidRPr="008C362D">
        <w:rPr>
          <w:rFonts w:hint="eastAsia"/>
          <w:rtl/>
        </w:rPr>
        <w:t>תנאים</w:t>
      </w:r>
      <w:r w:rsidRPr="008C362D">
        <w:rPr>
          <w:rtl/>
        </w:rPr>
        <w:t xml:space="preserve"> </w:t>
      </w:r>
      <w:r w:rsidRPr="008C362D">
        <w:rPr>
          <w:rFonts w:hint="eastAsia"/>
          <w:rtl/>
        </w:rPr>
        <w:t>אלו</w:t>
      </w:r>
      <w:r w:rsidRPr="008C362D">
        <w:rPr>
          <w:rtl/>
        </w:rPr>
        <w:t xml:space="preserve"> עיגן המשרד דרישות </w:t>
      </w:r>
      <w:r w:rsidRPr="008C362D">
        <w:rPr>
          <w:rFonts w:hint="eastAsia"/>
          <w:rtl/>
        </w:rPr>
        <w:t>לאסדרת</w:t>
      </w:r>
      <w:r w:rsidRPr="008C362D">
        <w:rPr>
          <w:rtl/>
        </w:rPr>
        <w:t xml:space="preserve"> הבוצה ולטיפול בה וקבע כי "</w:t>
      </w:r>
      <w:r w:rsidRPr="008C362D">
        <w:rPr>
          <w:rFonts w:hint="eastAsia"/>
          <w:rtl/>
        </w:rPr>
        <w:t>בוצות</w:t>
      </w:r>
      <w:r w:rsidRPr="008C362D">
        <w:rPr>
          <w:rtl/>
        </w:rPr>
        <w:t xml:space="preserve"> שמקורן בעסק יאספו ויפונו בהתאם להרכבן ובהתבסס על דיגום וסיווג, ליעד מתאים המורשה בקליטתן. פינוי </w:t>
      </w:r>
      <w:r w:rsidRPr="008C362D">
        <w:rPr>
          <w:rFonts w:hint="eastAsia"/>
          <w:rtl/>
        </w:rPr>
        <w:t>הבוצות</w:t>
      </w:r>
      <w:r w:rsidRPr="008C362D">
        <w:rPr>
          <w:rtl/>
        </w:rPr>
        <w:t xml:space="preserve"> משטח העסק, יבוצע בתדירות שתימנע מפגעים סביבתיים". </w:t>
      </w:r>
      <w:r w:rsidRPr="008C362D">
        <w:rPr>
          <w:rFonts w:hint="eastAsia"/>
          <w:rtl/>
        </w:rPr>
        <w:t>עוד</w:t>
      </w:r>
      <w:r w:rsidRPr="008C362D">
        <w:rPr>
          <w:rtl/>
        </w:rPr>
        <w:t xml:space="preserve"> נקבע </w:t>
      </w:r>
      <w:r w:rsidRPr="008C362D">
        <w:rPr>
          <w:rFonts w:hint="eastAsia"/>
          <w:rtl/>
        </w:rPr>
        <w:t>בתנאים</w:t>
      </w:r>
      <w:r w:rsidRPr="008C362D">
        <w:rPr>
          <w:rFonts w:hint="cs"/>
          <w:rtl/>
        </w:rPr>
        <w:t xml:space="preserve"> כי בכל מקרה </w:t>
      </w:r>
      <w:r w:rsidRPr="008C362D">
        <w:rPr>
          <w:rFonts w:hint="cs"/>
          <w:rtl/>
        </w:rPr>
        <w:t>מי"ה</w:t>
      </w:r>
      <w:r w:rsidRPr="008C362D">
        <w:rPr>
          <w:rFonts w:hint="cs"/>
          <w:rtl/>
        </w:rPr>
        <w:t xml:space="preserve"> נדרשת לסיים את האסדרה של אתר הבוצה המלחית ואת הטיפול בו לא יאוחר מיום 31.12.28, וכי תוכנית </w:t>
      </w:r>
      <w:r w:rsidRPr="008C362D">
        <w:rPr>
          <w:rFonts w:hint="cs"/>
          <w:rtl/>
        </w:rPr>
        <w:t xml:space="preserve">מפורטת בנושא תוגש על ידי </w:t>
      </w:r>
      <w:r w:rsidRPr="008C362D">
        <w:rPr>
          <w:rFonts w:hint="cs"/>
          <w:rtl/>
        </w:rPr>
        <w:t>מי"ה</w:t>
      </w:r>
      <w:r w:rsidRPr="008C362D">
        <w:rPr>
          <w:rFonts w:hint="cs"/>
          <w:rtl/>
        </w:rPr>
        <w:t xml:space="preserve"> לא יאוחר מ-12 חודשים מקבלת התנאים, דהיינו ינואר 2024. </w:t>
      </w:r>
    </w:p>
    <w:p w:rsidR="006734B0" w:rsidRPr="008C362D" w:rsidP="008C362D" w14:paraId="15896ACD" w14:textId="77777777">
      <w:pPr>
        <w:pStyle w:val="7310"/>
        <w:rPr>
          <w:rtl/>
        </w:rPr>
      </w:pPr>
      <w:r w:rsidRPr="008C362D">
        <w:rPr>
          <w:rFonts w:hint="cs"/>
          <w:rtl/>
        </w:rPr>
        <w:t xml:space="preserve">נמצא כי על אף הכמויות הנרחבות של הבוצה המלחית </w:t>
      </w:r>
      <w:r w:rsidRPr="008C362D">
        <w:rPr>
          <w:rFonts w:hint="cs"/>
          <w:rtl/>
        </w:rPr>
        <w:t>שמי"ה</w:t>
      </w:r>
      <w:r w:rsidRPr="008C362D">
        <w:rPr>
          <w:rFonts w:hint="cs"/>
          <w:rtl/>
        </w:rPr>
        <w:t xml:space="preserve"> מטמינה באתר מדי שנה (כ-15,000 טונות) והיקף העירום הכולל שלו (כ-300,000 טונות), </w:t>
      </w:r>
      <w:r w:rsidRPr="008C362D">
        <w:rPr>
          <w:rFonts w:hint="eastAsia"/>
          <w:rtl/>
        </w:rPr>
        <w:t>ו</w:t>
      </w:r>
      <w:r w:rsidRPr="008C362D">
        <w:rPr>
          <w:rFonts w:hint="cs"/>
          <w:rtl/>
        </w:rPr>
        <w:t xml:space="preserve">אף שהאתר קיים משנות התשעים </w:t>
      </w:r>
      <w:r w:rsidRPr="008C362D">
        <w:rPr>
          <w:rFonts w:hint="eastAsia"/>
          <w:rtl/>
        </w:rPr>
        <w:t>של</w:t>
      </w:r>
      <w:r w:rsidRPr="008C362D">
        <w:rPr>
          <w:rtl/>
        </w:rPr>
        <w:t xml:space="preserve"> </w:t>
      </w:r>
      <w:r w:rsidRPr="008C362D">
        <w:rPr>
          <w:rFonts w:hint="eastAsia"/>
          <w:rtl/>
        </w:rPr>
        <w:t>המאה</w:t>
      </w:r>
      <w:r w:rsidRPr="008C362D">
        <w:rPr>
          <w:rtl/>
        </w:rPr>
        <w:t xml:space="preserve"> </w:t>
      </w:r>
      <w:r w:rsidRPr="008C362D">
        <w:rPr>
          <w:rFonts w:hint="eastAsia"/>
          <w:rtl/>
        </w:rPr>
        <w:t>העשרים</w:t>
      </w:r>
      <w:r w:rsidRPr="008C362D">
        <w:rPr>
          <w:rFonts w:hint="cs"/>
          <w:rtl/>
        </w:rPr>
        <w:t xml:space="preserve">, רק בינואר 2023 המשרד </w:t>
      </w:r>
      <w:r w:rsidRPr="008C362D">
        <w:rPr>
          <w:rFonts w:hint="cs"/>
          <w:rtl/>
        </w:rPr>
        <w:t>להג"ס</w:t>
      </w:r>
      <w:r w:rsidRPr="008C362D">
        <w:rPr>
          <w:rFonts w:hint="cs"/>
          <w:rtl/>
        </w:rPr>
        <w:t xml:space="preserve"> כלל בתנאי רישיון העסק של מפעל המגנזיום התייחסות לבוצה המלחית, נתן הנחיות בנוגע לאופן העירום של הבוצה ולגבי תפעול האתר וקבע מועד להשלמת </w:t>
      </w:r>
      <w:r w:rsidRPr="008C362D">
        <w:rPr>
          <w:rFonts w:hint="cs"/>
          <w:rtl/>
        </w:rPr>
        <w:t>אסדרת</w:t>
      </w:r>
      <w:r w:rsidRPr="008C362D">
        <w:rPr>
          <w:rFonts w:hint="cs"/>
          <w:rtl/>
        </w:rPr>
        <w:t xml:space="preserve"> האתר בשנת 2028.</w:t>
      </w:r>
    </w:p>
    <w:p w:rsidR="006734B0" w:rsidRPr="008C362D" w:rsidP="008C362D" w14:paraId="53D2FD9C" w14:textId="77777777">
      <w:pPr>
        <w:pStyle w:val="735"/>
        <w:numPr>
          <w:ilvl w:val="0"/>
          <w:numId w:val="26"/>
        </w:numPr>
        <w:rPr>
          <w:rtl/>
        </w:rPr>
      </w:pPr>
      <w:r w:rsidRPr="008C362D">
        <w:rPr>
          <w:rFonts w:hint="cs"/>
          <w:rtl/>
        </w:rPr>
        <w:t xml:space="preserve">באפריל 2023 הגישה </w:t>
      </w:r>
      <w:r w:rsidRPr="008C362D">
        <w:rPr>
          <w:rFonts w:hint="cs"/>
          <w:rtl/>
        </w:rPr>
        <w:t>מי"ה</w:t>
      </w:r>
      <w:r w:rsidRPr="008C362D">
        <w:rPr>
          <w:rFonts w:hint="cs"/>
          <w:rtl/>
        </w:rPr>
        <w:t xml:space="preserve"> הצעה לסיווג הבוצה כתוצר לוואי שמיש. נמצא כי לאחר שהמשרד </w:t>
      </w:r>
      <w:r w:rsidRPr="008C362D">
        <w:rPr>
          <w:rFonts w:hint="cs"/>
          <w:rtl/>
        </w:rPr>
        <w:t>להג"ס</w:t>
      </w:r>
      <w:r w:rsidRPr="008C362D">
        <w:rPr>
          <w:rFonts w:hint="cs"/>
          <w:rtl/>
        </w:rPr>
        <w:t xml:space="preserve"> בחן את הסיווג שהציגה </w:t>
      </w:r>
      <w:r w:rsidRPr="008C362D">
        <w:rPr>
          <w:rFonts w:hint="cs"/>
          <w:rtl/>
        </w:rPr>
        <w:t>מי"ה</w:t>
      </w:r>
      <w:r w:rsidRPr="008C362D">
        <w:rPr>
          <w:rFonts w:hint="cs"/>
          <w:rtl/>
        </w:rPr>
        <w:t xml:space="preserve">, הוא קבע ביוני 2023 כי המפעל אינו עומד בכל התנאים הנדרשים לצורך סיווג החומר כתוצר לוואי לפי הדירקטיבה האירופית ולכן מדובר בפסולת. בין השאר ציין המשרד בקביעתו כי אין ודאות לגבי המשך השימוש בחומר; גם אם תוכח ישימות כלכלית לתהליכים המוצעים בסיווג, לא ברור כי הם נותנים מענה לשימוש בכלל החומר הקיים והעתידי בלוחות זמנים סבירים; השימושים המוצעים דורשים שינויים ניכרים בתהליכי הייצור במפעל ועיבוד נוסף שאינו חלק מהתהליכים התעשייתיים הנוכחיים במפעל, וכי קיימת חוסר ודאות לגבי ההשפעות הסביבתיות של התהליכים המוצעים - כל אלו תנאים הנדרשים לפי הדירקטיבה לצורך הסיווג כתוצר לוואי שמיש. לפיכך ציין המשרד </w:t>
      </w:r>
      <w:r w:rsidRPr="008C362D">
        <w:rPr>
          <w:rFonts w:hint="cs"/>
          <w:rtl/>
        </w:rPr>
        <w:t>להג"ס</w:t>
      </w:r>
      <w:r w:rsidRPr="008C362D">
        <w:rPr>
          <w:rFonts w:hint="cs"/>
          <w:rtl/>
        </w:rPr>
        <w:t xml:space="preserve"> כי </w:t>
      </w:r>
      <w:r w:rsidRPr="008C362D">
        <w:rPr>
          <w:rFonts w:hint="cs"/>
          <w:b/>
          <w:bCs/>
          <w:rtl/>
        </w:rPr>
        <w:t>לא ניתן לקבל את הסיווג המוצע כתוצר לוואי שמיש שכן מדובר בפסולת,</w:t>
      </w:r>
      <w:r w:rsidRPr="008C362D">
        <w:rPr>
          <w:rFonts w:hint="cs"/>
          <w:rtl/>
        </w:rPr>
        <w:t xml:space="preserve"> ונדרש סיווג של סוג הפסולת כדי לקדם תוכנית אסדרה וטיפול בהתאם לסיווג המתאים.</w:t>
      </w:r>
      <w:r w:rsidRPr="008C362D">
        <w:rPr>
          <w:rtl/>
        </w:rPr>
        <w:t xml:space="preserve"> </w:t>
      </w:r>
      <w:r w:rsidRPr="008C362D">
        <w:rPr>
          <w:rFonts w:hint="eastAsia"/>
          <w:rtl/>
        </w:rPr>
        <w:t>יצוין</w:t>
      </w:r>
      <w:r w:rsidRPr="008C362D">
        <w:rPr>
          <w:rtl/>
        </w:rPr>
        <w:t xml:space="preserve"> כי </w:t>
      </w:r>
      <w:r w:rsidRPr="008C362D">
        <w:rPr>
          <w:rFonts w:hint="eastAsia"/>
          <w:rtl/>
        </w:rPr>
        <w:t>ביולי</w:t>
      </w:r>
      <w:r w:rsidRPr="008C362D">
        <w:rPr>
          <w:rtl/>
        </w:rPr>
        <w:t xml:space="preserve"> 2024 קבע המשרד </w:t>
      </w:r>
      <w:r w:rsidRPr="008C362D">
        <w:rPr>
          <w:rtl/>
        </w:rPr>
        <w:t>להג"ס</w:t>
      </w:r>
      <w:r w:rsidRPr="008C362D">
        <w:rPr>
          <w:rtl/>
        </w:rPr>
        <w:t>, בהתאם לסיווג שהגיש</w:t>
      </w:r>
      <w:r w:rsidRPr="008C362D">
        <w:rPr>
          <w:rFonts w:hint="eastAsia"/>
          <w:rtl/>
        </w:rPr>
        <w:t>ה</w:t>
      </w:r>
      <w:r w:rsidRPr="008C362D">
        <w:rPr>
          <w:rtl/>
        </w:rPr>
        <w:t xml:space="preserve"> לו </w:t>
      </w:r>
      <w:r w:rsidRPr="008C362D">
        <w:rPr>
          <w:rtl/>
        </w:rPr>
        <w:t>מי"ה</w:t>
      </w:r>
      <w:r w:rsidRPr="008C362D">
        <w:rPr>
          <w:rtl/>
        </w:rPr>
        <w:t xml:space="preserve">, כי </w:t>
      </w:r>
      <w:r w:rsidRPr="008C362D">
        <w:rPr>
          <w:rFonts w:hint="eastAsia"/>
          <w:rtl/>
        </w:rPr>
        <w:t>אין</w:t>
      </w:r>
      <w:r w:rsidRPr="008C362D">
        <w:rPr>
          <w:rtl/>
        </w:rPr>
        <w:t xml:space="preserve"> </w:t>
      </w:r>
      <w:r w:rsidRPr="008C362D">
        <w:rPr>
          <w:rFonts w:hint="eastAsia"/>
          <w:rtl/>
        </w:rPr>
        <w:t>מדובר</w:t>
      </w:r>
      <w:r w:rsidRPr="008C362D">
        <w:rPr>
          <w:rtl/>
        </w:rPr>
        <w:t xml:space="preserve"> </w:t>
      </w:r>
      <w:r w:rsidRPr="008C362D">
        <w:rPr>
          <w:rFonts w:hint="eastAsia"/>
          <w:rtl/>
        </w:rPr>
        <w:t>בפסולת</w:t>
      </w:r>
      <w:r w:rsidRPr="008C362D">
        <w:rPr>
          <w:rtl/>
        </w:rPr>
        <w:t xml:space="preserve"> </w:t>
      </w:r>
      <w:r w:rsidRPr="008C362D">
        <w:rPr>
          <w:rFonts w:hint="eastAsia"/>
          <w:rtl/>
        </w:rPr>
        <w:t>מסוכנת</w:t>
      </w:r>
      <w:r w:rsidRPr="008C362D">
        <w:rPr>
          <w:rtl/>
        </w:rPr>
        <w:t>.</w:t>
      </w:r>
      <w:r w:rsidRPr="008C362D">
        <w:rPr>
          <w:rFonts w:hint="cs"/>
          <w:rtl/>
        </w:rPr>
        <w:t xml:space="preserve"> </w:t>
      </w:r>
    </w:p>
    <w:p w:rsidR="006734B0" w:rsidRPr="008C362D" w:rsidP="008C362D" w14:paraId="605819EB" w14:textId="4884DB11">
      <w:pPr>
        <w:pStyle w:val="7310"/>
        <w:rPr>
          <w:rtl/>
        </w:rPr>
      </w:pPr>
      <w:r w:rsidRPr="008C362D">
        <w:rPr>
          <w:rFonts w:hint="eastAsia"/>
          <w:rtl/>
        </w:rPr>
        <w:t>נמצא</w:t>
      </w:r>
      <w:r w:rsidRPr="008C362D">
        <w:rPr>
          <w:rtl/>
        </w:rPr>
        <w:t xml:space="preserve"> </w:t>
      </w:r>
      <w:r w:rsidRPr="008C362D">
        <w:rPr>
          <w:rFonts w:hint="eastAsia"/>
          <w:rtl/>
        </w:rPr>
        <w:t>כי</w:t>
      </w:r>
      <w:r w:rsidRPr="008C362D">
        <w:rPr>
          <w:rtl/>
        </w:rPr>
        <w:t xml:space="preserve"> </w:t>
      </w:r>
      <w:r w:rsidRPr="008C362D">
        <w:rPr>
          <w:rFonts w:hint="eastAsia"/>
          <w:rtl/>
        </w:rPr>
        <w:t>ב</w:t>
      </w:r>
      <w:r w:rsidRPr="008C362D">
        <w:rPr>
          <w:rFonts w:hint="cs"/>
          <w:rtl/>
        </w:rPr>
        <w:t>ינואר 2024, ב</w:t>
      </w:r>
      <w:r w:rsidRPr="008C362D">
        <w:rPr>
          <w:rFonts w:hint="eastAsia"/>
          <w:rtl/>
        </w:rPr>
        <w:t>סמוך</w:t>
      </w:r>
      <w:r w:rsidRPr="008C362D">
        <w:rPr>
          <w:rtl/>
        </w:rPr>
        <w:t xml:space="preserve"> </w:t>
      </w:r>
      <w:r w:rsidRPr="008C362D">
        <w:rPr>
          <w:rFonts w:hint="eastAsia"/>
          <w:rtl/>
        </w:rPr>
        <w:t>ל</w:t>
      </w:r>
      <w:r w:rsidRPr="008C362D">
        <w:rPr>
          <w:rFonts w:hint="cs"/>
          <w:rtl/>
        </w:rPr>
        <w:t>אחר ה</w:t>
      </w:r>
      <w:r w:rsidRPr="008C362D">
        <w:rPr>
          <w:rFonts w:hint="eastAsia"/>
          <w:rtl/>
        </w:rPr>
        <w:t>מועד</w:t>
      </w:r>
      <w:r w:rsidRPr="008C362D">
        <w:rPr>
          <w:rtl/>
        </w:rPr>
        <w:t xml:space="preserve"> </w:t>
      </w:r>
      <w:r w:rsidRPr="008C362D">
        <w:rPr>
          <w:rFonts w:hint="eastAsia"/>
          <w:rtl/>
        </w:rPr>
        <w:t>ש</w:t>
      </w:r>
      <w:r w:rsidRPr="008C362D">
        <w:rPr>
          <w:rtl/>
        </w:rPr>
        <w:t xml:space="preserve">בו </w:t>
      </w:r>
      <w:r w:rsidRPr="008C362D">
        <w:rPr>
          <w:rFonts w:hint="eastAsia"/>
          <w:rtl/>
        </w:rPr>
        <w:t>קבע</w:t>
      </w:r>
      <w:r w:rsidRPr="008C362D">
        <w:rPr>
          <w:rtl/>
        </w:rPr>
        <w:t xml:space="preserve"> המשרד </w:t>
      </w:r>
      <w:r w:rsidRPr="008C362D">
        <w:rPr>
          <w:rFonts w:hint="cs"/>
          <w:rtl/>
        </w:rPr>
        <w:t>כי</w:t>
      </w:r>
      <w:r w:rsidRPr="008C362D">
        <w:rPr>
          <w:rtl/>
        </w:rPr>
        <w:t xml:space="preserve"> מדובר בפסולת, </w:t>
      </w:r>
      <w:r w:rsidRPr="008C362D">
        <w:rPr>
          <w:rFonts w:hint="cs"/>
          <w:rtl/>
        </w:rPr>
        <w:t xml:space="preserve">החלה </w:t>
      </w:r>
      <w:r w:rsidRPr="008C362D">
        <w:rPr>
          <w:rFonts w:hint="cs"/>
          <w:rtl/>
        </w:rPr>
        <w:t>מי"ה</w:t>
      </w:r>
      <w:r w:rsidRPr="008C362D">
        <w:rPr>
          <w:rFonts w:hint="cs"/>
          <w:rtl/>
        </w:rPr>
        <w:t xml:space="preserve"> להשתמש</w:t>
      </w:r>
      <w:r w:rsidRPr="008C362D">
        <w:rPr>
          <w:rtl/>
        </w:rPr>
        <w:t xml:space="preserve"> ב</w:t>
      </w:r>
      <w:r w:rsidRPr="008C362D">
        <w:rPr>
          <w:rFonts w:hint="eastAsia"/>
          <w:rtl/>
        </w:rPr>
        <w:t>כל</w:t>
      </w:r>
      <w:r w:rsidRPr="008C362D">
        <w:rPr>
          <w:rtl/>
        </w:rPr>
        <w:t xml:space="preserve"> </w:t>
      </w:r>
      <w:r w:rsidRPr="008C362D">
        <w:rPr>
          <w:rFonts w:hint="eastAsia"/>
          <w:rtl/>
        </w:rPr>
        <w:t>פסולת</w:t>
      </w:r>
      <w:r w:rsidRPr="008C362D">
        <w:rPr>
          <w:rtl/>
        </w:rPr>
        <w:t xml:space="preserve"> הבוצה המלחית </w:t>
      </w:r>
      <w:r w:rsidRPr="008C362D">
        <w:rPr>
          <w:rFonts w:hint="eastAsia"/>
          <w:rtl/>
        </w:rPr>
        <w:t>כחומר</w:t>
      </w:r>
      <w:r w:rsidRPr="008C362D">
        <w:rPr>
          <w:rtl/>
        </w:rPr>
        <w:t xml:space="preserve"> </w:t>
      </w:r>
      <w:r w:rsidRPr="008C362D">
        <w:rPr>
          <w:rFonts w:hint="eastAsia"/>
          <w:rtl/>
        </w:rPr>
        <w:t>תשתית</w:t>
      </w:r>
      <w:r w:rsidRPr="008C362D">
        <w:rPr>
          <w:rtl/>
        </w:rPr>
        <w:t xml:space="preserve"> במסגרת </w:t>
      </w:r>
      <w:r w:rsidRPr="008C362D">
        <w:rPr>
          <w:rFonts w:hint="eastAsia"/>
          <w:rtl/>
        </w:rPr>
        <w:t>פרויקטים</w:t>
      </w:r>
      <w:r w:rsidRPr="008C362D">
        <w:rPr>
          <w:rtl/>
        </w:rPr>
        <w:t xml:space="preserve"> שונים </w:t>
      </w:r>
      <w:r w:rsidRPr="008C362D">
        <w:rPr>
          <w:rFonts w:hint="eastAsia"/>
          <w:rtl/>
        </w:rPr>
        <w:t>שהיא</w:t>
      </w:r>
      <w:r w:rsidRPr="008C362D">
        <w:rPr>
          <w:rtl/>
        </w:rPr>
        <w:t xml:space="preserve"> </w:t>
      </w:r>
      <w:r w:rsidRPr="008C362D">
        <w:rPr>
          <w:rFonts w:hint="eastAsia"/>
          <w:rtl/>
        </w:rPr>
        <w:t>מבצעת</w:t>
      </w:r>
      <w:r w:rsidRPr="008C362D">
        <w:rPr>
          <w:rtl/>
        </w:rPr>
        <w:t xml:space="preserve"> ולפזרו במקומות</w:t>
      </w:r>
      <w:r w:rsidRPr="008C362D">
        <w:rPr>
          <w:rFonts w:hint="cs"/>
          <w:rtl/>
        </w:rPr>
        <w:t xml:space="preserve"> שונים בתחום הזיכיון,</w:t>
      </w:r>
      <w:r w:rsidRPr="008C362D">
        <w:rPr>
          <w:rtl/>
        </w:rPr>
        <w:t xml:space="preserve"> </w:t>
      </w:r>
      <w:r w:rsidRPr="008C362D">
        <w:rPr>
          <w:rFonts w:hint="eastAsia"/>
          <w:rtl/>
        </w:rPr>
        <w:t>ו</w:t>
      </w:r>
      <w:r w:rsidRPr="008C362D">
        <w:rPr>
          <w:rFonts w:hint="cs"/>
          <w:rtl/>
        </w:rPr>
        <w:t>הפסיקה להעביר את פסולת הבוצה</w:t>
      </w:r>
      <w:r w:rsidRPr="008C362D">
        <w:rPr>
          <w:rtl/>
        </w:rPr>
        <w:t xml:space="preserve"> לאתר הבוצה המלחי</w:t>
      </w:r>
      <w:r w:rsidRPr="008C362D">
        <w:rPr>
          <w:rFonts w:hint="cs"/>
          <w:rtl/>
        </w:rPr>
        <w:t>ת. נמ</w:t>
      </w:r>
      <w:r w:rsidRPr="008C362D">
        <w:rPr>
          <w:rFonts w:hint="eastAsia"/>
          <w:rtl/>
        </w:rPr>
        <w:t>צא</w:t>
      </w:r>
      <w:r w:rsidRPr="008C362D">
        <w:rPr>
          <w:rtl/>
        </w:rPr>
        <w:t xml:space="preserve"> </w:t>
      </w:r>
      <w:r w:rsidRPr="008C362D">
        <w:rPr>
          <w:rFonts w:hint="eastAsia"/>
          <w:rtl/>
        </w:rPr>
        <w:t>כי</w:t>
      </w:r>
      <w:r w:rsidRPr="008C362D">
        <w:rPr>
          <w:rtl/>
        </w:rPr>
        <w:t xml:space="preserve"> </w:t>
      </w:r>
      <w:r w:rsidRPr="008C362D">
        <w:rPr>
          <w:rFonts w:hint="eastAsia"/>
          <w:rtl/>
        </w:rPr>
        <w:t>השימוש</w:t>
      </w:r>
      <w:r w:rsidRPr="008C362D">
        <w:rPr>
          <w:rtl/>
        </w:rPr>
        <w:t xml:space="preserve"> בפסולת </w:t>
      </w:r>
      <w:r w:rsidRPr="008C362D">
        <w:rPr>
          <w:rFonts w:hint="cs"/>
          <w:rtl/>
        </w:rPr>
        <w:t xml:space="preserve">הבוצה </w:t>
      </w:r>
      <w:r w:rsidRPr="008C362D">
        <w:rPr>
          <w:rtl/>
        </w:rPr>
        <w:t xml:space="preserve">בתחומי הזיכיון נעשה </w:t>
      </w:r>
      <w:r w:rsidRPr="008C362D">
        <w:rPr>
          <w:rFonts w:hint="eastAsia"/>
          <w:rtl/>
        </w:rPr>
        <w:t>בידיעת</w:t>
      </w:r>
      <w:r w:rsidRPr="008C362D">
        <w:rPr>
          <w:rtl/>
        </w:rPr>
        <w:t xml:space="preserve"> מחוז דרום </w:t>
      </w:r>
      <w:r w:rsidRPr="008C362D">
        <w:rPr>
          <w:rFonts w:hint="eastAsia"/>
          <w:rtl/>
        </w:rPr>
        <w:t>של</w:t>
      </w:r>
      <w:r w:rsidRPr="008C362D">
        <w:rPr>
          <w:rtl/>
        </w:rPr>
        <w:t xml:space="preserve"> המשרד </w:t>
      </w:r>
      <w:r w:rsidRPr="008C362D">
        <w:rPr>
          <w:rtl/>
        </w:rPr>
        <w:t>להג"ס</w:t>
      </w:r>
      <w:r w:rsidRPr="008C362D">
        <w:rPr>
          <w:rtl/>
        </w:rPr>
        <w:t xml:space="preserve"> </w:t>
      </w:r>
      <w:r w:rsidRPr="008C362D">
        <w:rPr>
          <w:rFonts w:hint="eastAsia"/>
          <w:rtl/>
        </w:rPr>
        <w:t>בלי</w:t>
      </w:r>
      <w:r w:rsidRPr="008C362D">
        <w:rPr>
          <w:rtl/>
        </w:rPr>
        <w:t xml:space="preserve"> </w:t>
      </w:r>
      <w:r w:rsidRPr="008C362D">
        <w:rPr>
          <w:rFonts w:hint="eastAsia"/>
          <w:rtl/>
        </w:rPr>
        <w:t>שניתן</w:t>
      </w:r>
      <w:r w:rsidRPr="008C362D">
        <w:rPr>
          <w:rtl/>
        </w:rPr>
        <w:t xml:space="preserve"> </w:t>
      </w:r>
      <w:r w:rsidRPr="008C362D">
        <w:rPr>
          <w:rFonts w:hint="eastAsia"/>
          <w:rtl/>
        </w:rPr>
        <w:t>לכך</w:t>
      </w:r>
      <w:r w:rsidRPr="008C362D">
        <w:rPr>
          <w:rtl/>
        </w:rPr>
        <w:t xml:space="preserve"> </w:t>
      </w:r>
      <w:r w:rsidRPr="008C362D">
        <w:rPr>
          <w:rFonts w:hint="eastAsia"/>
          <w:rtl/>
        </w:rPr>
        <w:t>אישור</w:t>
      </w:r>
      <w:r w:rsidRPr="008C362D">
        <w:rPr>
          <w:rtl/>
        </w:rPr>
        <w:t xml:space="preserve"> </w:t>
      </w:r>
      <w:r w:rsidRPr="008C362D">
        <w:rPr>
          <w:rFonts w:hint="eastAsia"/>
          <w:rtl/>
        </w:rPr>
        <w:t>מסודר</w:t>
      </w:r>
      <w:r w:rsidRPr="008C362D">
        <w:rPr>
          <w:rtl/>
        </w:rPr>
        <w:t xml:space="preserve"> </w:t>
      </w:r>
      <w:r w:rsidRPr="008C362D">
        <w:rPr>
          <w:rFonts w:hint="eastAsia"/>
          <w:rtl/>
        </w:rPr>
        <w:t>של</w:t>
      </w:r>
      <w:r w:rsidRPr="008C362D">
        <w:rPr>
          <w:rtl/>
        </w:rPr>
        <w:t xml:space="preserve"> </w:t>
      </w:r>
      <w:r w:rsidRPr="008C362D">
        <w:rPr>
          <w:rFonts w:hint="eastAsia"/>
          <w:rtl/>
        </w:rPr>
        <w:t>גורמי</w:t>
      </w:r>
      <w:r w:rsidRPr="008C362D">
        <w:rPr>
          <w:rtl/>
        </w:rPr>
        <w:t xml:space="preserve"> </w:t>
      </w:r>
      <w:r w:rsidRPr="008C362D">
        <w:rPr>
          <w:rFonts w:hint="eastAsia"/>
          <w:rtl/>
        </w:rPr>
        <w:t>המקצוע</w:t>
      </w:r>
      <w:r w:rsidRPr="008C362D">
        <w:rPr>
          <w:rtl/>
        </w:rPr>
        <w:t xml:space="preserve"> </w:t>
      </w:r>
      <w:r w:rsidRPr="008C362D">
        <w:rPr>
          <w:rFonts w:hint="eastAsia"/>
          <w:rtl/>
        </w:rPr>
        <w:t>ב</w:t>
      </w:r>
      <w:r w:rsidRPr="008C362D">
        <w:rPr>
          <w:rFonts w:hint="cs"/>
          <w:rtl/>
        </w:rPr>
        <w:t>מטה ה</w:t>
      </w:r>
      <w:r w:rsidRPr="008C362D">
        <w:rPr>
          <w:rFonts w:hint="eastAsia"/>
          <w:rtl/>
        </w:rPr>
        <w:t>משרד</w:t>
      </w:r>
      <w:r w:rsidRPr="008C362D">
        <w:rPr>
          <w:rFonts w:hint="cs"/>
          <w:rtl/>
        </w:rPr>
        <w:t>, לרבות גורמי המקצוע אשר קבעו כי סיווג החומר הוא פסולת</w:t>
      </w:r>
      <w:r w:rsidRPr="008C362D">
        <w:rPr>
          <w:rtl/>
        </w:rPr>
        <w:t xml:space="preserve">; </w:t>
      </w:r>
      <w:r w:rsidRPr="008C362D">
        <w:rPr>
          <w:rFonts w:hint="eastAsia"/>
          <w:rtl/>
        </w:rPr>
        <w:t>ובלי</w:t>
      </w:r>
      <w:r w:rsidRPr="008C362D">
        <w:rPr>
          <w:rtl/>
        </w:rPr>
        <w:t xml:space="preserve"> שהמשרד דרש לקבל את הכמויות של הפסולת </w:t>
      </w:r>
      <w:r w:rsidRPr="008C362D">
        <w:rPr>
          <w:rFonts w:hint="eastAsia"/>
          <w:rtl/>
        </w:rPr>
        <w:t>שמי</w:t>
      </w:r>
      <w:r w:rsidRPr="008C362D">
        <w:rPr>
          <w:rtl/>
        </w:rPr>
        <w:t>"ה</w:t>
      </w:r>
      <w:r w:rsidRPr="008C362D">
        <w:rPr>
          <w:rtl/>
        </w:rPr>
        <w:t xml:space="preserve"> </w:t>
      </w:r>
      <w:r w:rsidRPr="008C362D">
        <w:rPr>
          <w:rFonts w:hint="eastAsia"/>
          <w:rtl/>
        </w:rPr>
        <w:t>עושה</w:t>
      </w:r>
      <w:r w:rsidRPr="008C362D">
        <w:rPr>
          <w:rtl/>
        </w:rPr>
        <w:t xml:space="preserve"> </w:t>
      </w:r>
      <w:r w:rsidRPr="008C362D">
        <w:rPr>
          <w:rFonts w:hint="eastAsia"/>
          <w:rtl/>
        </w:rPr>
        <w:t>בה</w:t>
      </w:r>
      <w:r w:rsidRPr="008C362D">
        <w:rPr>
          <w:rFonts w:hint="cs"/>
          <w:rtl/>
        </w:rPr>
        <w:t xml:space="preserve"> </w:t>
      </w:r>
      <w:r w:rsidRPr="008C362D">
        <w:rPr>
          <w:rFonts w:hint="eastAsia"/>
          <w:rtl/>
        </w:rPr>
        <w:t>שימוש</w:t>
      </w:r>
      <w:r w:rsidRPr="008C362D">
        <w:rPr>
          <w:rFonts w:hint="cs"/>
          <w:rtl/>
        </w:rPr>
        <w:t xml:space="preserve">. כמו כן נמצא </w:t>
      </w:r>
      <w:r w:rsidRPr="008C362D">
        <w:rPr>
          <w:rFonts w:hint="eastAsia"/>
          <w:rtl/>
        </w:rPr>
        <w:t>כי</w:t>
      </w:r>
      <w:r w:rsidRPr="008C362D">
        <w:rPr>
          <w:rtl/>
        </w:rPr>
        <w:t xml:space="preserve"> </w:t>
      </w:r>
      <w:r w:rsidRPr="008C362D">
        <w:rPr>
          <w:rFonts w:hint="eastAsia"/>
          <w:rtl/>
        </w:rPr>
        <w:t>המשרד</w:t>
      </w:r>
      <w:r w:rsidRPr="008C362D">
        <w:rPr>
          <w:rFonts w:hint="cs"/>
          <w:rtl/>
        </w:rPr>
        <w:t xml:space="preserve"> לא </w:t>
      </w:r>
      <w:r w:rsidRPr="008C362D">
        <w:rPr>
          <w:rFonts w:hint="eastAsia"/>
          <w:rtl/>
        </w:rPr>
        <w:t>קבע</w:t>
      </w:r>
      <w:r w:rsidRPr="008C362D">
        <w:rPr>
          <w:rtl/>
        </w:rPr>
        <w:t xml:space="preserve"> </w:t>
      </w:r>
      <w:r w:rsidRPr="008C362D">
        <w:rPr>
          <w:rFonts w:hint="eastAsia"/>
          <w:rtl/>
        </w:rPr>
        <w:t>מגבלות</w:t>
      </w:r>
      <w:r w:rsidRPr="008C362D">
        <w:rPr>
          <w:rtl/>
        </w:rPr>
        <w:t xml:space="preserve"> </w:t>
      </w:r>
      <w:r w:rsidRPr="008C362D">
        <w:rPr>
          <w:rFonts w:hint="eastAsia"/>
          <w:rtl/>
        </w:rPr>
        <w:t>כמותיות</w:t>
      </w:r>
      <w:r w:rsidRPr="008C362D">
        <w:rPr>
          <w:rFonts w:hint="cs"/>
          <w:rtl/>
        </w:rPr>
        <w:t xml:space="preserve"> לשימוש</w:t>
      </w:r>
      <w:r w:rsidRPr="008C362D">
        <w:rPr>
          <w:rtl/>
        </w:rPr>
        <w:t xml:space="preserve">, </w:t>
      </w:r>
      <w:r w:rsidRPr="008C362D">
        <w:rPr>
          <w:rFonts w:hint="cs"/>
          <w:rtl/>
        </w:rPr>
        <w:t>ולא</w:t>
      </w:r>
      <w:r w:rsidRPr="008C362D">
        <w:rPr>
          <w:rtl/>
        </w:rPr>
        <w:t xml:space="preserve"> אישר את המקום </w:t>
      </w:r>
      <w:r w:rsidRPr="008C362D">
        <w:rPr>
          <w:rFonts w:hint="cs"/>
          <w:rtl/>
        </w:rPr>
        <w:t xml:space="preserve">הספציפי </w:t>
      </w:r>
      <w:r w:rsidRPr="008C362D">
        <w:rPr>
          <w:rFonts w:hint="eastAsia"/>
          <w:rtl/>
        </w:rPr>
        <w:t>ש</w:t>
      </w:r>
      <w:r w:rsidRPr="008C362D">
        <w:rPr>
          <w:rtl/>
        </w:rPr>
        <w:t xml:space="preserve">בו </w:t>
      </w:r>
      <w:r w:rsidRPr="008C362D">
        <w:rPr>
          <w:rFonts w:hint="cs"/>
          <w:rtl/>
        </w:rPr>
        <w:t>תפוזר ה</w:t>
      </w:r>
      <w:r w:rsidRPr="008C362D">
        <w:rPr>
          <w:rtl/>
        </w:rPr>
        <w:t xml:space="preserve">פסולת </w:t>
      </w:r>
      <w:r w:rsidRPr="008C362D">
        <w:rPr>
          <w:rFonts w:hint="eastAsia"/>
          <w:rtl/>
        </w:rPr>
        <w:t>ומבלי</w:t>
      </w:r>
      <w:r w:rsidRPr="008C362D">
        <w:rPr>
          <w:rtl/>
        </w:rPr>
        <w:t xml:space="preserve"> </w:t>
      </w:r>
      <w:r w:rsidRPr="008C362D">
        <w:rPr>
          <w:rFonts w:hint="eastAsia"/>
          <w:rtl/>
        </w:rPr>
        <w:t>שנבדקו</w:t>
      </w:r>
      <w:r w:rsidRPr="008C362D">
        <w:rPr>
          <w:rtl/>
        </w:rPr>
        <w:t xml:space="preserve"> </w:t>
      </w:r>
      <w:r w:rsidRPr="008C362D">
        <w:rPr>
          <w:rFonts w:hint="eastAsia"/>
          <w:rtl/>
        </w:rPr>
        <w:t>ההשפעות</w:t>
      </w:r>
      <w:r w:rsidRPr="008C362D">
        <w:rPr>
          <w:rtl/>
        </w:rPr>
        <w:t xml:space="preserve"> </w:t>
      </w:r>
      <w:r w:rsidRPr="008C362D">
        <w:rPr>
          <w:rFonts w:hint="eastAsia"/>
          <w:rtl/>
        </w:rPr>
        <w:t>הסביבתיות</w:t>
      </w:r>
      <w:r w:rsidRPr="008C362D">
        <w:rPr>
          <w:rtl/>
        </w:rPr>
        <w:t xml:space="preserve"> של פעולה זו, לרבות על </w:t>
      </w:r>
      <w:r w:rsidRPr="008C362D">
        <w:rPr>
          <w:rFonts w:hint="cs"/>
          <w:rtl/>
        </w:rPr>
        <w:t xml:space="preserve">זיהום פוטנציאלי </w:t>
      </w:r>
      <w:r w:rsidRPr="008C362D">
        <w:rPr>
          <w:rFonts w:hint="eastAsia"/>
          <w:rtl/>
        </w:rPr>
        <w:t>של</w:t>
      </w:r>
      <w:r w:rsidRPr="008C362D">
        <w:rPr>
          <w:rFonts w:hint="cs"/>
          <w:rtl/>
        </w:rPr>
        <w:t xml:space="preserve"> </w:t>
      </w:r>
      <w:r w:rsidRPr="008C362D">
        <w:rPr>
          <w:rtl/>
        </w:rPr>
        <w:t>מי התהום</w:t>
      </w:r>
      <w:r w:rsidRPr="008C362D">
        <w:rPr>
          <w:rFonts w:hint="cs"/>
          <w:rtl/>
        </w:rPr>
        <w:t xml:space="preserve">. עוד נמצא כי המשרד קיבל דיווח חלקי בלבד על הכמויות </w:t>
      </w:r>
      <w:r w:rsidRPr="008C362D">
        <w:rPr>
          <w:rFonts w:hint="eastAsia"/>
          <w:rtl/>
        </w:rPr>
        <w:t>ש</w:t>
      </w:r>
      <w:r w:rsidRPr="008C362D">
        <w:rPr>
          <w:rFonts w:hint="cs"/>
          <w:rtl/>
        </w:rPr>
        <w:t>מי"ה</w:t>
      </w:r>
      <w:r w:rsidRPr="008C362D">
        <w:rPr>
          <w:rFonts w:hint="cs"/>
          <w:rtl/>
        </w:rPr>
        <w:t xml:space="preserve"> פיזרה בתחום הזיכיון</w:t>
      </w:r>
      <w:r w:rsidRPr="008C362D">
        <w:rPr>
          <w:rtl/>
        </w:rPr>
        <w:t>,</w:t>
      </w:r>
      <w:r w:rsidRPr="008C362D">
        <w:rPr>
          <w:rFonts w:hint="cs"/>
          <w:rtl/>
        </w:rPr>
        <w:t xml:space="preserve"> וגם זאת רק בדיעבד ולאחר </w:t>
      </w:r>
      <w:r w:rsidRPr="008C362D">
        <w:rPr>
          <w:rFonts w:hint="eastAsia"/>
          <w:rtl/>
        </w:rPr>
        <w:t>זמן</w:t>
      </w:r>
      <w:r w:rsidRPr="008C362D">
        <w:rPr>
          <w:rtl/>
        </w:rPr>
        <w:t xml:space="preserve"> </w:t>
      </w:r>
      <w:r w:rsidRPr="008C362D">
        <w:rPr>
          <w:rFonts w:hint="eastAsia"/>
          <w:rtl/>
        </w:rPr>
        <w:t>מה</w:t>
      </w:r>
      <w:r w:rsidRPr="008C362D">
        <w:rPr>
          <w:rFonts w:hint="cs"/>
          <w:rtl/>
        </w:rPr>
        <w:t xml:space="preserve">. </w:t>
      </w:r>
    </w:p>
    <w:p w:rsidR="006734B0" w:rsidRPr="008C362D" w:rsidP="008C362D" w14:paraId="2EE73AD1" w14:textId="77777777">
      <w:pPr>
        <w:pStyle w:val="7317"/>
        <w:rPr>
          <w:rtl/>
        </w:rPr>
      </w:pPr>
      <w:r w:rsidRPr="008C362D">
        <w:rPr>
          <w:rFonts w:hint="cs"/>
          <w:rtl/>
        </w:rPr>
        <w:t>מי"ה</w:t>
      </w:r>
      <w:r w:rsidRPr="008C362D">
        <w:rPr>
          <w:rFonts w:hint="cs"/>
          <w:rtl/>
        </w:rPr>
        <w:t xml:space="preserve"> מסרה בתשובתה למשרד </w:t>
      </w:r>
      <w:r w:rsidRPr="008C362D">
        <w:rPr>
          <w:rFonts w:hint="eastAsia"/>
          <w:rtl/>
        </w:rPr>
        <w:t>מבקר</w:t>
      </w:r>
      <w:r w:rsidRPr="008C362D">
        <w:rPr>
          <w:rtl/>
        </w:rPr>
        <w:t xml:space="preserve"> המדינה </w:t>
      </w:r>
      <w:r w:rsidRPr="008C362D">
        <w:rPr>
          <w:rFonts w:hint="eastAsia"/>
          <w:rtl/>
        </w:rPr>
        <w:t>כי</w:t>
      </w:r>
      <w:r w:rsidRPr="008C362D">
        <w:rPr>
          <w:rFonts w:hint="cs"/>
          <w:rtl/>
        </w:rPr>
        <w:t xml:space="preserve"> </w:t>
      </w:r>
      <w:r w:rsidRPr="008C362D">
        <w:rPr>
          <w:rFonts w:hint="eastAsia"/>
          <w:rtl/>
        </w:rPr>
        <w:t>לפי</w:t>
      </w:r>
      <w:r w:rsidRPr="008C362D">
        <w:rPr>
          <w:rtl/>
        </w:rPr>
        <w:t xml:space="preserve"> </w:t>
      </w:r>
      <w:r w:rsidRPr="008C362D">
        <w:rPr>
          <w:rFonts w:hint="eastAsia"/>
          <w:rtl/>
        </w:rPr>
        <w:t>עמדתה</w:t>
      </w:r>
      <w:r w:rsidRPr="008C362D">
        <w:rPr>
          <w:rFonts w:hint="cs"/>
          <w:rtl/>
        </w:rPr>
        <w:t xml:space="preserve"> זוהי </w:t>
      </w:r>
      <w:r w:rsidRPr="008C362D">
        <w:rPr>
          <w:rtl/>
        </w:rPr>
        <w:t>דוגמ</w:t>
      </w:r>
      <w:r w:rsidRPr="008C362D">
        <w:rPr>
          <w:rFonts w:hint="eastAsia"/>
          <w:rtl/>
        </w:rPr>
        <w:t>ה</w:t>
      </w:r>
      <w:r w:rsidRPr="008C362D">
        <w:rPr>
          <w:rtl/>
        </w:rPr>
        <w:t xml:space="preserve"> להתנהלות סביבתית נכונה</w:t>
      </w:r>
      <w:r w:rsidRPr="008C362D">
        <w:rPr>
          <w:rFonts w:hint="cs"/>
          <w:rtl/>
        </w:rPr>
        <w:t xml:space="preserve"> של </w:t>
      </w:r>
      <w:r w:rsidRPr="008C362D">
        <w:rPr>
          <w:rtl/>
        </w:rPr>
        <w:t xml:space="preserve">כלכלה מעגלית, </w:t>
      </w:r>
      <w:r w:rsidRPr="008C362D">
        <w:rPr>
          <w:rFonts w:hint="eastAsia"/>
          <w:rtl/>
        </w:rPr>
        <w:t>שבמסגרתה</w:t>
      </w:r>
      <w:r w:rsidRPr="008C362D">
        <w:rPr>
          <w:rtl/>
        </w:rPr>
        <w:t xml:space="preserve"> תוצרי לוואי רבים בפס ייצור אחד משמשים חומר גלם בפס ייצור אחר.</w:t>
      </w:r>
      <w:r w:rsidRPr="008C362D">
        <w:rPr>
          <w:rFonts w:hint="cs"/>
          <w:rtl/>
        </w:rPr>
        <w:t xml:space="preserve"> </w:t>
      </w:r>
      <w:r w:rsidRPr="008C362D">
        <w:rPr>
          <w:rFonts w:hint="eastAsia"/>
          <w:rtl/>
        </w:rPr>
        <w:t>עוד</w:t>
      </w:r>
      <w:r w:rsidRPr="008C362D">
        <w:rPr>
          <w:rtl/>
        </w:rPr>
        <w:t xml:space="preserve"> </w:t>
      </w:r>
      <w:r w:rsidRPr="008C362D">
        <w:rPr>
          <w:rFonts w:hint="eastAsia"/>
          <w:rtl/>
        </w:rPr>
        <w:t>מסרה</w:t>
      </w:r>
      <w:r w:rsidRPr="008C362D">
        <w:rPr>
          <w:rtl/>
        </w:rPr>
        <w:t xml:space="preserve"> </w:t>
      </w:r>
      <w:r w:rsidRPr="008C362D">
        <w:rPr>
          <w:rtl/>
        </w:rPr>
        <w:t>מי"ה</w:t>
      </w:r>
      <w:r w:rsidRPr="008C362D">
        <w:rPr>
          <w:rtl/>
        </w:rPr>
        <w:t xml:space="preserve"> כי</w:t>
      </w:r>
      <w:r w:rsidRPr="008C362D">
        <w:rPr>
          <w:rFonts w:hint="cs"/>
          <w:rtl/>
        </w:rPr>
        <w:t xml:space="preserve"> היא הציגה למשרד </w:t>
      </w:r>
      <w:r w:rsidRPr="008C362D">
        <w:rPr>
          <w:rFonts w:hint="cs"/>
          <w:rtl/>
        </w:rPr>
        <w:t>להג"ס</w:t>
      </w:r>
      <w:r w:rsidRPr="008C362D">
        <w:rPr>
          <w:rFonts w:hint="cs"/>
          <w:rtl/>
        </w:rPr>
        <w:t xml:space="preserve"> ת</w:t>
      </w:r>
      <w:r w:rsidRPr="008C362D">
        <w:rPr>
          <w:rFonts w:hint="eastAsia"/>
          <w:rtl/>
        </w:rPr>
        <w:t>ו</w:t>
      </w:r>
      <w:r w:rsidRPr="008C362D">
        <w:rPr>
          <w:rFonts w:hint="cs"/>
          <w:rtl/>
        </w:rPr>
        <w:t xml:space="preserve">כנית שיקום לאתר, בהתאם למועד שנקבע בתנאי רישיון העסק. </w:t>
      </w:r>
    </w:p>
    <w:p w:rsidR="006734B0" w:rsidRPr="008C362D" w:rsidP="008C362D" w14:paraId="77C833B9" w14:textId="60A56526">
      <w:pPr>
        <w:pStyle w:val="7310"/>
        <w:rPr>
          <w:rtl/>
        </w:rPr>
      </w:pPr>
      <w:r w:rsidRPr="008C362D">
        <w:rPr>
          <w:rFonts w:hint="cs"/>
          <w:rtl/>
        </w:rPr>
        <w:t xml:space="preserve">משרד מבקר המדינה </w:t>
      </w:r>
      <w:r w:rsidRPr="008C362D">
        <w:rPr>
          <w:rFonts w:hint="eastAsia"/>
          <w:rtl/>
        </w:rPr>
        <w:t>מעיר</w:t>
      </w:r>
      <w:r w:rsidRPr="008C362D">
        <w:rPr>
          <w:rtl/>
        </w:rPr>
        <w:t xml:space="preserve"> </w:t>
      </w:r>
      <w:r w:rsidRPr="008C362D">
        <w:rPr>
          <w:rFonts w:hint="eastAsia"/>
          <w:rtl/>
        </w:rPr>
        <w:t>למשרד</w:t>
      </w:r>
      <w:r w:rsidRPr="008C362D">
        <w:rPr>
          <w:rtl/>
        </w:rPr>
        <w:t xml:space="preserve"> </w:t>
      </w:r>
      <w:r w:rsidRPr="008C362D">
        <w:rPr>
          <w:rFonts w:hint="eastAsia"/>
          <w:rtl/>
        </w:rPr>
        <w:t>להג</w:t>
      </w:r>
      <w:r w:rsidRPr="008C362D">
        <w:rPr>
          <w:rtl/>
        </w:rPr>
        <w:t>"ס</w:t>
      </w:r>
      <w:r w:rsidRPr="008C362D">
        <w:rPr>
          <w:rtl/>
        </w:rPr>
        <w:t xml:space="preserve"> </w:t>
      </w:r>
      <w:r w:rsidRPr="008C362D">
        <w:rPr>
          <w:rFonts w:hint="eastAsia"/>
          <w:rtl/>
        </w:rPr>
        <w:t>על</w:t>
      </w:r>
      <w:r w:rsidRPr="008C362D">
        <w:rPr>
          <w:rtl/>
        </w:rPr>
        <w:t xml:space="preserve"> </w:t>
      </w:r>
      <w:r w:rsidRPr="008C362D">
        <w:rPr>
          <w:rFonts w:hint="cs"/>
          <w:rtl/>
        </w:rPr>
        <w:t xml:space="preserve">התנהלותו בכל הנוגע לפסולת הבוצה המלחית: בסמוך לקביעתו שמדובר בפסולת ולא בתוצר לוואי הוא </w:t>
      </w:r>
      <w:r w:rsidRPr="008C362D">
        <w:rPr>
          <w:rFonts w:hint="cs"/>
          <w:rtl/>
        </w:rPr>
        <w:t>א</w:t>
      </w:r>
      <w:r w:rsidRPr="008C362D">
        <w:rPr>
          <w:rFonts w:hint="eastAsia"/>
          <w:rtl/>
        </w:rPr>
        <w:t>י</w:t>
      </w:r>
      <w:r w:rsidRPr="008C362D">
        <w:rPr>
          <w:rFonts w:hint="cs"/>
          <w:rtl/>
        </w:rPr>
        <w:t>פשר</w:t>
      </w:r>
      <w:r w:rsidRPr="008C362D">
        <w:rPr>
          <w:rFonts w:hint="cs"/>
          <w:rtl/>
        </w:rPr>
        <w:t xml:space="preserve"> </w:t>
      </w:r>
      <w:r w:rsidRPr="008C362D">
        <w:rPr>
          <w:rFonts w:hint="cs"/>
          <w:rtl/>
        </w:rPr>
        <w:t>למי"ה</w:t>
      </w:r>
      <w:r w:rsidRPr="008C362D">
        <w:rPr>
          <w:rFonts w:hint="cs"/>
          <w:rtl/>
        </w:rPr>
        <w:t xml:space="preserve"> לפזר פסולת זו בתחום הזיכיון ולהשתמש בה לצרכיה, ללא בקרה מספקת ו</w:t>
      </w:r>
      <w:r w:rsidRPr="008C362D">
        <w:rPr>
          <w:rFonts w:hint="eastAsia"/>
          <w:rtl/>
        </w:rPr>
        <w:t>ב</w:t>
      </w:r>
      <w:r w:rsidRPr="008C362D">
        <w:rPr>
          <w:rFonts w:hint="cs"/>
          <w:rtl/>
        </w:rPr>
        <w:t xml:space="preserve">לא שקבע לעניין מגבלות, ובלא שניתן </w:t>
      </w:r>
      <w:r w:rsidRPr="008C362D">
        <w:rPr>
          <w:rFonts w:hint="eastAsia"/>
          <w:rtl/>
        </w:rPr>
        <w:t>לכך</w:t>
      </w:r>
      <w:r w:rsidRPr="008C362D">
        <w:rPr>
          <w:rFonts w:hint="cs"/>
          <w:rtl/>
        </w:rPr>
        <w:t xml:space="preserve"> אישור מסודר מגורמי המקצוע במשרד לרבות גורמי המקצוע אשר קבעו כי סיווג החומר הוא פסולת. </w:t>
      </w:r>
      <w:r w:rsidRPr="008C362D">
        <w:rPr>
          <w:rFonts w:hint="eastAsia"/>
          <w:rtl/>
        </w:rPr>
        <w:t>על</w:t>
      </w:r>
      <w:r w:rsidRPr="008C362D">
        <w:rPr>
          <w:rtl/>
        </w:rPr>
        <w:t xml:space="preserve"> </w:t>
      </w:r>
      <w:r w:rsidRPr="008C362D">
        <w:rPr>
          <w:rFonts w:hint="eastAsia"/>
          <w:rtl/>
        </w:rPr>
        <w:t>המשרד</w:t>
      </w:r>
      <w:r w:rsidRPr="008C362D">
        <w:rPr>
          <w:rtl/>
        </w:rPr>
        <w:t xml:space="preserve"> </w:t>
      </w:r>
      <w:r w:rsidRPr="008C362D">
        <w:rPr>
          <w:rFonts w:hint="cs"/>
          <w:rtl/>
        </w:rPr>
        <w:t>להג"ס</w:t>
      </w:r>
      <w:r w:rsidRPr="008C362D">
        <w:rPr>
          <w:rFonts w:hint="cs"/>
          <w:rtl/>
        </w:rPr>
        <w:t xml:space="preserve"> </w:t>
      </w:r>
      <w:r w:rsidRPr="008C362D">
        <w:rPr>
          <w:rFonts w:hint="eastAsia"/>
          <w:rtl/>
        </w:rPr>
        <w:t>לקבל</w:t>
      </w:r>
      <w:r w:rsidRPr="008C362D">
        <w:rPr>
          <w:rtl/>
        </w:rPr>
        <w:t xml:space="preserve"> </w:t>
      </w:r>
      <w:r w:rsidRPr="008C362D">
        <w:rPr>
          <w:rFonts w:hint="eastAsia"/>
          <w:rtl/>
        </w:rPr>
        <w:t>את</w:t>
      </w:r>
      <w:r w:rsidRPr="008C362D">
        <w:rPr>
          <w:rtl/>
        </w:rPr>
        <w:t xml:space="preserve"> </w:t>
      </w:r>
      <w:r w:rsidRPr="008C362D">
        <w:rPr>
          <w:rFonts w:hint="eastAsia"/>
          <w:rtl/>
        </w:rPr>
        <w:t>מלוא</w:t>
      </w:r>
      <w:r w:rsidRPr="008C362D">
        <w:rPr>
          <w:rtl/>
        </w:rPr>
        <w:t xml:space="preserve"> </w:t>
      </w:r>
      <w:r w:rsidRPr="008C362D">
        <w:rPr>
          <w:rFonts w:hint="eastAsia"/>
          <w:rtl/>
        </w:rPr>
        <w:t>הנתו</w:t>
      </w:r>
      <w:r w:rsidRPr="008C362D">
        <w:rPr>
          <w:rFonts w:hint="cs"/>
          <w:rtl/>
        </w:rPr>
        <w:t>נ</w:t>
      </w:r>
      <w:r w:rsidRPr="008C362D">
        <w:rPr>
          <w:rFonts w:hint="eastAsia"/>
          <w:rtl/>
        </w:rPr>
        <w:t>ים</w:t>
      </w:r>
      <w:r w:rsidRPr="008C362D">
        <w:rPr>
          <w:rtl/>
        </w:rPr>
        <w:t xml:space="preserve"> </w:t>
      </w:r>
      <w:r w:rsidRPr="008C362D">
        <w:rPr>
          <w:rFonts w:hint="eastAsia"/>
          <w:rtl/>
        </w:rPr>
        <w:t>בנוגע</w:t>
      </w:r>
      <w:r w:rsidRPr="008C362D">
        <w:rPr>
          <w:rFonts w:hint="cs"/>
          <w:rtl/>
        </w:rPr>
        <w:t xml:space="preserve"> לשימוש </w:t>
      </w:r>
      <w:r w:rsidRPr="008C362D">
        <w:rPr>
          <w:rFonts w:hint="cs"/>
          <w:rtl/>
        </w:rPr>
        <w:t>שמי"ה</w:t>
      </w:r>
      <w:r w:rsidRPr="008C362D">
        <w:rPr>
          <w:rFonts w:hint="cs"/>
          <w:rtl/>
        </w:rPr>
        <w:t xml:space="preserve"> מבצעת בפסולת הבוצה המלחית </w:t>
      </w:r>
      <w:r w:rsidRPr="008C362D">
        <w:rPr>
          <w:rFonts w:hint="eastAsia"/>
          <w:rtl/>
        </w:rPr>
        <w:t>ולבצע</w:t>
      </w:r>
      <w:r w:rsidRPr="008C362D">
        <w:rPr>
          <w:rtl/>
        </w:rPr>
        <w:t xml:space="preserve"> </w:t>
      </w:r>
      <w:r w:rsidRPr="008C362D">
        <w:rPr>
          <w:rFonts w:hint="eastAsia"/>
          <w:rtl/>
        </w:rPr>
        <w:t>הליך</w:t>
      </w:r>
      <w:r w:rsidRPr="008C362D">
        <w:rPr>
          <w:rtl/>
        </w:rPr>
        <w:t xml:space="preserve"> </w:t>
      </w:r>
      <w:r w:rsidRPr="008C362D">
        <w:rPr>
          <w:rFonts w:hint="eastAsia"/>
          <w:rtl/>
        </w:rPr>
        <w:t>קבלת</w:t>
      </w:r>
      <w:r w:rsidRPr="008C362D">
        <w:rPr>
          <w:rtl/>
        </w:rPr>
        <w:t xml:space="preserve"> </w:t>
      </w:r>
      <w:r w:rsidRPr="008C362D">
        <w:rPr>
          <w:rFonts w:hint="eastAsia"/>
          <w:rtl/>
        </w:rPr>
        <w:t>החלטות</w:t>
      </w:r>
      <w:r w:rsidRPr="008C362D">
        <w:rPr>
          <w:rtl/>
        </w:rPr>
        <w:t xml:space="preserve"> </w:t>
      </w:r>
      <w:r w:rsidRPr="008C362D">
        <w:rPr>
          <w:rFonts w:hint="eastAsia"/>
          <w:rtl/>
        </w:rPr>
        <w:t>מסודר</w:t>
      </w:r>
      <w:r w:rsidRPr="008C362D">
        <w:rPr>
          <w:rtl/>
        </w:rPr>
        <w:t xml:space="preserve"> </w:t>
      </w:r>
      <w:r w:rsidRPr="008C362D">
        <w:rPr>
          <w:rFonts w:hint="eastAsia"/>
          <w:rtl/>
        </w:rPr>
        <w:t>ומקצועי</w:t>
      </w:r>
      <w:r w:rsidRPr="008C362D">
        <w:rPr>
          <w:rtl/>
        </w:rPr>
        <w:t xml:space="preserve"> ל</w:t>
      </w:r>
      <w:r w:rsidRPr="008C362D">
        <w:rPr>
          <w:rFonts w:hint="eastAsia"/>
          <w:rtl/>
        </w:rPr>
        <w:t>גבי</w:t>
      </w:r>
      <w:r w:rsidRPr="008C362D">
        <w:rPr>
          <w:rtl/>
        </w:rPr>
        <w:t xml:space="preserve"> </w:t>
      </w:r>
      <w:r w:rsidRPr="008C362D">
        <w:rPr>
          <w:rFonts w:hint="eastAsia"/>
          <w:rtl/>
        </w:rPr>
        <w:t>ה</w:t>
      </w:r>
      <w:r w:rsidRPr="008C362D">
        <w:rPr>
          <w:rtl/>
        </w:rPr>
        <w:t xml:space="preserve">שאלה אם יש מקום לאפשר </w:t>
      </w:r>
      <w:r w:rsidRPr="008C362D">
        <w:rPr>
          <w:rFonts w:hint="cs"/>
          <w:rtl/>
        </w:rPr>
        <w:t>למי"ה</w:t>
      </w:r>
      <w:r w:rsidRPr="008C362D">
        <w:rPr>
          <w:rFonts w:hint="cs"/>
          <w:rtl/>
        </w:rPr>
        <w:t xml:space="preserve"> </w:t>
      </w:r>
      <w:r w:rsidRPr="008C362D">
        <w:rPr>
          <w:rFonts w:hint="eastAsia"/>
          <w:rtl/>
        </w:rPr>
        <w:t>לנקוט</w:t>
      </w:r>
      <w:r w:rsidRPr="008C362D">
        <w:rPr>
          <w:rFonts w:hint="cs"/>
          <w:rtl/>
        </w:rPr>
        <w:t xml:space="preserve"> </w:t>
      </w:r>
      <w:r w:rsidRPr="008C362D">
        <w:rPr>
          <w:rtl/>
        </w:rPr>
        <w:t>פרקטיקה זו</w:t>
      </w:r>
      <w:r w:rsidRPr="008C362D">
        <w:rPr>
          <w:rFonts w:hint="cs"/>
          <w:rtl/>
        </w:rPr>
        <w:t xml:space="preserve"> לאחר שהוא </w:t>
      </w:r>
      <w:r w:rsidRPr="0029517F" w:rsidR="0029517F">
        <w:rPr>
          <w:rtl/>
        </w:rPr>
        <w:t>ישתכנע</w:t>
      </w:r>
      <w:r w:rsidR="0029517F">
        <w:rPr>
          <w:rFonts w:hint="cs"/>
          <w:rtl/>
        </w:rPr>
        <w:t xml:space="preserve"> </w:t>
      </w:r>
      <w:r w:rsidRPr="008C362D">
        <w:rPr>
          <w:rFonts w:hint="cs"/>
          <w:rtl/>
        </w:rPr>
        <w:t xml:space="preserve">כי השימוש </w:t>
      </w:r>
      <w:r w:rsidRPr="008C362D">
        <w:rPr>
          <w:rFonts w:hint="eastAsia"/>
          <w:rtl/>
        </w:rPr>
        <w:t>שלה</w:t>
      </w:r>
      <w:r w:rsidRPr="008C362D">
        <w:rPr>
          <w:rtl/>
        </w:rPr>
        <w:t xml:space="preserve"> </w:t>
      </w:r>
      <w:r w:rsidRPr="008C362D">
        <w:rPr>
          <w:rFonts w:hint="eastAsia"/>
          <w:rtl/>
        </w:rPr>
        <w:t>בפסולת</w:t>
      </w:r>
      <w:r w:rsidRPr="008C362D">
        <w:rPr>
          <w:rFonts w:hint="cs"/>
        </w:rPr>
        <w:t xml:space="preserve"> </w:t>
      </w:r>
      <w:r w:rsidRPr="008C362D">
        <w:rPr>
          <w:rFonts w:hint="eastAsia"/>
          <w:rtl/>
        </w:rPr>
        <w:t>אינו</w:t>
      </w:r>
      <w:r w:rsidRPr="008C362D">
        <w:rPr>
          <w:rFonts w:hint="cs"/>
          <w:rtl/>
        </w:rPr>
        <w:t xml:space="preserve"> פוגע בסביבה, ולקבוע אמצעי בקרה ומעקב </w:t>
      </w:r>
      <w:r w:rsidRPr="008C362D">
        <w:rPr>
          <w:rFonts w:hint="eastAsia"/>
          <w:rtl/>
        </w:rPr>
        <w:t>כדי</w:t>
      </w:r>
      <w:r w:rsidRPr="008C362D">
        <w:rPr>
          <w:rFonts w:hint="cs"/>
          <w:rtl/>
        </w:rPr>
        <w:t xml:space="preserve"> לוודא כי לא נגרמים מפגעים סביבתיים </w:t>
      </w:r>
      <w:r w:rsidRPr="008C362D">
        <w:rPr>
          <w:rFonts w:hint="eastAsia"/>
          <w:rtl/>
        </w:rPr>
        <w:t>בעקבות</w:t>
      </w:r>
      <w:r w:rsidRPr="008C362D">
        <w:rPr>
          <w:rFonts w:hint="cs"/>
          <w:rtl/>
        </w:rPr>
        <w:t xml:space="preserve"> שימוש זה. </w:t>
      </w:r>
    </w:p>
    <w:p w:rsidR="006734B0" w:rsidRPr="008C362D" w:rsidP="0029517F" w14:paraId="6807526A" w14:textId="44264616">
      <w:pPr>
        <w:pStyle w:val="7310"/>
        <w:rPr>
          <w:rtl/>
        </w:rPr>
      </w:pPr>
      <w:r w:rsidRPr="008C362D">
        <w:rPr>
          <w:rFonts w:hint="cs"/>
          <w:rtl/>
        </w:rPr>
        <w:t xml:space="preserve">יצוין כי בביקורת נמצא עוד מקרה אחד </w:t>
      </w:r>
      <w:r w:rsidR="00727D4C">
        <w:rPr>
          <w:rFonts w:hint="cs"/>
          <w:rtl/>
        </w:rPr>
        <w:t>ש</w:t>
      </w:r>
      <w:r w:rsidRPr="008C362D">
        <w:rPr>
          <w:rFonts w:hint="cs"/>
          <w:rtl/>
        </w:rPr>
        <w:t xml:space="preserve">בו פסולת הוטמנה בתחום הזיכיון: </w:t>
      </w:r>
      <w:r w:rsidRPr="008C362D">
        <w:rPr>
          <w:rtl/>
        </w:rPr>
        <w:t xml:space="preserve">מפעל א' </w:t>
      </w:r>
      <w:r w:rsidRPr="008C362D">
        <w:rPr>
          <w:rFonts w:hint="cs"/>
          <w:rtl/>
        </w:rPr>
        <w:t xml:space="preserve">שהוא חלק מתשלובת </w:t>
      </w:r>
      <w:r w:rsidRPr="008C362D">
        <w:rPr>
          <w:rFonts w:hint="cs"/>
          <w:rtl/>
        </w:rPr>
        <w:t>כי"ל</w:t>
      </w:r>
      <w:r w:rsidRPr="008C362D">
        <w:rPr>
          <w:rFonts w:hint="cs"/>
          <w:rtl/>
        </w:rPr>
        <w:t xml:space="preserve">, דיווח במסגרת </w:t>
      </w:r>
      <w:r w:rsidRPr="008C362D">
        <w:rPr>
          <w:rFonts w:hint="eastAsia"/>
          <w:rtl/>
        </w:rPr>
        <w:t>דיווח</w:t>
      </w:r>
      <w:r w:rsidRPr="008C362D">
        <w:rPr>
          <w:rFonts w:hint="cs"/>
          <w:rtl/>
        </w:rPr>
        <w:t xml:space="preserve"> </w:t>
      </w:r>
      <w:r w:rsidRPr="008C362D">
        <w:rPr>
          <w:rtl/>
        </w:rPr>
        <w:t>למרשם הפליטות לסביבה</w:t>
      </w:r>
      <w:r>
        <w:rPr>
          <w:rStyle w:val="FootnoteReference1"/>
          <w:rtl/>
        </w:rPr>
        <w:footnoteReference w:id="73"/>
      </w:r>
      <w:r w:rsidRPr="008C362D">
        <w:rPr>
          <w:rtl/>
        </w:rPr>
        <w:t xml:space="preserve"> לשנת 2022, כי הוא העביר 15,300 טונות של תחמוצת מגנזיום למילוי </w:t>
      </w:r>
      <w:r w:rsidRPr="008C362D">
        <w:rPr>
          <w:rFonts w:hint="eastAsia"/>
          <w:rtl/>
        </w:rPr>
        <w:t>בולענים</w:t>
      </w:r>
      <w:r w:rsidRPr="008C362D">
        <w:rPr>
          <w:rtl/>
        </w:rPr>
        <w:t xml:space="preserve"> בשטח הזיכיון. </w:t>
      </w:r>
      <w:r w:rsidRPr="008C362D">
        <w:rPr>
          <w:rFonts w:hint="cs"/>
          <w:rtl/>
        </w:rPr>
        <w:t xml:space="preserve">מבירור מול המשרד </w:t>
      </w:r>
      <w:r w:rsidRPr="008C362D">
        <w:rPr>
          <w:rFonts w:hint="cs"/>
          <w:rtl/>
        </w:rPr>
        <w:t>להג"ס</w:t>
      </w:r>
      <w:r w:rsidRPr="008C362D">
        <w:rPr>
          <w:rFonts w:hint="cs"/>
          <w:rtl/>
        </w:rPr>
        <w:t xml:space="preserve"> עלה כי מחוז דרום במשרד נתן אישור להטמנה האמורה, אולם </w:t>
      </w:r>
      <w:r w:rsidRPr="008C362D">
        <w:rPr>
          <w:rtl/>
        </w:rPr>
        <w:t xml:space="preserve">אגף פסולת במשרד </w:t>
      </w:r>
      <w:r w:rsidRPr="008C362D">
        <w:rPr>
          <w:rFonts w:hint="eastAsia"/>
          <w:rtl/>
        </w:rPr>
        <w:t>לא</w:t>
      </w:r>
      <w:r w:rsidRPr="008C362D">
        <w:rPr>
          <w:rtl/>
        </w:rPr>
        <w:t xml:space="preserve"> היה מודע ל</w:t>
      </w:r>
      <w:r w:rsidRPr="008C362D">
        <w:rPr>
          <w:rFonts w:hint="cs"/>
          <w:rtl/>
        </w:rPr>
        <w:t xml:space="preserve">כך </w:t>
      </w:r>
      <w:r w:rsidRPr="008C362D">
        <w:rPr>
          <w:rtl/>
        </w:rPr>
        <w:t>ולא נתן את אישורו</w:t>
      </w:r>
      <w:r w:rsidRPr="008C362D">
        <w:rPr>
          <w:rFonts w:hint="cs"/>
          <w:rtl/>
        </w:rPr>
        <w:t xml:space="preserve"> </w:t>
      </w:r>
      <w:r w:rsidRPr="008C362D">
        <w:rPr>
          <w:rFonts w:hint="eastAsia"/>
          <w:rtl/>
        </w:rPr>
        <w:t>להטמנה</w:t>
      </w:r>
      <w:r w:rsidRPr="008C362D">
        <w:rPr>
          <w:rtl/>
        </w:rPr>
        <w:t xml:space="preserve">. </w:t>
      </w:r>
    </w:p>
    <w:p w:rsidR="006734B0" w:rsidRPr="00B0225E" w:rsidP="008C362D" w14:paraId="7BF19541" w14:textId="29AC9E6C">
      <w:pPr>
        <w:pStyle w:val="7317"/>
        <w:rPr>
          <w:rtl/>
        </w:rPr>
      </w:pPr>
      <w:r w:rsidRPr="00944B20">
        <w:rPr>
          <w:rFonts w:hint="cs"/>
          <w:rtl/>
        </w:rPr>
        <w:t xml:space="preserve">המשרד </w:t>
      </w:r>
      <w:r w:rsidRPr="00944B20">
        <w:rPr>
          <w:rFonts w:hint="cs"/>
          <w:rtl/>
        </w:rPr>
        <w:t>להג"ס</w:t>
      </w:r>
      <w:r w:rsidRPr="00944B20">
        <w:rPr>
          <w:rFonts w:hint="cs"/>
          <w:rtl/>
        </w:rPr>
        <w:t xml:space="preserve"> מסר בתשובה משלימה כי</w:t>
      </w:r>
      <w:r>
        <w:rPr>
          <w:rFonts w:hint="cs"/>
          <w:rtl/>
        </w:rPr>
        <w:t xml:space="preserve"> לא בהכרח נדרש אישור של מטה המשרד לעניין השימוש בפסולת בשטח הזיכיון, כי דיווחי הכמויות </w:t>
      </w:r>
      <w:r>
        <w:rPr>
          <w:rFonts w:hint="cs"/>
          <w:rtl/>
        </w:rPr>
        <w:t>שמי"ה</w:t>
      </w:r>
      <w:r>
        <w:rPr>
          <w:rFonts w:hint="cs"/>
          <w:rtl/>
        </w:rPr>
        <w:t xml:space="preserve"> העבירה הם מספקים מבחינה מקצועית, וכי המשרד לא מאשר פיזור פסולת ככלל ובענייננו לא מדובר בפיזור פסולת</w:t>
      </w:r>
      <w:r w:rsidRPr="002A53FA">
        <w:rPr>
          <w:rFonts w:hint="cs"/>
          <w:rtl/>
        </w:rPr>
        <w:t xml:space="preserve">. </w:t>
      </w:r>
      <w:r w:rsidRPr="002A53FA">
        <w:rPr>
          <w:rFonts w:hint="eastAsia"/>
          <w:rtl/>
        </w:rPr>
        <w:t>עוד</w:t>
      </w:r>
      <w:r w:rsidRPr="002A53FA">
        <w:rPr>
          <w:rtl/>
        </w:rPr>
        <w:t xml:space="preserve"> </w:t>
      </w:r>
      <w:r w:rsidRPr="002A53FA">
        <w:rPr>
          <w:rFonts w:hint="eastAsia"/>
          <w:rtl/>
        </w:rPr>
        <w:t>מסר</w:t>
      </w:r>
      <w:r w:rsidRPr="002A53FA">
        <w:rPr>
          <w:rtl/>
        </w:rPr>
        <w:t xml:space="preserve"> </w:t>
      </w:r>
      <w:r w:rsidRPr="002A53FA">
        <w:rPr>
          <w:rFonts w:hint="eastAsia"/>
          <w:rtl/>
        </w:rPr>
        <w:t>המשרד</w:t>
      </w:r>
      <w:r w:rsidRPr="002A53FA">
        <w:rPr>
          <w:rtl/>
        </w:rPr>
        <w:t xml:space="preserve"> </w:t>
      </w:r>
      <w:r w:rsidRPr="002A53FA">
        <w:rPr>
          <w:rFonts w:hint="eastAsia"/>
          <w:rtl/>
        </w:rPr>
        <w:t>כי</w:t>
      </w:r>
      <w:r w:rsidRPr="002A53FA">
        <w:rPr>
          <w:rFonts w:hint="cs"/>
          <w:rtl/>
        </w:rPr>
        <w:t xml:space="preserve"> </w:t>
      </w:r>
      <w:r w:rsidRPr="002A53FA">
        <w:rPr>
          <w:rFonts w:hint="cs"/>
          <w:rtl/>
        </w:rPr>
        <w:t>מי"ה</w:t>
      </w:r>
      <w:r w:rsidRPr="002A53FA">
        <w:rPr>
          <w:rFonts w:hint="cs"/>
          <w:rtl/>
        </w:rPr>
        <w:t xml:space="preserve"> טרם הגישה ת</w:t>
      </w:r>
      <w:r w:rsidRPr="002A53FA">
        <w:rPr>
          <w:rFonts w:hint="eastAsia"/>
          <w:rtl/>
        </w:rPr>
        <w:t>ו</w:t>
      </w:r>
      <w:r w:rsidRPr="002A53FA">
        <w:rPr>
          <w:rFonts w:hint="cs"/>
          <w:rtl/>
        </w:rPr>
        <w:t>כנית</w:t>
      </w:r>
      <w:r w:rsidRPr="00C92DA4">
        <w:rPr>
          <w:rFonts w:hint="cs"/>
          <w:rtl/>
        </w:rPr>
        <w:t xml:space="preserve"> אסדרה מלאה</w:t>
      </w:r>
      <w:r>
        <w:rPr>
          <w:rFonts w:hint="cs"/>
          <w:rtl/>
        </w:rPr>
        <w:t xml:space="preserve"> לאתר הבוצה המלחית, </w:t>
      </w:r>
      <w:r w:rsidRPr="00C92DA4">
        <w:rPr>
          <w:rFonts w:hint="cs"/>
          <w:rtl/>
        </w:rPr>
        <w:t>הכוללת אבני דרך ולוחות זמנים</w:t>
      </w:r>
      <w:r>
        <w:rPr>
          <w:rFonts w:hint="cs"/>
          <w:rtl/>
        </w:rPr>
        <w:t xml:space="preserve">. </w:t>
      </w:r>
    </w:p>
    <w:p w:rsidR="006734B0" w:rsidRPr="008C362D" w:rsidP="008C362D" w14:paraId="7DF7DC44" w14:textId="77777777">
      <w:pPr>
        <w:pStyle w:val="7310"/>
        <w:rPr>
          <w:rtl/>
        </w:rPr>
      </w:pPr>
      <w:r w:rsidRPr="008C362D">
        <w:rPr>
          <w:rFonts w:hint="cs"/>
          <w:rtl/>
        </w:rPr>
        <w:t xml:space="preserve">על המשרד </w:t>
      </w:r>
      <w:r w:rsidRPr="008C362D">
        <w:rPr>
          <w:rFonts w:hint="cs"/>
          <w:rtl/>
        </w:rPr>
        <w:t>להג"ס</w:t>
      </w:r>
      <w:r w:rsidRPr="008C362D">
        <w:rPr>
          <w:rFonts w:hint="cs"/>
          <w:rtl/>
        </w:rPr>
        <w:t xml:space="preserve"> לוודא כי הפרקטיקה של פיזור פסולות בתחום הזיכיון לצורך מילוי </w:t>
      </w:r>
      <w:r w:rsidRPr="008C362D">
        <w:rPr>
          <w:rFonts w:hint="cs"/>
          <w:rtl/>
        </w:rPr>
        <w:t>בולענים</w:t>
      </w:r>
      <w:r w:rsidRPr="008C362D">
        <w:rPr>
          <w:rFonts w:hint="cs"/>
          <w:rtl/>
        </w:rPr>
        <w:t xml:space="preserve"> או לשימוש </w:t>
      </w:r>
      <w:r w:rsidRPr="008C362D">
        <w:rPr>
          <w:rFonts w:hint="cs"/>
          <w:rtl/>
        </w:rPr>
        <w:t>מי"ה</w:t>
      </w:r>
      <w:r w:rsidRPr="008C362D">
        <w:rPr>
          <w:rFonts w:hint="cs"/>
          <w:rtl/>
        </w:rPr>
        <w:t xml:space="preserve"> מקובלת על גורמי המקצוע במשרד, וכי היא לא משמשת תחליף לטיפול בפסולת ולהעברת הפסולת לאתר סילוק מתאים ולתשלום היטל הטמנה בגינה. </w:t>
      </w:r>
    </w:p>
    <w:p w:rsidR="006734B0" w:rsidRPr="008C362D" w:rsidP="00331AB4" w14:paraId="28CA0E12" w14:textId="161364F8">
      <w:pPr>
        <w:pStyle w:val="710"/>
        <w:numPr>
          <w:ilvl w:val="0"/>
          <w:numId w:val="17"/>
        </w:numPr>
      </w:pPr>
      <w:r w:rsidRPr="008C362D">
        <w:rPr>
          <w:rtl/>
        </w:rPr>
        <w:t xml:space="preserve">משרד מבקר המדינה מציין כי לפי התנאים ברישיון העסק שנתן המשרד </w:t>
      </w:r>
      <w:r w:rsidRPr="008C362D">
        <w:rPr>
          <w:rtl/>
        </w:rPr>
        <w:t>להג"ס</w:t>
      </w:r>
      <w:r w:rsidRPr="008C362D">
        <w:rPr>
          <w:rtl/>
        </w:rPr>
        <w:t xml:space="preserve"> </w:t>
      </w:r>
      <w:r w:rsidRPr="008C362D">
        <w:rPr>
          <w:rtl/>
        </w:rPr>
        <w:t>למי"ה</w:t>
      </w:r>
      <w:r w:rsidRPr="008C362D">
        <w:rPr>
          <w:rtl/>
        </w:rPr>
        <w:t xml:space="preserve">, היא נדרשת לסיים את האסדרה של אתר הבוצה המלחית עד סוף שנת 2028. לפיכך, העובדה </w:t>
      </w:r>
      <w:r w:rsidRPr="0029517F" w:rsidR="0029517F">
        <w:rPr>
          <w:rtl/>
        </w:rPr>
        <w:t>שבפברואר 2025, בחלוף</w:t>
      </w:r>
      <w:r w:rsidR="0029517F">
        <w:rPr>
          <w:rFonts w:hint="cs"/>
          <w:rtl/>
        </w:rPr>
        <w:t xml:space="preserve"> </w:t>
      </w:r>
      <w:r w:rsidRPr="008C362D">
        <w:rPr>
          <w:rtl/>
        </w:rPr>
        <w:t xml:space="preserve">יותר משנתיים מהמועד שבו הוא קבע עבור </w:t>
      </w:r>
      <w:r w:rsidRPr="008C362D">
        <w:rPr>
          <w:rtl/>
        </w:rPr>
        <w:t>מי"ה</w:t>
      </w:r>
      <w:r w:rsidRPr="008C362D">
        <w:rPr>
          <w:rtl/>
        </w:rPr>
        <w:t xml:space="preserve"> את התנאים האמורים הוא טרם עמד על כך שתוגש לו תוכנית אסדרה מעלה ספק לגבי השלמת הסדרת האתר במועד הנדרש בתנאים. </w:t>
      </w:r>
    </w:p>
    <w:p w:rsidR="006734B0" w:rsidRPr="00331AB4" w:rsidP="00331AB4" w14:paraId="6A8A9BA2" w14:textId="77777777">
      <w:pPr>
        <w:pStyle w:val="7317"/>
        <w:rPr>
          <w:rtl/>
        </w:rPr>
      </w:pPr>
      <w:r w:rsidRPr="00331AB4">
        <w:rPr>
          <w:rFonts w:hint="cs"/>
          <w:rtl/>
        </w:rPr>
        <w:t xml:space="preserve">המשרד </w:t>
      </w:r>
      <w:r w:rsidRPr="00331AB4">
        <w:rPr>
          <w:rFonts w:hint="cs"/>
          <w:rtl/>
        </w:rPr>
        <w:t>להג"ס</w:t>
      </w:r>
      <w:r w:rsidRPr="00331AB4">
        <w:rPr>
          <w:rFonts w:hint="cs"/>
          <w:rtl/>
        </w:rPr>
        <w:t xml:space="preserve"> מסר בתשובתו למשרד מבקר המדינה כי אף שטרם הוגשה תכנית אסדרה </w:t>
      </w:r>
      <w:r w:rsidRPr="00331AB4">
        <w:rPr>
          <w:rFonts w:hint="cs"/>
          <w:rtl/>
        </w:rPr>
        <w:t>מי"ה</w:t>
      </w:r>
      <w:r w:rsidRPr="00331AB4">
        <w:rPr>
          <w:rFonts w:hint="cs"/>
          <w:rtl/>
        </w:rPr>
        <w:t xml:space="preserve"> מצויה בתיאום שוטף עם המשרד במטרה לעמוד </w:t>
      </w:r>
      <w:r w:rsidRPr="00331AB4">
        <w:rPr>
          <w:rFonts w:hint="cs"/>
          <w:rtl/>
        </w:rPr>
        <w:t>בלו"ז</w:t>
      </w:r>
      <w:r w:rsidRPr="00331AB4">
        <w:rPr>
          <w:rFonts w:hint="cs"/>
          <w:rtl/>
        </w:rPr>
        <w:t xml:space="preserve"> שנקבע בתנאי רישיון העסק. </w:t>
      </w:r>
    </w:p>
    <w:p w:rsidR="006734B0" w:rsidRPr="00331AB4" w:rsidP="00331AB4" w14:paraId="6281808C" w14:textId="77777777">
      <w:pPr>
        <w:pStyle w:val="7310"/>
        <w:rPr>
          <w:rtl/>
        </w:rPr>
      </w:pPr>
      <w:r w:rsidRPr="00331AB4">
        <w:rPr>
          <w:rFonts w:hint="cs"/>
          <w:rtl/>
        </w:rPr>
        <w:t xml:space="preserve">מוצע כי </w:t>
      </w:r>
      <w:r w:rsidRPr="00331AB4">
        <w:rPr>
          <w:rFonts w:hint="eastAsia"/>
          <w:rtl/>
        </w:rPr>
        <w:t>המשרד</w:t>
      </w:r>
      <w:r w:rsidRPr="00331AB4">
        <w:rPr>
          <w:rtl/>
        </w:rPr>
        <w:t xml:space="preserve"> </w:t>
      </w:r>
      <w:r w:rsidRPr="00331AB4">
        <w:rPr>
          <w:rFonts w:hint="eastAsia"/>
          <w:rtl/>
        </w:rPr>
        <w:t>להג</w:t>
      </w:r>
      <w:r w:rsidRPr="00331AB4">
        <w:rPr>
          <w:rtl/>
        </w:rPr>
        <w:t>"ס</w:t>
      </w:r>
      <w:r w:rsidRPr="00331AB4">
        <w:rPr>
          <w:rtl/>
        </w:rPr>
        <w:t xml:space="preserve"> </w:t>
      </w:r>
      <w:r w:rsidRPr="00331AB4">
        <w:rPr>
          <w:rFonts w:hint="cs"/>
          <w:rtl/>
        </w:rPr>
        <w:t>י</w:t>
      </w:r>
      <w:r w:rsidRPr="00331AB4">
        <w:rPr>
          <w:rFonts w:hint="eastAsia"/>
          <w:rtl/>
        </w:rPr>
        <w:t>נקוט</w:t>
      </w:r>
      <w:r w:rsidRPr="00331AB4">
        <w:rPr>
          <w:rtl/>
        </w:rPr>
        <w:t xml:space="preserve"> </w:t>
      </w:r>
      <w:r w:rsidRPr="00331AB4">
        <w:rPr>
          <w:rFonts w:hint="eastAsia"/>
          <w:rtl/>
        </w:rPr>
        <w:t>את</w:t>
      </w:r>
      <w:r w:rsidRPr="00331AB4">
        <w:rPr>
          <w:rtl/>
        </w:rPr>
        <w:t xml:space="preserve"> </w:t>
      </w:r>
      <w:r w:rsidRPr="00331AB4">
        <w:rPr>
          <w:rFonts w:hint="eastAsia"/>
          <w:rtl/>
        </w:rPr>
        <w:t>האמצעים</w:t>
      </w:r>
      <w:r w:rsidRPr="00331AB4">
        <w:rPr>
          <w:rtl/>
        </w:rPr>
        <w:t xml:space="preserve"> </w:t>
      </w:r>
      <w:r w:rsidRPr="00331AB4">
        <w:rPr>
          <w:rFonts w:hint="eastAsia"/>
          <w:rtl/>
        </w:rPr>
        <w:t>שבידו</w:t>
      </w:r>
      <w:r w:rsidRPr="00331AB4">
        <w:rPr>
          <w:rtl/>
        </w:rPr>
        <w:t xml:space="preserve"> כדי לוודא </w:t>
      </w:r>
      <w:r w:rsidRPr="00331AB4">
        <w:rPr>
          <w:rFonts w:hint="eastAsia"/>
          <w:rtl/>
        </w:rPr>
        <w:t>שהסדרת</w:t>
      </w:r>
      <w:r w:rsidRPr="00331AB4">
        <w:rPr>
          <w:rtl/>
        </w:rPr>
        <w:t xml:space="preserve"> </w:t>
      </w:r>
      <w:r w:rsidRPr="00331AB4">
        <w:rPr>
          <w:rFonts w:hint="eastAsia"/>
          <w:rtl/>
        </w:rPr>
        <w:t>אתר</w:t>
      </w:r>
      <w:r w:rsidRPr="00331AB4">
        <w:rPr>
          <w:rtl/>
        </w:rPr>
        <w:t xml:space="preserve"> </w:t>
      </w:r>
      <w:r w:rsidRPr="00331AB4">
        <w:rPr>
          <w:rFonts w:hint="eastAsia"/>
          <w:rtl/>
        </w:rPr>
        <w:t>הבוצה</w:t>
      </w:r>
      <w:r w:rsidRPr="00331AB4">
        <w:rPr>
          <w:rtl/>
        </w:rPr>
        <w:t xml:space="preserve"> המלחית </w:t>
      </w:r>
      <w:r w:rsidRPr="00331AB4">
        <w:rPr>
          <w:rFonts w:hint="eastAsia"/>
          <w:rtl/>
        </w:rPr>
        <w:t>תושלם</w:t>
      </w:r>
      <w:r w:rsidRPr="00331AB4">
        <w:rPr>
          <w:rtl/>
        </w:rPr>
        <w:t xml:space="preserve"> עד </w:t>
      </w:r>
      <w:r w:rsidRPr="00331AB4">
        <w:rPr>
          <w:rFonts w:hint="eastAsia"/>
          <w:rtl/>
        </w:rPr>
        <w:t>המועד</w:t>
      </w:r>
      <w:r w:rsidRPr="00331AB4">
        <w:rPr>
          <w:rtl/>
        </w:rPr>
        <w:t xml:space="preserve"> </w:t>
      </w:r>
      <w:r w:rsidRPr="00331AB4">
        <w:rPr>
          <w:rFonts w:hint="eastAsia"/>
          <w:rtl/>
        </w:rPr>
        <w:t>שהוא</w:t>
      </w:r>
      <w:r w:rsidRPr="00331AB4">
        <w:rPr>
          <w:rtl/>
        </w:rPr>
        <w:t xml:space="preserve"> </w:t>
      </w:r>
      <w:r w:rsidRPr="00331AB4">
        <w:rPr>
          <w:rFonts w:hint="eastAsia"/>
          <w:rtl/>
        </w:rPr>
        <w:t>קבע</w:t>
      </w:r>
      <w:r w:rsidRPr="00331AB4">
        <w:rPr>
          <w:rtl/>
        </w:rPr>
        <w:t xml:space="preserve"> </w:t>
      </w:r>
      <w:r w:rsidRPr="00331AB4">
        <w:rPr>
          <w:rFonts w:hint="cs"/>
          <w:rtl/>
        </w:rPr>
        <w:t xml:space="preserve">בתנאי רישיון העסק של </w:t>
      </w:r>
      <w:r w:rsidRPr="00331AB4">
        <w:rPr>
          <w:rFonts w:hint="cs"/>
          <w:rtl/>
        </w:rPr>
        <w:t>מי"ה</w:t>
      </w:r>
      <w:r w:rsidRPr="00331AB4">
        <w:rPr>
          <w:rFonts w:hint="cs"/>
          <w:rtl/>
        </w:rPr>
        <w:t xml:space="preserve"> </w:t>
      </w:r>
      <w:r w:rsidRPr="00331AB4">
        <w:rPr>
          <w:rtl/>
        </w:rPr>
        <w:t>(סוף 2028).</w:t>
      </w:r>
    </w:p>
    <w:p w:rsidR="006734B0" w:rsidRPr="00331AB4" w:rsidP="00331AB4" w14:paraId="1D2D6DE0" w14:textId="77777777">
      <w:pPr>
        <w:pStyle w:val="710"/>
        <w:numPr>
          <w:ilvl w:val="0"/>
          <w:numId w:val="17"/>
        </w:numPr>
        <w:rPr>
          <w:rtl/>
        </w:rPr>
      </w:pPr>
      <w:r w:rsidRPr="00331AB4">
        <w:rPr>
          <w:rtl/>
        </w:rPr>
        <w:t xml:space="preserve">נמצא כי המשרד </w:t>
      </w:r>
      <w:r w:rsidRPr="00331AB4">
        <w:rPr>
          <w:rtl/>
        </w:rPr>
        <w:t>להג"ס</w:t>
      </w:r>
      <w:r w:rsidRPr="00331AB4">
        <w:rPr>
          <w:rtl/>
        </w:rPr>
        <w:t xml:space="preserve"> לא חייב את </w:t>
      </w:r>
      <w:r w:rsidRPr="00331AB4">
        <w:rPr>
          <w:rtl/>
        </w:rPr>
        <w:t>מי"ה</w:t>
      </w:r>
      <w:r w:rsidRPr="00331AB4">
        <w:rPr>
          <w:rtl/>
        </w:rPr>
        <w:t xml:space="preserve"> בתשלום היטל הטמנה בגין הטמנת פסולת הבוצה המלחית, על אף היקפי ההטמנה הנרחבים. כפועל יוצא מכך, מערום פסולת בהיקף נרחב קיים בתחום הזיכיון בלי שמשולם בגינו היטל הטמנה שנועד להפנים עלויות חיצוניות ולהוות תמריץ לצמצום הפסולת המיוצרת. </w:t>
      </w:r>
    </w:p>
    <w:p w:rsidR="006734B0" w:rsidRPr="00331AB4" w:rsidP="00331AB4" w14:paraId="72DCFD3E" w14:textId="1551BA89">
      <w:pPr>
        <w:pStyle w:val="7317"/>
        <w:rPr>
          <w:rtl/>
        </w:rPr>
      </w:pPr>
      <w:r w:rsidRPr="00331AB4">
        <w:rPr>
          <w:rFonts w:hint="eastAsia"/>
          <w:rtl/>
        </w:rPr>
        <w:t>לשם</w:t>
      </w:r>
      <w:r w:rsidRPr="00331AB4">
        <w:rPr>
          <w:rtl/>
        </w:rPr>
        <w:t xml:space="preserve"> המחשה, לפי תחשיב שביצע משרד מבקר המדינה, אילו היה המשרד </w:t>
      </w:r>
      <w:r w:rsidRPr="00331AB4">
        <w:rPr>
          <w:rtl/>
        </w:rPr>
        <w:t>להג"ס</w:t>
      </w:r>
      <w:r w:rsidRPr="00331AB4">
        <w:rPr>
          <w:rtl/>
        </w:rPr>
        <w:t xml:space="preserve"> מחייב את פסולת הבוצה המלחית בהיטל הטמנה בשנת 2023, גובה ההיטל שהיה משתלם לקרן </w:t>
      </w:r>
      <w:r w:rsidRPr="00331AB4">
        <w:rPr>
          <w:rFonts w:hint="eastAsia"/>
          <w:rtl/>
        </w:rPr>
        <w:t>לשמירת</w:t>
      </w:r>
      <w:r w:rsidRPr="00331AB4">
        <w:rPr>
          <w:rtl/>
        </w:rPr>
        <w:t xml:space="preserve"> </w:t>
      </w:r>
      <w:r w:rsidRPr="00331AB4">
        <w:rPr>
          <w:rFonts w:hint="eastAsia"/>
          <w:rtl/>
        </w:rPr>
        <w:t>הניקיון</w:t>
      </w:r>
      <w:r w:rsidRPr="00331AB4">
        <w:rPr>
          <w:rtl/>
        </w:rPr>
        <w:t xml:space="preserve"> </w:t>
      </w:r>
      <w:r w:rsidRPr="00331AB4">
        <w:rPr>
          <w:rFonts w:hint="eastAsia"/>
          <w:rtl/>
        </w:rPr>
        <w:t>עבור</w:t>
      </w:r>
      <w:r w:rsidRPr="00331AB4">
        <w:rPr>
          <w:rtl/>
        </w:rPr>
        <w:t xml:space="preserve"> </w:t>
      </w:r>
      <w:r w:rsidRPr="00331AB4">
        <w:rPr>
          <w:rFonts w:hint="eastAsia"/>
          <w:rtl/>
        </w:rPr>
        <w:t>אותה</w:t>
      </w:r>
      <w:r w:rsidRPr="00331AB4">
        <w:rPr>
          <w:rtl/>
        </w:rPr>
        <w:t xml:space="preserve"> </w:t>
      </w:r>
      <w:r w:rsidRPr="00331AB4">
        <w:rPr>
          <w:rFonts w:hint="eastAsia"/>
          <w:rtl/>
        </w:rPr>
        <w:t>השנה</w:t>
      </w:r>
      <w:r w:rsidRPr="00331AB4">
        <w:rPr>
          <w:rtl/>
        </w:rPr>
        <w:t xml:space="preserve"> </w:t>
      </w:r>
      <w:r w:rsidRPr="00331AB4">
        <w:rPr>
          <w:rFonts w:hint="eastAsia"/>
          <w:rtl/>
        </w:rPr>
        <w:t>היה</w:t>
      </w:r>
      <w:r w:rsidRPr="00331AB4">
        <w:rPr>
          <w:rtl/>
        </w:rPr>
        <w:t xml:space="preserve"> </w:t>
      </w:r>
      <w:r w:rsidRPr="00331AB4">
        <w:rPr>
          <w:rFonts w:hint="eastAsia"/>
          <w:rtl/>
        </w:rPr>
        <w:t>כמיליון</w:t>
      </w:r>
      <w:r w:rsidRPr="00331AB4">
        <w:rPr>
          <w:rtl/>
        </w:rPr>
        <w:t xml:space="preserve"> </w:t>
      </w:r>
      <w:r w:rsidRPr="00331AB4">
        <w:rPr>
          <w:rFonts w:hint="eastAsia"/>
          <w:rtl/>
        </w:rPr>
        <w:t>ש</w:t>
      </w:r>
      <w:r w:rsidRPr="00331AB4">
        <w:rPr>
          <w:rtl/>
        </w:rPr>
        <w:t>"ח</w:t>
      </w:r>
      <w:r>
        <w:rPr>
          <w:rStyle w:val="FootnoteReference1"/>
          <w:rtl/>
        </w:rPr>
        <w:footnoteReference w:id="74"/>
      </w:r>
      <w:r w:rsidRPr="00331AB4">
        <w:rPr>
          <w:rtl/>
        </w:rPr>
        <w:t xml:space="preserve">. מכל מקום יובהר כי החלטה לחייב את </w:t>
      </w:r>
      <w:r w:rsidRPr="00331AB4">
        <w:rPr>
          <w:rtl/>
        </w:rPr>
        <w:t>מי"ה</w:t>
      </w:r>
      <w:r w:rsidRPr="00331AB4">
        <w:rPr>
          <w:rtl/>
        </w:rPr>
        <w:t xml:space="preserve"> בתשלום היטל הטמנה בגין פסולת הבוצה המלחית תצטרך להתקבל ע</w:t>
      </w:r>
      <w:r w:rsidR="00727D4C">
        <w:rPr>
          <w:rFonts w:hint="cs"/>
          <w:rtl/>
        </w:rPr>
        <w:t>ל ידי</w:t>
      </w:r>
      <w:r w:rsidRPr="00331AB4">
        <w:rPr>
          <w:rtl/>
        </w:rPr>
        <w:t xml:space="preserve"> המשרד </w:t>
      </w:r>
      <w:r w:rsidRPr="00331AB4">
        <w:rPr>
          <w:rtl/>
        </w:rPr>
        <w:t>להג"ס</w:t>
      </w:r>
      <w:r w:rsidR="00727D4C">
        <w:rPr>
          <w:rFonts w:hint="cs"/>
          <w:rtl/>
        </w:rPr>
        <w:t>,</w:t>
      </w:r>
      <w:r w:rsidRPr="00331AB4">
        <w:rPr>
          <w:rtl/>
        </w:rPr>
        <w:t xml:space="preserve"> והחישוב של סכום החיוב כמו גם תקופת החיוב יצטרך להתבצע על-יד</w:t>
      </w:r>
      <w:r w:rsidR="00727D4C">
        <w:rPr>
          <w:rFonts w:hint="cs"/>
          <w:rtl/>
        </w:rPr>
        <w:t>י</w:t>
      </w:r>
      <w:r w:rsidRPr="00331AB4">
        <w:rPr>
          <w:rtl/>
        </w:rPr>
        <w:t>ו</w:t>
      </w:r>
      <w:r w:rsidRPr="00331AB4">
        <w:rPr>
          <w:rFonts w:hint="cs"/>
          <w:rtl/>
        </w:rPr>
        <w:t xml:space="preserve"> בהתאם לסיווגה</w:t>
      </w:r>
      <w:r w:rsidRPr="00331AB4">
        <w:rPr>
          <w:rtl/>
        </w:rPr>
        <w:t xml:space="preserve">. </w:t>
      </w:r>
    </w:p>
    <w:p w:rsidR="006734B0" w:rsidRPr="00331AB4" w:rsidP="00331AB4" w14:paraId="22EC2FAF" w14:textId="77777777">
      <w:pPr>
        <w:pStyle w:val="7317"/>
        <w:rPr>
          <w:rtl/>
        </w:rPr>
      </w:pPr>
      <w:r w:rsidRPr="00331AB4">
        <w:rPr>
          <w:rFonts w:hint="cs"/>
          <w:rtl/>
        </w:rPr>
        <w:t xml:space="preserve">המשרד </w:t>
      </w:r>
      <w:r w:rsidRPr="00331AB4">
        <w:rPr>
          <w:rFonts w:hint="cs"/>
          <w:rtl/>
        </w:rPr>
        <w:t>להג"ס</w:t>
      </w:r>
      <w:r w:rsidRPr="00331AB4">
        <w:rPr>
          <w:rFonts w:hint="cs"/>
          <w:rtl/>
        </w:rPr>
        <w:t xml:space="preserve"> מסר בתשובתו למשרד מבקר המדינה כי אתר הבוצה המלחית לא הוגדר כאתר סילוק פסולת</w:t>
      </w:r>
      <w:r w:rsidRPr="00331AB4">
        <w:rPr>
          <w:rtl/>
        </w:rPr>
        <w:t xml:space="preserve">, </w:t>
      </w:r>
      <w:r w:rsidRPr="00331AB4">
        <w:rPr>
          <w:rFonts w:hint="cs"/>
          <w:rtl/>
        </w:rPr>
        <w:t xml:space="preserve">לא מתבצעת בו קליטה של פסולת ממקור חיצוני, </w:t>
      </w:r>
      <w:r w:rsidRPr="00331AB4">
        <w:rPr>
          <w:rFonts w:hint="eastAsia"/>
          <w:rtl/>
        </w:rPr>
        <w:t>וכי</w:t>
      </w:r>
      <w:r w:rsidRPr="00331AB4">
        <w:rPr>
          <w:rFonts w:hint="cs"/>
          <w:rtl/>
        </w:rPr>
        <w:t xml:space="preserve"> </w:t>
      </w:r>
      <w:r w:rsidRPr="00331AB4">
        <w:rPr>
          <w:rFonts w:hint="eastAsia"/>
          <w:rtl/>
        </w:rPr>
        <w:t>הפסולת</w:t>
      </w:r>
      <w:r w:rsidRPr="00331AB4">
        <w:rPr>
          <w:rtl/>
        </w:rPr>
        <w:t xml:space="preserve"> </w:t>
      </w:r>
      <w:r w:rsidRPr="00331AB4">
        <w:rPr>
          <w:rFonts w:hint="eastAsia"/>
          <w:rtl/>
        </w:rPr>
        <w:t>שנערמה</w:t>
      </w:r>
      <w:r w:rsidRPr="00331AB4">
        <w:rPr>
          <w:rtl/>
        </w:rPr>
        <w:t xml:space="preserve"> </w:t>
      </w:r>
      <w:r w:rsidRPr="00331AB4">
        <w:rPr>
          <w:rFonts w:hint="eastAsia"/>
          <w:rtl/>
        </w:rPr>
        <w:t>בו</w:t>
      </w:r>
      <w:r w:rsidRPr="00331AB4">
        <w:rPr>
          <w:rtl/>
        </w:rPr>
        <w:t xml:space="preserve"> </w:t>
      </w:r>
      <w:r w:rsidRPr="00331AB4">
        <w:rPr>
          <w:rFonts w:hint="eastAsia"/>
          <w:rtl/>
        </w:rPr>
        <w:t>מיועדת</w:t>
      </w:r>
      <w:r w:rsidRPr="00331AB4">
        <w:rPr>
          <w:rtl/>
        </w:rPr>
        <w:t xml:space="preserve"> </w:t>
      </w:r>
      <w:r w:rsidRPr="00331AB4">
        <w:rPr>
          <w:rFonts w:hint="eastAsia"/>
          <w:rtl/>
        </w:rPr>
        <w:t>להעברה</w:t>
      </w:r>
      <w:r w:rsidRPr="00331AB4">
        <w:rPr>
          <w:rtl/>
        </w:rPr>
        <w:t xml:space="preserve"> </w:t>
      </w:r>
      <w:r w:rsidRPr="00331AB4">
        <w:rPr>
          <w:rFonts w:hint="eastAsia"/>
          <w:rtl/>
        </w:rPr>
        <w:t>לשימוש</w:t>
      </w:r>
      <w:r w:rsidRPr="00331AB4">
        <w:rPr>
          <w:rtl/>
        </w:rPr>
        <w:t xml:space="preserve"> </w:t>
      </w:r>
      <w:r w:rsidRPr="00331AB4">
        <w:rPr>
          <w:rFonts w:hint="eastAsia"/>
          <w:rtl/>
        </w:rPr>
        <w:t>או</w:t>
      </w:r>
      <w:r w:rsidRPr="00331AB4">
        <w:rPr>
          <w:rtl/>
        </w:rPr>
        <w:t xml:space="preserve"> </w:t>
      </w:r>
      <w:r w:rsidRPr="00331AB4">
        <w:rPr>
          <w:rFonts w:hint="eastAsia"/>
          <w:rtl/>
        </w:rPr>
        <w:t>להמסה</w:t>
      </w:r>
      <w:r w:rsidRPr="00331AB4">
        <w:rPr>
          <w:rFonts w:hint="cs"/>
          <w:rtl/>
        </w:rPr>
        <w:t xml:space="preserve">, ועל כן בנסיבות אלו לא תחול עליו החובה </w:t>
      </w:r>
      <w:r w:rsidRPr="00331AB4">
        <w:rPr>
          <w:rFonts w:hint="eastAsia"/>
          <w:rtl/>
        </w:rPr>
        <w:t>ל</w:t>
      </w:r>
      <w:r w:rsidRPr="00331AB4">
        <w:rPr>
          <w:rFonts w:hint="cs"/>
          <w:rtl/>
        </w:rPr>
        <w:t xml:space="preserve">תשלום היטל הטמנה. עוד ציין המשרד כי </w:t>
      </w:r>
      <w:r w:rsidRPr="00331AB4">
        <w:rPr>
          <w:rFonts w:hint="eastAsia"/>
          <w:rtl/>
        </w:rPr>
        <w:t>אם</w:t>
      </w:r>
      <w:r w:rsidRPr="00331AB4">
        <w:rPr>
          <w:rFonts w:hint="cs"/>
          <w:rtl/>
        </w:rPr>
        <w:t xml:space="preserve"> הנסיבות ישתנו ויתברר כי לא ניתן לפנות את כלל הפסולת מהאתר, הנושא </w:t>
      </w:r>
      <w:r w:rsidRPr="00331AB4">
        <w:rPr>
          <w:rFonts w:hint="eastAsia"/>
          <w:rtl/>
        </w:rPr>
        <w:t>י</w:t>
      </w:r>
      <w:r w:rsidRPr="00331AB4">
        <w:rPr>
          <w:rFonts w:hint="cs"/>
          <w:rtl/>
        </w:rPr>
        <w:t>יבחן מחדש</w:t>
      </w:r>
      <w:r>
        <w:rPr>
          <w:rStyle w:val="FootnoteReference1"/>
          <w:rtl/>
        </w:rPr>
        <w:footnoteReference w:id="75"/>
      </w:r>
      <w:r w:rsidRPr="00331AB4">
        <w:rPr>
          <w:rFonts w:hint="cs"/>
          <w:rtl/>
        </w:rPr>
        <w:t xml:space="preserve">. </w:t>
      </w:r>
    </w:p>
    <w:p w:rsidR="006734B0" w:rsidRPr="00331AB4" w:rsidP="00331AB4" w14:paraId="59EDFF4D" w14:textId="77777777">
      <w:pPr>
        <w:pStyle w:val="7310"/>
        <w:rPr>
          <w:rtl/>
        </w:rPr>
      </w:pPr>
      <w:r w:rsidRPr="00331AB4">
        <w:rPr>
          <w:rFonts w:hint="cs"/>
          <w:rtl/>
        </w:rPr>
        <w:t xml:space="preserve">מתשובת המשרד </w:t>
      </w:r>
      <w:r w:rsidRPr="00331AB4">
        <w:rPr>
          <w:rFonts w:hint="cs"/>
          <w:rtl/>
        </w:rPr>
        <w:t>להג"ס</w:t>
      </w:r>
      <w:r w:rsidRPr="00331AB4">
        <w:rPr>
          <w:rFonts w:hint="cs"/>
          <w:rtl/>
        </w:rPr>
        <w:t xml:space="preserve"> עולה כי </w:t>
      </w:r>
      <w:r w:rsidRPr="00331AB4">
        <w:rPr>
          <w:rFonts w:hint="eastAsia"/>
          <w:rtl/>
        </w:rPr>
        <w:t>אם</w:t>
      </w:r>
      <w:r w:rsidRPr="00331AB4">
        <w:rPr>
          <w:rFonts w:hint="cs"/>
          <w:rtl/>
        </w:rPr>
        <w:t xml:space="preserve"> יתברר בעתיד כי הפסולת </w:t>
      </w:r>
      <w:r w:rsidRPr="00331AB4">
        <w:rPr>
          <w:rFonts w:hint="eastAsia"/>
          <w:rtl/>
        </w:rPr>
        <w:t>אינה</w:t>
      </w:r>
      <w:r w:rsidRPr="00331AB4">
        <w:rPr>
          <w:rFonts w:hint="cs"/>
          <w:rtl/>
        </w:rPr>
        <w:t xml:space="preserve"> מועברת לשימוש או </w:t>
      </w:r>
      <w:r w:rsidRPr="00331AB4">
        <w:rPr>
          <w:rFonts w:hint="eastAsia"/>
          <w:rtl/>
        </w:rPr>
        <w:t>ל</w:t>
      </w:r>
      <w:r w:rsidRPr="00331AB4">
        <w:rPr>
          <w:rFonts w:hint="cs"/>
          <w:rtl/>
        </w:rPr>
        <w:t xml:space="preserve">המסה, הוא </w:t>
      </w:r>
      <w:r w:rsidRPr="00331AB4">
        <w:rPr>
          <w:rFonts w:hint="eastAsia"/>
          <w:rtl/>
        </w:rPr>
        <w:t>יבחן</w:t>
      </w:r>
      <w:r w:rsidRPr="00331AB4">
        <w:rPr>
          <w:rtl/>
        </w:rPr>
        <w:t xml:space="preserve"> </w:t>
      </w:r>
      <w:r w:rsidRPr="00331AB4">
        <w:rPr>
          <w:rFonts w:hint="eastAsia"/>
          <w:rtl/>
        </w:rPr>
        <w:t>את</w:t>
      </w:r>
      <w:r w:rsidRPr="00331AB4">
        <w:rPr>
          <w:rtl/>
        </w:rPr>
        <w:t xml:space="preserve"> </w:t>
      </w:r>
      <w:r w:rsidRPr="00331AB4">
        <w:rPr>
          <w:rFonts w:hint="eastAsia"/>
          <w:rtl/>
        </w:rPr>
        <w:t>האפשרות</w:t>
      </w:r>
      <w:r w:rsidRPr="00331AB4">
        <w:rPr>
          <w:rFonts w:hint="cs"/>
          <w:rtl/>
        </w:rPr>
        <w:t xml:space="preserve"> להטלת היטל הטמנה על פסולת הבוצה המלחית. מצב </w:t>
      </w:r>
      <w:r w:rsidRPr="00331AB4">
        <w:rPr>
          <w:rFonts w:hint="eastAsia"/>
          <w:rtl/>
        </w:rPr>
        <w:t>ש</w:t>
      </w:r>
      <w:r w:rsidRPr="00331AB4">
        <w:rPr>
          <w:rFonts w:hint="cs"/>
          <w:rtl/>
        </w:rPr>
        <w:t xml:space="preserve">בו המשרד </w:t>
      </w:r>
      <w:r w:rsidRPr="00331AB4">
        <w:rPr>
          <w:rFonts w:hint="eastAsia"/>
          <w:rtl/>
        </w:rPr>
        <w:t>אינו</w:t>
      </w:r>
      <w:r w:rsidRPr="00331AB4">
        <w:rPr>
          <w:rFonts w:hint="cs"/>
          <w:rtl/>
        </w:rPr>
        <w:t xml:space="preserve"> גובה היטל הטמנה עקב ציפייה שהפסולת תפונה, כאשר טרם הוגשה ת</w:t>
      </w:r>
      <w:r w:rsidRPr="00331AB4">
        <w:rPr>
          <w:rFonts w:hint="eastAsia"/>
          <w:rtl/>
        </w:rPr>
        <w:t>ו</w:t>
      </w:r>
      <w:r w:rsidRPr="00331AB4">
        <w:rPr>
          <w:rFonts w:hint="cs"/>
          <w:rtl/>
        </w:rPr>
        <w:t xml:space="preserve">כנית אסדרה לאתר </w:t>
      </w:r>
      <w:r w:rsidRPr="00331AB4">
        <w:rPr>
          <w:rFonts w:hint="eastAsia"/>
          <w:rtl/>
        </w:rPr>
        <w:t>ולפיכך</w:t>
      </w:r>
      <w:r w:rsidRPr="00331AB4">
        <w:rPr>
          <w:rFonts w:hint="cs"/>
          <w:rtl/>
        </w:rPr>
        <w:t xml:space="preserve"> אין ודאות שהפסולת שנערמה באתר אכן תועבר להמסה או לשימוש, וזאת בלי שהוא גובה ערבויות להבטחת הפינוי הוא מצב שאינו רצוי. הדברים מתחדדים ביתר שאת </w:t>
      </w:r>
      <w:r w:rsidRPr="00331AB4">
        <w:rPr>
          <w:rFonts w:hint="eastAsia"/>
          <w:rtl/>
        </w:rPr>
        <w:t>לנוכח</w:t>
      </w:r>
      <w:r w:rsidRPr="00331AB4">
        <w:rPr>
          <w:rFonts w:hint="cs"/>
          <w:rtl/>
        </w:rPr>
        <w:t xml:space="preserve"> העובדה </w:t>
      </w:r>
      <w:r w:rsidRPr="00331AB4">
        <w:rPr>
          <w:rFonts w:hint="eastAsia"/>
          <w:rtl/>
        </w:rPr>
        <w:t>שתקופת</w:t>
      </w:r>
      <w:r w:rsidRPr="00331AB4">
        <w:rPr>
          <w:rFonts w:hint="cs"/>
          <w:rtl/>
        </w:rPr>
        <w:t xml:space="preserve"> הזיכיון הנוכחי קרב</w:t>
      </w:r>
      <w:r w:rsidRPr="00331AB4">
        <w:rPr>
          <w:rFonts w:hint="eastAsia"/>
          <w:rtl/>
        </w:rPr>
        <w:t>ה</w:t>
      </w:r>
      <w:r w:rsidRPr="00331AB4">
        <w:rPr>
          <w:rFonts w:hint="cs"/>
          <w:rtl/>
        </w:rPr>
        <w:t xml:space="preserve"> לסיומ</w:t>
      </w:r>
      <w:r w:rsidRPr="00331AB4">
        <w:rPr>
          <w:rFonts w:hint="eastAsia"/>
          <w:rtl/>
        </w:rPr>
        <w:t>ה</w:t>
      </w:r>
      <w:r w:rsidRPr="00331AB4">
        <w:rPr>
          <w:rFonts w:hint="cs"/>
          <w:rtl/>
        </w:rPr>
        <w:t xml:space="preserve"> ואפשר שרק בסמוך </w:t>
      </w:r>
      <w:r w:rsidRPr="00331AB4">
        <w:rPr>
          <w:rFonts w:hint="eastAsia"/>
          <w:rtl/>
        </w:rPr>
        <w:t>למועד</w:t>
      </w:r>
      <w:r w:rsidRPr="00331AB4">
        <w:rPr>
          <w:rtl/>
        </w:rPr>
        <w:t xml:space="preserve"> </w:t>
      </w:r>
      <w:r w:rsidRPr="00331AB4">
        <w:rPr>
          <w:rFonts w:hint="eastAsia"/>
          <w:rtl/>
        </w:rPr>
        <w:t>סיומה</w:t>
      </w:r>
      <w:r w:rsidRPr="00331AB4">
        <w:rPr>
          <w:rFonts w:hint="cs"/>
          <w:rtl/>
        </w:rPr>
        <w:t xml:space="preserve"> יתברר כי הפסולת לא פונתה.</w:t>
      </w:r>
    </w:p>
    <w:p w:rsidR="006734B0" w:rsidRPr="00331AB4" w:rsidP="00331AB4" w14:paraId="1A6805B1" w14:textId="77777777">
      <w:pPr>
        <w:pStyle w:val="7310"/>
        <w:rPr>
          <w:rtl/>
        </w:rPr>
      </w:pPr>
      <w:r w:rsidRPr="00331AB4">
        <w:rPr>
          <w:rFonts w:hint="cs"/>
          <w:rtl/>
        </w:rPr>
        <w:t xml:space="preserve">מוצע כי המשרד </w:t>
      </w:r>
      <w:r w:rsidRPr="00331AB4">
        <w:rPr>
          <w:rFonts w:hint="cs"/>
          <w:rtl/>
        </w:rPr>
        <w:t>להג"ס</w:t>
      </w:r>
      <w:r w:rsidRPr="00331AB4">
        <w:rPr>
          <w:rFonts w:hint="cs"/>
          <w:rtl/>
        </w:rPr>
        <w:t xml:space="preserve"> יבחן כבר כעת את האפשרות לקבוע כי </w:t>
      </w:r>
      <w:r w:rsidRPr="00331AB4">
        <w:rPr>
          <w:rFonts w:hint="eastAsia"/>
          <w:rtl/>
        </w:rPr>
        <w:t>אם</w:t>
      </w:r>
      <w:r w:rsidRPr="00331AB4">
        <w:rPr>
          <w:rFonts w:hint="cs"/>
          <w:rtl/>
        </w:rPr>
        <w:t xml:space="preserve"> הפסולת לא תפונה מהאתר ותעבור לשימוש או להמסה עד המועד שיוגדר, היא תחויב בהיטל הטמנה. זאת כדי לתמרץ את </w:t>
      </w:r>
      <w:r w:rsidRPr="00331AB4">
        <w:rPr>
          <w:rFonts w:hint="cs"/>
          <w:rtl/>
        </w:rPr>
        <w:t>אסדרת</w:t>
      </w:r>
      <w:r w:rsidRPr="00331AB4">
        <w:rPr>
          <w:rFonts w:hint="cs"/>
          <w:rtl/>
        </w:rPr>
        <w:t xml:space="preserve"> פסולת הבוצה המלחית </w:t>
      </w:r>
      <w:r w:rsidRPr="00331AB4">
        <w:rPr>
          <w:rFonts w:hint="eastAsia"/>
          <w:rtl/>
        </w:rPr>
        <w:t>ולצמצם</w:t>
      </w:r>
      <w:r w:rsidRPr="00331AB4">
        <w:rPr>
          <w:rtl/>
        </w:rPr>
        <w:t xml:space="preserve"> את </w:t>
      </w:r>
      <w:r w:rsidRPr="00331AB4">
        <w:rPr>
          <w:rFonts w:hint="eastAsia"/>
          <w:rtl/>
        </w:rPr>
        <w:t>ההשפעות</w:t>
      </w:r>
      <w:r w:rsidRPr="00331AB4">
        <w:rPr>
          <w:rtl/>
        </w:rPr>
        <w:t xml:space="preserve"> </w:t>
      </w:r>
      <w:r w:rsidRPr="00331AB4">
        <w:rPr>
          <w:rFonts w:hint="eastAsia"/>
          <w:rtl/>
        </w:rPr>
        <w:t>של</w:t>
      </w:r>
      <w:r w:rsidRPr="00331AB4">
        <w:rPr>
          <w:rtl/>
        </w:rPr>
        <w:t xml:space="preserve"> </w:t>
      </w:r>
      <w:r w:rsidRPr="00331AB4">
        <w:rPr>
          <w:rFonts w:hint="eastAsia"/>
          <w:rtl/>
        </w:rPr>
        <w:t>האתר</w:t>
      </w:r>
      <w:r w:rsidRPr="00331AB4">
        <w:rPr>
          <w:rtl/>
        </w:rPr>
        <w:t xml:space="preserve"> על </w:t>
      </w:r>
      <w:r w:rsidRPr="00331AB4">
        <w:rPr>
          <w:rFonts w:hint="eastAsia"/>
          <w:rtl/>
        </w:rPr>
        <w:t>הסביבה</w:t>
      </w:r>
      <w:r w:rsidRPr="00331AB4">
        <w:rPr>
          <w:rtl/>
        </w:rPr>
        <w:t>.</w:t>
      </w:r>
      <w:r w:rsidRPr="00331AB4">
        <w:rPr>
          <w:rFonts w:hint="cs"/>
          <w:rtl/>
        </w:rPr>
        <w:t xml:space="preserve"> </w:t>
      </w:r>
    </w:p>
    <w:p w:rsidR="006734B0" w:rsidRPr="00331AB4" w:rsidP="00331AB4" w14:paraId="23AF0D2D" w14:textId="77777777">
      <w:pPr>
        <w:pStyle w:val="735"/>
        <w:numPr>
          <w:ilvl w:val="0"/>
          <w:numId w:val="27"/>
        </w:numPr>
      </w:pPr>
      <w:r w:rsidRPr="00331AB4">
        <w:rPr>
          <w:rFonts w:hint="cs"/>
          <w:rtl/>
        </w:rPr>
        <w:t xml:space="preserve">הביקורת העלתה כי אתר הבוצה המלחית לא הוסדר תכנונית באופן מלא. תוכנית 80/100/02/10 (בריכות אידוי דרומיות ושטחי אגירת שיטפונות) שאושרה בשנת 2016 (להלן </w:t>
      </w:r>
      <w:r w:rsidRPr="00331AB4">
        <w:rPr>
          <w:rFonts w:hint="cs"/>
          <w:rtl/>
        </w:rPr>
        <w:t xml:space="preserve">- </w:t>
      </w:r>
      <w:r w:rsidRPr="00331AB4">
        <w:rPr>
          <w:rFonts w:hint="eastAsia"/>
          <w:rtl/>
        </w:rPr>
        <w:t>תוכנית</w:t>
      </w:r>
      <w:r w:rsidRPr="00331AB4">
        <w:rPr>
          <w:rtl/>
        </w:rPr>
        <w:t xml:space="preserve"> </w:t>
      </w:r>
      <w:r w:rsidRPr="00331AB4">
        <w:rPr>
          <w:rFonts w:hint="eastAsia"/>
          <w:rtl/>
        </w:rPr>
        <w:t>בריכות</w:t>
      </w:r>
      <w:r w:rsidRPr="00331AB4">
        <w:rPr>
          <w:rtl/>
        </w:rPr>
        <w:t xml:space="preserve"> </w:t>
      </w:r>
      <w:r w:rsidRPr="00331AB4">
        <w:rPr>
          <w:rFonts w:hint="eastAsia"/>
          <w:rtl/>
        </w:rPr>
        <w:t>האידוי</w:t>
      </w:r>
      <w:r w:rsidRPr="00331AB4">
        <w:rPr>
          <w:rFonts w:hint="cs"/>
          <w:rtl/>
        </w:rPr>
        <w:t xml:space="preserve">), קובעת לגבי אתר הבוצה המלחית כי "כל שימוש או בניה בתא שטח זה יהיה באישור תכנית מפורטת". </w:t>
      </w:r>
    </w:p>
    <w:p w:rsidR="006734B0" w:rsidP="00331AB4" w14:paraId="0D9941D4" w14:textId="77777777">
      <w:pPr>
        <w:pStyle w:val="7310"/>
        <w:rPr>
          <w:rtl/>
        </w:rPr>
      </w:pPr>
      <w:r>
        <w:rPr>
          <w:rFonts w:hint="cs"/>
          <w:rtl/>
        </w:rPr>
        <w:t xml:space="preserve">בביקורת נמצא כי בניגוד לנדרש בתוכנית בריכות האידוי שאושרה בשנת 2016, </w:t>
      </w:r>
      <w:r>
        <w:rPr>
          <w:rFonts w:hint="cs"/>
          <w:rtl/>
        </w:rPr>
        <w:t>מי"ה</w:t>
      </w:r>
      <w:r>
        <w:rPr>
          <w:rFonts w:hint="cs"/>
          <w:rtl/>
        </w:rPr>
        <w:t xml:space="preserve"> ביצעה שימוש באתר הבוצה המלחית עד תחילת שנת 2024, זאת בלי שאושרה תוכנית מפורטת המסדירה את השימוש בתא שטח זה.</w:t>
      </w:r>
    </w:p>
    <w:p w:rsidR="006734B0" w:rsidRPr="00331AB4" w:rsidP="00331AB4" w14:paraId="4B7F2A9F" w14:textId="77777777">
      <w:pPr>
        <w:pStyle w:val="7317"/>
        <w:rPr>
          <w:rtl/>
        </w:rPr>
      </w:pPr>
      <w:r w:rsidRPr="00331AB4">
        <w:rPr>
          <w:rFonts w:hint="cs"/>
          <w:rtl/>
        </w:rPr>
        <w:t>מי"ה</w:t>
      </w:r>
      <w:r w:rsidRPr="00331AB4">
        <w:rPr>
          <w:rFonts w:hint="cs"/>
          <w:rtl/>
        </w:rPr>
        <w:t xml:space="preserve"> מסרה בתשובתה למשרד מבקר המדינה כי בהתאם לתנאים </w:t>
      </w:r>
      <w:r w:rsidRPr="00331AB4">
        <w:rPr>
          <w:rFonts w:hint="eastAsia"/>
          <w:rtl/>
        </w:rPr>
        <w:t>ש</w:t>
      </w:r>
      <w:r w:rsidRPr="00331AB4">
        <w:rPr>
          <w:rFonts w:hint="cs"/>
          <w:rtl/>
        </w:rPr>
        <w:t xml:space="preserve">ברישיון העסק של </w:t>
      </w:r>
      <w:r w:rsidRPr="00331AB4">
        <w:rPr>
          <w:rFonts w:hint="cs"/>
          <w:rtl/>
        </w:rPr>
        <w:t>מי"ה</w:t>
      </w:r>
      <w:r w:rsidRPr="00331AB4">
        <w:rPr>
          <w:rFonts w:hint="cs"/>
          <w:rtl/>
        </w:rPr>
        <w:t xml:space="preserve">, ההסדרה התכנונית תושלם במועד הקבוע בתנאים, כלומר עד שנת 2028. </w:t>
      </w:r>
    </w:p>
    <w:p w:rsidR="006734B0" w:rsidRPr="00331AB4" w:rsidP="00331AB4" w14:paraId="6892EFF9" w14:textId="77777777">
      <w:pPr>
        <w:pStyle w:val="7310"/>
        <w:rPr>
          <w:rtl/>
        </w:rPr>
      </w:pPr>
      <w:r w:rsidRPr="00331AB4">
        <w:rPr>
          <w:rFonts w:hint="cs"/>
          <w:rtl/>
        </w:rPr>
        <w:t xml:space="preserve">על הוועדה המקומית תמר לפעול לאסדרה תכנונית מלאה של אתר הבוצה המלחית. </w:t>
      </w:r>
    </w:p>
    <w:p w:rsidR="006734B0" w:rsidRPr="008C362D" w:rsidP="008C362D" w14:paraId="595D703D" w14:textId="77777777">
      <w:pPr>
        <w:pStyle w:val="73414"/>
        <w:rPr>
          <w:rtl/>
        </w:rPr>
      </w:pPr>
      <w:r w:rsidRPr="008C362D">
        <w:rPr>
          <w:rFonts w:hint="cs"/>
          <w:rtl/>
        </w:rPr>
        <w:t>הר המלח</w:t>
      </w:r>
    </w:p>
    <w:p w:rsidR="006734B0" w:rsidRPr="008C362D" w:rsidP="008C362D" w14:paraId="70A7CA9E" w14:textId="70F0DA28">
      <w:pPr>
        <w:pStyle w:val="7392"/>
        <w:rPr>
          <w:rtl/>
        </w:rPr>
      </w:pPr>
      <w:r w:rsidRPr="008C362D">
        <w:rPr>
          <w:rFonts w:hint="cs"/>
          <w:rtl/>
        </w:rPr>
        <w:t xml:space="preserve">הר המלח הוקם בשנת 1982, ומשונעים אליו מלחים שנוצרים כעודפים בתהליך הפקת האשלג במפעל האשלג; רובם מגיעים מהמפעל בצורת תרחיף, וחלק קטן מגיע מאגם המלח הצפוני כחלק מתהליך הגיבוש החם. </w:t>
      </w:r>
    </w:p>
    <w:p w:rsidR="006734B0" w:rsidRPr="008C362D" w:rsidP="008C362D" w14:paraId="70151644" w14:textId="03F52ACA">
      <w:pPr>
        <w:pStyle w:val="7318"/>
        <w:rPr>
          <w:rtl/>
        </w:rPr>
      </w:pPr>
      <w:r w:rsidRPr="008C362D">
        <w:rPr>
          <w:rFonts w:hint="eastAsia"/>
          <w:rtl/>
        </w:rPr>
        <w:t>כמות</w:t>
      </w:r>
      <w:r w:rsidRPr="008C362D">
        <w:rPr>
          <w:rtl/>
        </w:rPr>
        <w:t xml:space="preserve"> המלח המפונה להר המלח </w:t>
      </w:r>
      <w:r w:rsidRPr="008C362D">
        <w:rPr>
          <w:rtl/>
        </w:rPr>
        <w:t>נאמדה</w:t>
      </w:r>
      <w:r w:rsidRPr="008C362D">
        <w:rPr>
          <w:rtl/>
        </w:rPr>
        <w:t xml:space="preserve"> על ידי </w:t>
      </w:r>
      <w:r w:rsidRPr="008C362D">
        <w:rPr>
          <w:rFonts w:hint="eastAsia"/>
          <w:rtl/>
        </w:rPr>
        <w:t>מי</w:t>
      </w:r>
      <w:r w:rsidRPr="008C362D">
        <w:rPr>
          <w:rtl/>
        </w:rPr>
        <w:t>"ה</w:t>
      </w:r>
      <w:r w:rsidRPr="008C362D">
        <w:rPr>
          <w:rtl/>
        </w:rPr>
        <w:t xml:space="preserve"> בשנת 2014 בכ-1.3 מיליון טונות בשנה</w:t>
      </w:r>
      <w:r>
        <w:rPr>
          <w:rStyle w:val="FootnoteReference1"/>
          <w:rtl/>
        </w:rPr>
        <w:footnoteReference w:id="76"/>
      </w:r>
      <w:r w:rsidRPr="008C362D">
        <w:rPr>
          <w:rtl/>
        </w:rPr>
        <w:t xml:space="preserve">, </w:t>
      </w:r>
      <w:r w:rsidRPr="008C362D">
        <w:rPr>
          <w:rFonts w:hint="eastAsia"/>
          <w:rtl/>
        </w:rPr>
        <w:t>ובשנת</w:t>
      </w:r>
      <w:r w:rsidRPr="008C362D">
        <w:rPr>
          <w:rtl/>
        </w:rPr>
        <w:t xml:space="preserve"> 2023 </w:t>
      </w:r>
      <w:r w:rsidRPr="008C362D">
        <w:rPr>
          <w:rFonts w:hint="eastAsia"/>
          <w:rtl/>
        </w:rPr>
        <w:t>היא</w:t>
      </w:r>
      <w:r w:rsidRPr="008C362D">
        <w:rPr>
          <w:rtl/>
        </w:rPr>
        <w:t xml:space="preserve"> </w:t>
      </w:r>
      <w:r w:rsidRPr="008C362D">
        <w:rPr>
          <w:rFonts w:hint="eastAsia"/>
          <w:rtl/>
        </w:rPr>
        <w:t>העריכה</w:t>
      </w:r>
      <w:r w:rsidRPr="008C362D">
        <w:rPr>
          <w:rtl/>
        </w:rPr>
        <w:t xml:space="preserve"> </w:t>
      </w:r>
      <w:r w:rsidRPr="008C362D">
        <w:rPr>
          <w:rFonts w:hint="eastAsia"/>
          <w:rtl/>
        </w:rPr>
        <w:t>אותו</w:t>
      </w:r>
      <w:r w:rsidRPr="008C362D">
        <w:rPr>
          <w:rtl/>
        </w:rPr>
        <w:t xml:space="preserve"> </w:t>
      </w:r>
      <w:r w:rsidRPr="008C362D">
        <w:rPr>
          <w:rFonts w:hint="eastAsia"/>
          <w:rtl/>
        </w:rPr>
        <w:t>ב</w:t>
      </w:r>
      <w:r w:rsidRPr="008C362D">
        <w:rPr>
          <w:rtl/>
        </w:rPr>
        <w:t xml:space="preserve">-2 </w:t>
      </w:r>
      <w:r w:rsidRPr="008C362D">
        <w:rPr>
          <w:rFonts w:hint="eastAsia"/>
          <w:rtl/>
        </w:rPr>
        <w:t>מיליון</w:t>
      </w:r>
      <w:r w:rsidRPr="008C362D">
        <w:rPr>
          <w:rtl/>
        </w:rPr>
        <w:t xml:space="preserve"> </w:t>
      </w:r>
      <w:r w:rsidRPr="008C362D">
        <w:rPr>
          <w:rFonts w:hint="eastAsia"/>
          <w:rtl/>
        </w:rPr>
        <w:t>טונות</w:t>
      </w:r>
      <w:r w:rsidRPr="008C362D">
        <w:rPr>
          <w:rtl/>
        </w:rPr>
        <w:t xml:space="preserve"> </w:t>
      </w:r>
      <w:r w:rsidRPr="008C362D">
        <w:rPr>
          <w:rFonts w:hint="eastAsia"/>
          <w:rtl/>
        </w:rPr>
        <w:t>בשנה</w:t>
      </w:r>
      <w:r w:rsidRPr="008C362D">
        <w:rPr>
          <w:rtl/>
        </w:rPr>
        <w:t>. נכון למועד הביקורת כמות המלח שנערמה בהר המלח היא כ-33 מיליון טונות, גובהה כ-40 מ' ושטח</w:t>
      </w:r>
      <w:r w:rsidRPr="008C362D">
        <w:rPr>
          <w:rFonts w:hint="cs"/>
          <w:rtl/>
        </w:rPr>
        <w:t xml:space="preserve"> בסיס המאגר הוא כ-945 </w:t>
      </w:r>
      <w:r w:rsidRPr="008C362D">
        <w:rPr>
          <w:rtl/>
        </w:rPr>
        <w:t xml:space="preserve">דונם. </w:t>
      </w:r>
    </w:p>
    <w:p w:rsidR="006734B0" w:rsidRPr="008C362D" w:rsidP="008C362D" w14:paraId="74042D1B" w14:textId="07D102F1">
      <w:pPr>
        <w:pStyle w:val="734"/>
        <w:rPr>
          <w:rtl/>
        </w:rPr>
      </w:pPr>
      <w:r w:rsidRPr="008C362D">
        <w:rPr>
          <w:rFonts w:hint="eastAsia"/>
          <w:b w:val="0"/>
          <w:bCs w:val="0"/>
          <w:rtl/>
        </w:rPr>
        <w:t>מפה</w:t>
      </w:r>
      <w:r w:rsidR="00D0542F">
        <w:rPr>
          <w:rFonts w:hint="cs"/>
          <w:b w:val="0"/>
          <w:bCs w:val="0"/>
          <w:rtl/>
        </w:rPr>
        <w:t xml:space="preserve"> 8</w:t>
      </w:r>
      <w:r w:rsidRPr="008C362D">
        <w:rPr>
          <w:rFonts w:hint="cs"/>
          <w:b w:val="0"/>
          <w:bCs w:val="0"/>
          <w:rtl/>
        </w:rPr>
        <w:t>:</w:t>
      </w:r>
      <w:r w:rsidRPr="008C362D">
        <w:rPr>
          <w:rFonts w:hint="cs"/>
          <w:rtl/>
        </w:rPr>
        <w:t xml:space="preserve"> הר המלח והשטח החכור, 2024</w:t>
      </w:r>
    </w:p>
    <w:p w:rsidR="006734B0" w:rsidP="006734B0" w14:paraId="5F434F21" w14:textId="77777777">
      <w:pPr>
        <w:spacing w:line="360" w:lineRule="auto"/>
        <w:jc w:val="center"/>
        <w:rPr>
          <w:rtl/>
        </w:rPr>
      </w:pPr>
      <w:r>
        <w:rPr>
          <w:noProof/>
        </w:rPr>
        <w:drawing>
          <wp:inline distT="0" distB="0" distL="0" distR="0">
            <wp:extent cx="3510280" cy="4965348"/>
            <wp:effectExtent l="0" t="0" r="0" b="6985"/>
            <wp:docPr id="515617046" name="תמונה 515617046" descr="תמונה שמכילה מפה&#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617046" name="תמונה 515617046" descr="תמונה שמכילה מפה&#10;&#10;תוכן שנוצר על-ידי בינה מלאכותית עשוי להיות שגוי."/>
                    <pic:cNvPicPr>
                      <a:picLocks noChangeAspect="1" noChangeArrowheads="1"/>
                    </pic:cNvPicPr>
                  </pic:nvPicPr>
                  <pic:blipFill>
                    <a:blip xmlns:r="http://schemas.openxmlformats.org/officeDocument/2006/relationships" r:embed="rId5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516024" cy="4973472"/>
                    </a:xfrm>
                    <a:prstGeom prst="rect">
                      <a:avLst/>
                    </a:prstGeom>
                    <a:noFill/>
                    <a:ln>
                      <a:noFill/>
                    </a:ln>
                  </pic:spPr>
                </pic:pic>
              </a:graphicData>
            </a:graphic>
          </wp:inline>
        </w:drawing>
      </w:r>
    </w:p>
    <w:p w:rsidR="006734B0" w:rsidRPr="008C362D" w:rsidP="008C362D" w14:paraId="343F9B9A" w14:textId="1076EBD5">
      <w:pPr>
        <w:pStyle w:val="738"/>
      </w:pPr>
      <w:r w:rsidRPr="008C362D">
        <w:rPr>
          <w:rFonts w:hint="cs"/>
          <w:rtl/>
        </w:rPr>
        <w:t xml:space="preserve">המקור: </w:t>
      </w:r>
      <w:r w:rsidRPr="008C362D">
        <w:rPr>
          <w:rtl/>
        </w:rPr>
        <w:t>מפת הרקע "</w:t>
      </w:r>
      <w:r w:rsidRPr="008C362D">
        <w:t>World_Imagery</w:t>
      </w:r>
      <w:r w:rsidRPr="008C362D">
        <w:rPr>
          <w:rtl/>
        </w:rPr>
        <w:t>" -</w:t>
      </w:r>
      <w:r w:rsidRPr="008C362D">
        <w:t>Esri, Maxar, Earthstar Geographics, and the GIS User Community</w:t>
      </w:r>
      <w:r w:rsidRPr="008C362D">
        <w:rPr>
          <w:rFonts w:hint="cs"/>
          <w:rtl/>
        </w:rPr>
        <w:t xml:space="preserve">, שכבות המשרד </w:t>
      </w:r>
      <w:r w:rsidRPr="008C362D">
        <w:rPr>
          <w:rFonts w:hint="cs"/>
          <w:rtl/>
        </w:rPr>
        <w:t>להג"ס</w:t>
      </w:r>
      <w:r w:rsidRPr="008C362D">
        <w:rPr>
          <w:rFonts w:hint="cs"/>
          <w:rtl/>
        </w:rPr>
        <w:t>, בעיבוד משרד מבקר המדינה.</w:t>
      </w:r>
    </w:p>
    <w:p w:rsidR="006734B0" w:rsidRPr="008C362D" w:rsidP="008C362D" w14:paraId="07412B08" w14:textId="77777777">
      <w:pPr>
        <w:pStyle w:val="7392"/>
      </w:pPr>
      <w:r w:rsidRPr="008C362D">
        <w:rPr>
          <w:rFonts w:hint="cs"/>
          <w:rtl/>
        </w:rPr>
        <w:t xml:space="preserve">נמצא כי בשנים 2008 עד 2015 קיים המשרד </w:t>
      </w:r>
      <w:r w:rsidRPr="008C362D">
        <w:rPr>
          <w:rFonts w:hint="cs"/>
          <w:rtl/>
        </w:rPr>
        <w:t>להג"ס</w:t>
      </w:r>
      <w:r w:rsidRPr="008C362D">
        <w:rPr>
          <w:rFonts w:hint="cs"/>
          <w:rtl/>
        </w:rPr>
        <w:t xml:space="preserve"> דיונים בנוגע לחלופות לעירום המלח בהר המלח ובסוגיית ההגדרה של מערום המלח בו. במסגרת</w:t>
      </w:r>
      <w:r w:rsidRPr="008C362D">
        <w:t xml:space="preserve"> </w:t>
      </w:r>
      <w:r w:rsidRPr="008C362D">
        <w:rPr>
          <w:rFonts w:hint="cs"/>
          <w:rtl/>
        </w:rPr>
        <w:t xml:space="preserve">הדיונים העלו נציגי </w:t>
      </w:r>
      <w:r w:rsidRPr="008C362D">
        <w:rPr>
          <w:rFonts w:hint="cs"/>
          <w:rtl/>
        </w:rPr>
        <w:t>מי"ה</w:t>
      </w:r>
      <w:r w:rsidRPr="008C362D">
        <w:rPr>
          <w:rFonts w:hint="cs"/>
          <w:rtl/>
        </w:rPr>
        <w:t xml:space="preserve"> טענה ולפיה המלח הוא מינרל שיש לו שוק ולפיכך אין לראותו כפסולת. באותם הדיונים ציין המשרד </w:t>
      </w:r>
      <w:r w:rsidRPr="008C362D">
        <w:rPr>
          <w:rFonts w:hint="cs"/>
          <w:rtl/>
        </w:rPr>
        <w:t>להג"ס</w:t>
      </w:r>
      <w:r w:rsidRPr="008C362D">
        <w:rPr>
          <w:rFonts w:hint="cs"/>
          <w:rtl/>
        </w:rPr>
        <w:t xml:space="preserve"> כי עמדת המשרד היא שבהר המלח נקלטת כמות מצטברת של מלח שלא נמצא לו שימוש, ומאחר שבאתר זה יש כניסת חומר ואין יציאה שלו, מדובר ב"מטמנה". במהלך שנת 2015 אף פנה מחוז דרום במשרד </w:t>
      </w:r>
      <w:r w:rsidRPr="008C362D">
        <w:rPr>
          <w:rFonts w:hint="cs"/>
          <w:rtl/>
        </w:rPr>
        <w:t>להג"ס</w:t>
      </w:r>
      <w:r w:rsidRPr="008C362D">
        <w:rPr>
          <w:rFonts w:hint="cs"/>
          <w:rtl/>
        </w:rPr>
        <w:t xml:space="preserve"> לסגן חשב המשרד וציין כי המלח המוערם בהר המלח הוא במהותו "פסולת כרייה", וכי יש לשקול את מדיניות המשרד בנוגע לחובת תשלום היטל הטמנה </w:t>
      </w:r>
      <w:r w:rsidRPr="008C362D">
        <w:rPr>
          <w:rFonts w:hint="cs"/>
          <w:rtl/>
        </w:rPr>
        <w:t>לפסולת זו. לצד זאת, מהפנייה עלה כי מדובר בסוגיה מורכבת שהכרעה בה דורשת בחינת ההשפעות הרוחביות גם לגבי חיוב בהיטל הטמנה של פסולות תעשייתיות מסוג אחר דוגמת פסולת כרייה הנוצרת במחצבות.</w:t>
      </w:r>
    </w:p>
    <w:p w:rsidR="006734B0" w:rsidRPr="008C362D" w:rsidP="008C362D" w14:paraId="6A1C7B57" w14:textId="77777777">
      <w:pPr>
        <w:pStyle w:val="7392"/>
        <w:rPr>
          <w:rtl/>
        </w:rPr>
      </w:pPr>
      <w:r w:rsidRPr="008C362D">
        <w:rPr>
          <w:rFonts w:hint="cs"/>
          <w:rtl/>
        </w:rPr>
        <w:t xml:space="preserve">לפי מסמכי המשרד </w:t>
      </w:r>
      <w:r w:rsidRPr="008C362D">
        <w:rPr>
          <w:rFonts w:hint="cs"/>
          <w:rtl/>
        </w:rPr>
        <w:t>להג"ס</w:t>
      </w:r>
      <w:r w:rsidRPr="008C362D">
        <w:rPr>
          <w:rFonts w:hint="cs"/>
          <w:rtl/>
        </w:rPr>
        <w:t xml:space="preserve">, הקמת הר המלח נעשתה ללא תשתית הגנה למניעת חלחול וחדירה של </w:t>
      </w:r>
      <w:r w:rsidRPr="008C362D">
        <w:rPr>
          <w:rFonts w:hint="cs"/>
          <w:rtl/>
        </w:rPr>
        <w:t>תמלחות</w:t>
      </w:r>
      <w:r w:rsidRPr="008C362D">
        <w:rPr>
          <w:rFonts w:hint="cs"/>
          <w:rtl/>
        </w:rPr>
        <w:t xml:space="preserve"> למי התהום, וזאת לפי תפיסות שהיו נהוגות בזמן הקמתו. יצוין כי ההר נמצא בקרבת מלחת סדום, ולפי </w:t>
      </w:r>
      <w:r w:rsidRPr="008C362D">
        <w:rPr>
          <w:rFonts w:hint="cs"/>
          <w:rtl/>
        </w:rPr>
        <w:t>רט"ג</w:t>
      </w:r>
      <w:r w:rsidRPr="008C362D">
        <w:rPr>
          <w:rFonts w:hint="cs"/>
          <w:rtl/>
        </w:rPr>
        <w:t xml:space="preserve"> הוא יוצר סביבו מפגעים סביבתיים עקב חלחולים ותשטיפים של </w:t>
      </w:r>
      <w:r w:rsidRPr="008C362D">
        <w:rPr>
          <w:rFonts w:hint="eastAsia"/>
          <w:rtl/>
        </w:rPr>
        <w:t>תמלחת</w:t>
      </w:r>
      <w:r w:rsidRPr="008C362D">
        <w:rPr>
          <w:rtl/>
        </w:rPr>
        <w:t xml:space="preserve"> </w:t>
      </w:r>
      <w:r w:rsidRPr="008C362D">
        <w:rPr>
          <w:rFonts w:hint="eastAsia"/>
          <w:rtl/>
        </w:rPr>
        <w:t>ממנו</w:t>
      </w:r>
      <w:r w:rsidRPr="008C362D">
        <w:rPr>
          <w:rtl/>
        </w:rPr>
        <w:t xml:space="preserve"> </w:t>
      </w:r>
      <w:r w:rsidRPr="008C362D">
        <w:rPr>
          <w:rFonts w:hint="eastAsia"/>
          <w:rtl/>
        </w:rPr>
        <w:t>לסביבה</w:t>
      </w:r>
      <w:r w:rsidRPr="008C362D">
        <w:rPr>
          <w:rFonts w:hint="cs"/>
          <w:rtl/>
        </w:rPr>
        <w:t>, דבר הפוגע גם בנוף וגם במלחה - שהיא בית גידול נדיר בעל חשיבות סביבתית גבוהה מאוד</w:t>
      </w:r>
      <w:r>
        <w:rPr>
          <w:rStyle w:val="FootnoteReference1"/>
          <w:rtl/>
        </w:rPr>
        <w:footnoteReference w:id="77"/>
      </w:r>
      <w:r w:rsidRPr="008C362D">
        <w:rPr>
          <w:rFonts w:hint="cs"/>
          <w:rtl/>
        </w:rPr>
        <w:t xml:space="preserve">. כמו כן, ממסמכי המשרד </w:t>
      </w:r>
      <w:r w:rsidRPr="008C362D">
        <w:rPr>
          <w:rFonts w:hint="cs"/>
          <w:rtl/>
        </w:rPr>
        <w:t>להג"ס</w:t>
      </w:r>
      <w:r w:rsidRPr="008C362D">
        <w:rPr>
          <w:rFonts w:hint="cs"/>
          <w:rtl/>
        </w:rPr>
        <w:t xml:space="preserve"> עולה כי בהר המלח נמצא זיהום שמקורו בפינוי כמויות גדולות של מזוט</w:t>
      </w:r>
      <w:r>
        <w:rPr>
          <w:rStyle w:val="FootnoteReference1"/>
          <w:rtl/>
        </w:rPr>
        <w:footnoteReference w:id="78"/>
      </w:r>
      <w:r w:rsidRPr="008C362D">
        <w:rPr>
          <w:rFonts w:hint="cs"/>
          <w:rtl/>
        </w:rPr>
        <w:t xml:space="preserve"> אליו וכי היקף הקרקע המזוהמת באתר הוא 300,000 קוב. </w:t>
      </w:r>
    </w:p>
    <w:p w:rsidR="006734B0" w:rsidRPr="008C362D" w:rsidP="008C362D" w14:paraId="61B4A39A" w14:textId="626F607B">
      <w:pPr>
        <w:pStyle w:val="7392"/>
        <w:rPr>
          <w:rtl/>
        </w:rPr>
      </w:pPr>
      <w:r w:rsidRPr="008C362D">
        <w:rPr>
          <w:rFonts w:hint="cs"/>
          <w:rtl/>
        </w:rPr>
        <w:t xml:space="preserve">בשנת 2021 קידמה </w:t>
      </w:r>
      <w:r w:rsidRPr="008C362D">
        <w:rPr>
          <w:rFonts w:hint="cs"/>
          <w:rtl/>
        </w:rPr>
        <w:t>מי"ה</w:t>
      </w:r>
      <w:r w:rsidRPr="008C362D">
        <w:rPr>
          <w:rFonts w:hint="cs"/>
          <w:rtl/>
        </w:rPr>
        <w:t xml:space="preserve"> תהליך תכנוני שיאפשר את הגבהת הר המלח. במסגרת אישור ההגבהה נקבע מתווה ולפיו ההגבהה תתבצע בשלבים המותנים </w:t>
      </w:r>
      <w:r w:rsidRPr="008C362D">
        <w:rPr>
          <w:rFonts w:hint="cs"/>
          <w:rtl/>
        </w:rPr>
        <w:t>באסדרת</w:t>
      </w:r>
      <w:r w:rsidRPr="008C362D">
        <w:rPr>
          <w:rFonts w:hint="cs"/>
          <w:rtl/>
        </w:rPr>
        <w:t xml:space="preserve"> פתרון ארוך טווח להר המלח. לפי המשרד </w:t>
      </w:r>
      <w:r w:rsidRPr="008C362D">
        <w:rPr>
          <w:rFonts w:hint="cs"/>
          <w:rtl/>
        </w:rPr>
        <w:t>להג"ס</w:t>
      </w:r>
      <w:r w:rsidRPr="008C362D">
        <w:rPr>
          <w:rFonts w:hint="cs"/>
          <w:rtl/>
        </w:rPr>
        <w:t xml:space="preserve">, "בתחום הזמן הזה [של מיצוי הגובה שאושר] יפעל המשרד להגדרת המלח כפסולת תעשייתית, תוך מתן הוראות מתאימות </w:t>
      </w:r>
      <w:r w:rsidRPr="008C362D">
        <w:rPr>
          <w:rFonts w:hint="cs"/>
          <w:rtl/>
        </w:rPr>
        <w:t>בתכנית</w:t>
      </w:r>
      <w:r w:rsidRPr="008C362D">
        <w:rPr>
          <w:rFonts w:hint="cs"/>
          <w:rtl/>
        </w:rPr>
        <w:t xml:space="preserve"> ארוכת הטווח".</w:t>
      </w:r>
    </w:p>
    <w:p w:rsidR="006734B0" w:rsidRPr="008C362D" w:rsidP="008C362D" w14:paraId="69F53378" w14:textId="77777777">
      <w:pPr>
        <w:pStyle w:val="7392"/>
        <w:rPr>
          <w:rtl/>
        </w:rPr>
      </w:pPr>
      <w:r w:rsidRPr="008C362D">
        <w:rPr>
          <w:rFonts w:hint="cs"/>
          <w:rtl/>
        </w:rPr>
        <w:t xml:space="preserve">הצורך בטיפול בהר המלח עלה גם במסגרת דוח נווה מינואר 2019 שבמסגרתו צוין כי "הר המלח מהווה למעשה הר פסולת סמוך לשטח המפעלים. יש לבחון הסדרת נושא זה - הן מבחינת הטיפול במפגעים קיימים, והן מבחינת מניעת מפגעים עתידיים". </w:t>
      </w:r>
    </w:p>
    <w:p w:rsidR="006734B0" w:rsidRPr="008C362D" w:rsidP="008C362D" w14:paraId="7EC46B57" w14:textId="0B28FE2B">
      <w:pPr>
        <w:pStyle w:val="734"/>
        <w:rPr>
          <w:rtl/>
        </w:rPr>
      </w:pPr>
      <w:r w:rsidRPr="008C362D">
        <w:rPr>
          <w:rFonts w:hint="cs"/>
          <w:b w:val="0"/>
          <w:bCs w:val="0"/>
          <w:rtl/>
        </w:rPr>
        <w:t>תמונה</w:t>
      </w:r>
      <w:r w:rsidR="00D0542F">
        <w:rPr>
          <w:rFonts w:hint="cs"/>
          <w:b w:val="0"/>
          <w:bCs w:val="0"/>
          <w:rtl/>
        </w:rPr>
        <w:t xml:space="preserve"> 14</w:t>
      </w:r>
      <w:r w:rsidRPr="008C362D">
        <w:rPr>
          <w:rFonts w:hint="cs"/>
          <w:b w:val="0"/>
          <w:bCs w:val="0"/>
          <w:rtl/>
        </w:rPr>
        <w:t>:</w:t>
      </w:r>
      <w:r w:rsidRPr="008C362D">
        <w:rPr>
          <w:rFonts w:hint="cs"/>
          <w:rtl/>
        </w:rPr>
        <w:t xml:space="preserve"> הר המלח, יוני 2024</w:t>
      </w:r>
    </w:p>
    <w:p w:rsidR="006734B0" w:rsidP="006734B0" w14:paraId="5056E642" w14:textId="77777777">
      <w:pPr>
        <w:spacing w:line="360" w:lineRule="auto"/>
        <w:jc w:val="center"/>
        <w:rPr>
          <w:rtl/>
        </w:rPr>
      </w:pPr>
      <w:r>
        <w:rPr>
          <w:noProof/>
        </w:rPr>
        <w:drawing>
          <wp:inline distT="0" distB="0" distL="0" distR="0">
            <wp:extent cx="4548433" cy="4595813"/>
            <wp:effectExtent l="1587" t="0" r="318" b="317"/>
            <wp:docPr id="748038549" name="תמונה 748038549" descr="תמונה שמכילה בחוץ, שמיים, קרקע&#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038549" name="תמונה 748038549" descr="תמונה שמכילה בחוץ, שמיים, קרקע&#10;&#10;תוכן שנוצר על-ידי בינה מלאכותית עשוי להיות שגוי."/>
                    <pic:cNvPicPr>
                      <a:picLocks noChangeAspect="1" noChangeArrowheads="1"/>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bwMode="auto">
                    <a:xfrm rot="5400000">
                      <a:off x="0" y="0"/>
                      <a:ext cx="4555262" cy="4602713"/>
                    </a:xfrm>
                    <a:prstGeom prst="rect">
                      <a:avLst/>
                    </a:prstGeom>
                    <a:noFill/>
                    <a:ln>
                      <a:noFill/>
                    </a:ln>
                  </pic:spPr>
                </pic:pic>
              </a:graphicData>
            </a:graphic>
          </wp:inline>
        </w:drawing>
      </w:r>
    </w:p>
    <w:p w:rsidR="006734B0" w:rsidRPr="008C362D" w:rsidP="008C362D" w14:paraId="30CC6358" w14:textId="13C5B357">
      <w:pPr>
        <w:pStyle w:val="738"/>
        <w:rPr>
          <w:rtl/>
        </w:rPr>
      </w:pPr>
      <w:r>
        <w:rPr>
          <w:rFonts w:hint="cs"/>
          <w:rtl/>
        </w:rPr>
        <w:t>המקור: משרד מבקר המדינה</w:t>
      </w:r>
      <w:r w:rsidRPr="008C362D">
        <w:rPr>
          <w:rFonts w:hint="cs"/>
          <w:rtl/>
        </w:rPr>
        <w:t xml:space="preserve">. </w:t>
      </w:r>
    </w:p>
    <w:p w:rsidR="006734B0" w:rsidRPr="008C362D" w:rsidP="008C362D" w14:paraId="2C0BF9FE" w14:textId="11AE1746">
      <w:pPr>
        <w:pStyle w:val="7318"/>
        <w:rPr>
          <w:rtl/>
        </w:rPr>
      </w:pPr>
      <w:r w:rsidRPr="008C362D">
        <w:rPr>
          <w:rFonts w:hint="cs"/>
          <w:rtl/>
        </w:rPr>
        <w:t xml:space="preserve">משנת 1982 משנעת </w:t>
      </w:r>
      <w:r w:rsidRPr="008C362D">
        <w:rPr>
          <w:rFonts w:hint="cs"/>
          <w:rtl/>
        </w:rPr>
        <w:t>מי"ה</w:t>
      </w:r>
      <w:r w:rsidRPr="008C362D">
        <w:rPr>
          <w:rFonts w:hint="cs"/>
          <w:rtl/>
        </w:rPr>
        <w:t xml:space="preserve"> מלחים הנוצרים כעודפים בתהליך התעשייתי ממפעל האשלג, ועורמת אותם בהר המלח</w:t>
      </w:r>
      <w:r>
        <w:rPr>
          <w:rStyle w:val="FootnoteReference1"/>
          <w:rtl/>
        </w:rPr>
        <w:footnoteReference w:id="79"/>
      </w:r>
      <w:r w:rsidRPr="008C362D">
        <w:rPr>
          <w:rFonts w:hint="cs"/>
          <w:rtl/>
        </w:rPr>
        <w:t xml:space="preserve">. </w:t>
      </w:r>
      <w:r w:rsidRPr="008C362D">
        <w:rPr>
          <w:rtl/>
        </w:rPr>
        <w:t xml:space="preserve">המשרד </w:t>
      </w:r>
      <w:r w:rsidRPr="008C362D">
        <w:rPr>
          <w:rFonts w:hint="eastAsia"/>
          <w:rtl/>
        </w:rPr>
        <w:t>להג</w:t>
      </w:r>
      <w:r w:rsidRPr="008C362D">
        <w:rPr>
          <w:rtl/>
        </w:rPr>
        <w:t>"ס</w:t>
      </w:r>
      <w:r w:rsidRPr="008C362D">
        <w:rPr>
          <w:rtl/>
        </w:rPr>
        <w:t xml:space="preserve"> לא אישר את סיווגם של </w:t>
      </w:r>
      <w:r w:rsidRPr="008C362D">
        <w:rPr>
          <w:rFonts w:hint="eastAsia"/>
          <w:rtl/>
        </w:rPr>
        <w:t>מלחים</w:t>
      </w:r>
      <w:r w:rsidRPr="008C362D">
        <w:rPr>
          <w:rtl/>
        </w:rPr>
        <w:t xml:space="preserve"> </w:t>
      </w:r>
      <w:r w:rsidRPr="008C362D">
        <w:rPr>
          <w:rFonts w:hint="eastAsia"/>
          <w:rtl/>
        </w:rPr>
        <w:t>אלו</w:t>
      </w:r>
      <w:r w:rsidRPr="008C362D">
        <w:rPr>
          <w:rtl/>
        </w:rPr>
        <w:t xml:space="preserve"> </w:t>
      </w:r>
      <w:r w:rsidRPr="008C362D">
        <w:rPr>
          <w:rFonts w:hint="eastAsia"/>
          <w:rtl/>
        </w:rPr>
        <w:t>כתוצר</w:t>
      </w:r>
      <w:r w:rsidRPr="008C362D">
        <w:rPr>
          <w:rtl/>
        </w:rPr>
        <w:t xml:space="preserve"> </w:t>
      </w:r>
      <w:r w:rsidRPr="008C362D">
        <w:rPr>
          <w:rFonts w:hint="eastAsia"/>
          <w:rtl/>
        </w:rPr>
        <w:t>לוואי</w:t>
      </w:r>
      <w:r w:rsidRPr="008C362D">
        <w:rPr>
          <w:rtl/>
        </w:rPr>
        <w:t xml:space="preserve"> </w:t>
      </w:r>
      <w:r w:rsidRPr="008C362D">
        <w:rPr>
          <w:rFonts w:hint="eastAsia"/>
          <w:rtl/>
        </w:rPr>
        <w:t>שמיש</w:t>
      </w:r>
      <w:r w:rsidRPr="008C362D">
        <w:rPr>
          <w:rtl/>
        </w:rPr>
        <w:t xml:space="preserve">, ועל כן </w:t>
      </w:r>
      <w:r w:rsidRPr="008C362D">
        <w:rPr>
          <w:rFonts w:hint="cs"/>
          <w:rtl/>
        </w:rPr>
        <w:t xml:space="preserve">יש לראות בהם פסולת, ונכון למועד הביקורת כמות המלחים שנערמה בהר היא כ-33 מיליון טונות, </w:t>
      </w:r>
      <w:r w:rsidRPr="00C22DE8" w:rsidR="00C22DE8">
        <w:rPr>
          <w:rtl/>
        </w:rPr>
        <w:t>ושטחו</w:t>
      </w:r>
      <w:r w:rsidR="00C22DE8">
        <w:rPr>
          <w:rFonts w:hint="cs"/>
          <w:rtl/>
        </w:rPr>
        <w:t xml:space="preserve"> </w:t>
      </w:r>
      <w:r w:rsidRPr="008C362D">
        <w:rPr>
          <w:rFonts w:hint="cs"/>
          <w:rtl/>
        </w:rPr>
        <w:t xml:space="preserve">מגיע לכ-945 דונם. נמצא כי אף שהמשרד </w:t>
      </w:r>
      <w:r w:rsidRPr="008C362D">
        <w:rPr>
          <w:rFonts w:hint="cs"/>
          <w:rtl/>
        </w:rPr>
        <w:t>להג"ס</w:t>
      </w:r>
      <w:r w:rsidRPr="008C362D">
        <w:rPr>
          <w:rFonts w:hint="cs"/>
          <w:rtl/>
        </w:rPr>
        <w:t xml:space="preserve"> הביע את עמדתו במסגרת דיונים שנערכו בשנת 2015 כי מדובר במטמנה, עד מועד סיום הביקורת (יוני 2024) לא פעל המשרד לקביעת תנאים ברישיון העסק של </w:t>
      </w:r>
      <w:r w:rsidRPr="008C362D">
        <w:rPr>
          <w:rFonts w:hint="cs"/>
          <w:rtl/>
        </w:rPr>
        <w:t>מי"ה</w:t>
      </w:r>
      <w:r w:rsidRPr="008C362D">
        <w:rPr>
          <w:rFonts w:hint="cs"/>
          <w:rtl/>
        </w:rPr>
        <w:t xml:space="preserve"> שיבטיחו כי שינוע הפסולת אל הר המלח, העירום שלו על ההר ותחזוקתו ייעשו תוך פגיעה מזערית בסביבה. כמו כן, באתר קיים זיהום קרקע של כ-300,000 קוב כתוצאה מפינוי כמויות גדולות של מזוט אליו</w:t>
      </w:r>
      <w:r>
        <w:rPr>
          <w:rStyle w:val="FootnoteReference1"/>
          <w:rtl/>
        </w:rPr>
        <w:footnoteReference w:id="80"/>
      </w:r>
      <w:r w:rsidRPr="008C362D">
        <w:rPr>
          <w:rFonts w:hint="cs"/>
          <w:rtl/>
        </w:rPr>
        <w:t xml:space="preserve">. </w:t>
      </w:r>
    </w:p>
    <w:p w:rsidR="006734B0" w:rsidRPr="008C362D" w:rsidP="008C362D" w14:paraId="628242A3" w14:textId="77777777">
      <w:pPr>
        <w:pStyle w:val="7392"/>
        <w:rPr>
          <w:rtl/>
        </w:rPr>
      </w:pPr>
      <w:r w:rsidRPr="008C362D">
        <w:rPr>
          <w:rFonts w:hint="cs"/>
          <w:rtl/>
        </w:rPr>
        <w:t xml:space="preserve">המשרד </w:t>
      </w:r>
      <w:r w:rsidRPr="008C362D">
        <w:rPr>
          <w:rFonts w:hint="cs"/>
          <w:rtl/>
        </w:rPr>
        <w:t>להג"ס</w:t>
      </w:r>
      <w:r w:rsidRPr="008C362D">
        <w:rPr>
          <w:rFonts w:hint="cs"/>
          <w:rtl/>
        </w:rPr>
        <w:t xml:space="preserve"> מסר למשרד מבקר המדינה במרץ 2024 כי החל באוגוסט 2017 </w:t>
      </w:r>
      <w:r w:rsidRPr="008C362D">
        <w:rPr>
          <w:rFonts w:hint="cs"/>
          <w:rtl/>
        </w:rPr>
        <w:t>מי"ה</w:t>
      </w:r>
      <w:r w:rsidRPr="008C362D">
        <w:rPr>
          <w:rFonts w:hint="cs"/>
          <w:rtl/>
        </w:rPr>
        <w:t xml:space="preserve"> מדווחת </w:t>
      </w:r>
      <w:r w:rsidRPr="008C362D">
        <w:rPr>
          <w:rFonts w:hint="eastAsia"/>
          <w:rtl/>
        </w:rPr>
        <w:t>לו</w:t>
      </w:r>
      <w:r w:rsidRPr="008C362D">
        <w:rPr>
          <w:rFonts w:hint="cs"/>
          <w:rtl/>
        </w:rPr>
        <w:t xml:space="preserve"> על כמויות המלח המצטברות ועורכת ניטור בהר ובסביבתו, ובכלל זה קידוחים בתת-הקרקע לאיתור חלחולים, אף שדרישות אלו אינן מעוגנות בתנאים לרישיון העסק. עוד מסר המשרד </w:t>
      </w:r>
      <w:r w:rsidRPr="008C362D">
        <w:rPr>
          <w:rFonts w:hint="cs"/>
          <w:rtl/>
        </w:rPr>
        <w:t>להג"ס</w:t>
      </w:r>
      <w:r w:rsidRPr="008C362D">
        <w:rPr>
          <w:rFonts w:hint="cs"/>
          <w:rtl/>
        </w:rPr>
        <w:t xml:space="preserve"> כי הנושא נמצא בתהליך הסדרה, וכי </w:t>
      </w:r>
      <w:r w:rsidRPr="008C362D">
        <w:rPr>
          <w:rFonts w:hint="eastAsia"/>
          <w:rtl/>
        </w:rPr>
        <w:t>הוא</w:t>
      </w:r>
      <w:r w:rsidRPr="008C362D">
        <w:rPr>
          <w:rFonts w:hint="cs"/>
          <w:rtl/>
        </w:rPr>
        <w:t xml:space="preserve"> החל לגבש תנאים סביבתיים שהוא יבחן להוסיף לרישיון העסק של מפעל האשלג המתייחסים לנושא.</w:t>
      </w:r>
    </w:p>
    <w:p w:rsidR="006734B0" w:rsidRPr="008C362D" w:rsidP="008C362D" w14:paraId="3A435E5A" w14:textId="77777777">
      <w:pPr>
        <w:pStyle w:val="7392"/>
        <w:rPr>
          <w:rtl/>
        </w:rPr>
      </w:pPr>
      <w:r w:rsidRPr="008C362D">
        <w:rPr>
          <w:rFonts w:hint="cs"/>
          <w:rtl/>
        </w:rPr>
        <w:t>מי"ה</w:t>
      </w:r>
      <w:r w:rsidRPr="008C362D">
        <w:rPr>
          <w:rFonts w:hint="cs"/>
          <w:rtl/>
        </w:rPr>
        <w:t xml:space="preserve"> מסרה בתשובתה למשרד מבקר המדינה כי תנאים סביבתיים אינם צריכים להיקבע בתוך תנאי רישיון עסק דווקא</w:t>
      </w:r>
      <w:r w:rsidRPr="008C362D">
        <w:rPr>
          <w:rtl/>
        </w:rPr>
        <w:t>,</w:t>
      </w:r>
      <w:r w:rsidRPr="008C362D">
        <w:rPr>
          <w:rFonts w:hint="cs"/>
          <w:rtl/>
        </w:rPr>
        <w:t xml:space="preserve"> וכי הם כבר כלולים בת</w:t>
      </w:r>
      <w:r w:rsidRPr="008C362D">
        <w:rPr>
          <w:rFonts w:hint="eastAsia"/>
          <w:rtl/>
        </w:rPr>
        <w:t>ו</w:t>
      </w:r>
      <w:r w:rsidRPr="008C362D">
        <w:rPr>
          <w:rFonts w:hint="cs"/>
          <w:rtl/>
        </w:rPr>
        <w:t>כניות לפי חוק התכנון והבנ</w:t>
      </w:r>
      <w:r w:rsidRPr="008C362D">
        <w:rPr>
          <w:rFonts w:hint="eastAsia"/>
          <w:rtl/>
        </w:rPr>
        <w:t>י</w:t>
      </w:r>
      <w:r w:rsidRPr="008C362D">
        <w:rPr>
          <w:rFonts w:hint="cs"/>
          <w:rtl/>
        </w:rPr>
        <w:t>יה, דוגמת הדרישה להכנת ת</w:t>
      </w:r>
      <w:r w:rsidRPr="008C362D">
        <w:rPr>
          <w:rFonts w:hint="eastAsia"/>
          <w:rtl/>
        </w:rPr>
        <w:t>ו</w:t>
      </w:r>
      <w:r w:rsidRPr="008C362D">
        <w:rPr>
          <w:rFonts w:hint="cs"/>
          <w:rtl/>
        </w:rPr>
        <w:t xml:space="preserve">כנית ניטור. </w:t>
      </w:r>
    </w:p>
    <w:p w:rsidR="006734B0" w:rsidRPr="008C362D" w:rsidP="008C362D" w14:paraId="45877531" w14:textId="316F5BF2">
      <w:pPr>
        <w:pStyle w:val="7392"/>
        <w:rPr>
          <w:rtl/>
        </w:rPr>
      </w:pPr>
      <w:r w:rsidRPr="008C362D">
        <w:rPr>
          <w:rFonts w:hint="cs"/>
          <w:rtl/>
        </w:rPr>
        <w:t>משרד מבקר המדינה מציין כי הדרישות התכנוניות הכלולות בת</w:t>
      </w:r>
      <w:r w:rsidRPr="008C362D">
        <w:rPr>
          <w:rFonts w:hint="eastAsia"/>
          <w:rtl/>
        </w:rPr>
        <w:t>ו</w:t>
      </w:r>
      <w:r w:rsidRPr="008C362D">
        <w:rPr>
          <w:rFonts w:hint="cs"/>
          <w:rtl/>
        </w:rPr>
        <w:t xml:space="preserve">כניות הבנייה אינן מייתרות את הצורך בתנאים ברישיון עסק, ולא בכדי אתר סילוק פסולת הוא פריט רישוי הנדרש לקבל תנאים ברישיון עסק מטעם המשרד </w:t>
      </w:r>
      <w:r w:rsidRPr="008C362D">
        <w:rPr>
          <w:rFonts w:hint="cs"/>
          <w:rtl/>
        </w:rPr>
        <w:t>להג"ס</w:t>
      </w:r>
      <w:r w:rsidRPr="008C362D">
        <w:rPr>
          <w:rFonts w:hint="cs"/>
          <w:rtl/>
        </w:rPr>
        <w:t xml:space="preserve"> לצורך הפעלתו לפי צו רישוי עסקים (עסקים טעוני רישוי), התשע"ג-2013, זאת לצד אסדרה תכנונית מלאה </w:t>
      </w:r>
      <w:r w:rsidRPr="008C362D">
        <w:rPr>
          <w:rFonts w:hint="eastAsia"/>
          <w:rtl/>
        </w:rPr>
        <w:t>ו</w:t>
      </w:r>
      <w:r w:rsidRPr="008C362D">
        <w:rPr>
          <w:rFonts w:hint="cs"/>
          <w:rtl/>
        </w:rPr>
        <w:t xml:space="preserve">כן </w:t>
      </w:r>
      <w:r w:rsidRPr="008C362D">
        <w:rPr>
          <w:rFonts w:hint="eastAsia"/>
          <w:rtl/>
        </w:rPr>
        <w:t>כי</w:t>
      </w:r>
      <w:r w:rsidRPr="008C362D">
        <w:rPr>
          <w:rFonts w:hint="cs"/>
          <w:rtl/>
        </w:rPr>
        <w:t xml:space="preserve"> לחוק התכנון והבנייה ולחוק רישוי עסקים רציונל אחר ואמצעי אכיפה שונים </w:t>
      </w:r>
      <w:r w:rsidRPr="008C362D">
        <w:rPr>
          <w:rFonts w:hint="eastAsia"/>
          <w:rtl/>
        </w:rPr>
        <w:t>שניתן</w:t>
      </w:r>
      <w:r w:rsidRPr="008C362D">
        <w:rPr>
          <w:rtl/>
        </w:rPr>
        <w:t xml:space="preserve"> לנקוט </w:t>
      </w:r>
      <w:r w:rsidRPr="008C362D">
        <w:rPr>
          <w:rFonts w:hint="eastAsia"/>
          <w:rtl/>
        </w:rPr>
        <w:t>כשמ</w:t>
      </w:r>
      <w:r w:rsidRPr="008C362D">
        <w:rPr>
          <w:rFonts w:hint="cs"/>
          <w:rtl/>
        </w:rPr>
        <w:t>תבצע</w:t>
      </w:r>
      <w:r w:rsidRPr="008C362D">
        <w:rPr>
          <w:rFonts w:hint="eastAsia"/>
          <w:rtl/>
        </w:rPr>
        <w:t>ת</w:t>
      </w:r>
      <w:r w:rsidRPr="008C362D">
        <w:rPr>
          <w:rFonts w:hint="cs"/>
          <w:rtl/>
        </w:rPr>
        <w:t xml:space="preserve"> הפרה. עיון בטיוטת התנאים הסביבתיים שהמשרד </w:t>
      </w:r>
      <w:r w:rsidRPr="008C362D">
        <w:rPr>
          <w:rFonts w:hint="cs"/>
          <w:rtl/>
        </w:rPr>
        <w:t>להג"ס</w:t>
      </w:r>
      <w:r w:rsidRPr="008C362D">
        <w:rPr>
          <w:rFonts w:hint="cs"/>
          <w:rtl/>
        </w:rPr>
        <w:t xml:space="preserve"> החל לגבש </w:t>
      </w:r>
      <w:r w:rsidRPr="008C362D">
        <w:rPr>
          <w:rFonts w:hint="eastAsia"/>
          <w:rtl/>
        </w:rPr>
        <w:t>בנוגע</w:t>
      </w:r>
      <w:r w:rsidRPr="008C362D">
        <w:rPr>
          <w:rFonts w:hint="cs"/>
          <w:rtl/>
        </w:rPr>
        <w:t xml:space="preserve"> להר המלח </w:t>
      </w:r>
      <w:r w:rsidRPr="008C362D">
        <w:rPr>
          <w:rFonts w:hint="eastAsia"/>
          <w:rtl/>
        </w:rPr>
        <w:t>כדי</w:t>
      </w:r>
      <w:r w:rsidRPr="008C362D">
        <w:rPr>
          <w:rFonts w:hint="cs"/>
          <w:rtl/>
        </w:rPr>
        <w:t xml:space="preserve"> להוסיפם לרישיון העסק של </w:t>
      </w:r>
      <w:r w:rsidRPr="008C362D">
        <w:rPr>
          <w:rFonts w:hint="cs"/>
          <w:rtl/>
        </w:rPr>
        <w:t>מי"ה</w:t>
      </w:r>
      <w:r w:rsidRPr="008C362D">
        <w:rPr>
          <w:rFonts w:hint="cs"/>
          <w:rtl/>
        </w:rPr>
        <w:t xml:space="preserve"> מלמד כי מדובר בתנאים משמעותיים, שחלקם אינם כלולים בת</w:t>
      </w:r>
      <w:r w:rsidRPr="008C362D">
        <w:rPr>
          <w:rFonts w:hint="eastAsia"/>
          <w:rtl/>
        </w:rPr>
        <w:t>ו</w:t>
      </w:r>
      <w:r w:rsidRPr="008C362D">
        <w:rPr>
          <w:rFonts w:hint="cs"/>
          <w:rtl/>
        </w:rPr>
        <w:t xml:space="preserve">כניות הבנייה החלות על השטח, ובכללם: דרישה להגיש סיווג של הפסולת </w:t>
      </w:r>
      <w:r w:rsidRPr="008C362D">
        <w:rPr>
          <w:rtl/>
        </w:rPr>
        <w:t xml:space="preserve">בהתבסס על </w:t>
      </w:r>
      <w:r w:rsidRPr="00C22DE8" w:rsidR="00C22DE8">
        <w:rPr>
          <w:rtl/>
        </w:rPr>
        <w:t>הדירקטיבה</w:t>
      </w:r>
      <w:r w:rsidR="00C22DE8">
        <w:rPr>
          <w:rFonts w:hint="cs"/>
          <w:rtl/>
        </w:rPr>
        <w:t xml:space="preserve"> </w:t>
      </w:r>
      <w:r w:rsidRPr="008C362D">
        <w:rPr>
          <w:rtl/>
        </w:rPr>
        <w:t>האירופית</w:t>
      </w:r>
      <w:r w:rsidRPr="008C362D">
        <w:rPr>
          <w:rFonts w:hint="cs"/>
          <w:rtl/>
        </w:rPr>
        <w:t xml:space="preserve"> ובהתאם לסיווג להגיש</w:t>
      </w:r>
      <w:r w:rsidRPr="008C362D">
        <w:rPr>
          <w:rtl/>
        </w:rPr>
        <w:t xml:space="preserve"> תוכנית מפורטת לאסדרה ו</w:t>
      </w:r>
      <w:r w:rsidRPr="008C362D">
        <w:rPr>
          <w:rFonts w:hint="eastAsia"/>
          <w:rtl/>
        </w:rPr>
        <w:t>ל</w:t>
      </w:r>
      <w:r w:rsidRPr="008C362D">
        <w:rPr>
          <w:rtl/>
        </w:rPr>
        <w:t>טיפול</w:t>
      </w:r>
      <w:r w:rsidRPr="008C362D">
        <w:rPr>
          <w:rFonts w:hint="cs"/>
          <w:rtl/>
        </w:rPr>
        <w:t>; דרישה להגיש מדי פעם בפעם</w:t>
      </w:r>
      <w:r w:rsidRPr="008C362D">
        <w:rPr>
          <w:rtl/>
        </w:rPr>
        <w:t xml:space="preserve"> ת</w:t>
      </w:r>
      <w:r w:rsidRPr="008C362D">
        <w:rPr>
          <w:rFonts w:hint="eastAsia"/>
          <w:rtl/>
        </w:rPr>
        <w:t>ו</w:t>
      </w:r>
      <w:r w:rsidRPr="008C362D">
        <w:rPr>
          <w:rtl/>
        </w:rPr>
        <w:t xml:space="preserve">כנית חקר </w:t>
      </w:r>
      <w:r w:rsidRPr="008C362D">
        <w:rPr>
          <w:rFonts w:hint="cs"/>
          <w:rtl/>
        </w:rPr>
        <w:t xml:space="preserve">הידרו-גיאולוגית שתכלול גם ניטור אקולוגי של האזור </w:t>
      </w:r>
      <w:r w:rsidRPr="008C362D">
        <w:rPr>
          <w:rFonts w:hint="eastAsia"/>
          <w:rtl/>
        </w:rPr>
        <w:t>ו</w:t>
      </w:r>
      <w:r w:rsidRPr="008C362D">
        <w:rPr>
          <w:rFonts w:hint="cs"/>
          <w:rtl/>
        </w:rPr>
        <w:t xml:space="preserve">מעקב אחר גובה מפלס מי תהום. לדעת משרד מבקר המדינה העובדה שהמשרד </w:t>
      </w:r>
      <w:r w:rsidRPr="008C362D">
        <w:rPr>
          <w:rFonts w:hint="cs"/>
          <w:rtl/>
        </w:rPr>
        <w:t>להג"ס</w:t>
      </w:r>
      <w:r w:rsidRPr="008C362D">
        <w:rPr>
          <w:rFonts w:hint="cs"/>
          <w:rtl/>
        </w:rPr>
        <w:t xml:space="preserve">, שהוא המאסדר לעניין תנאים סביבתיים ברישיון העסק, החליט לקדם תנאים סביבתיים במסגרת זאת מעידה על הצורך בהוספתם. </w:t>
      </w:r>
    </w:p>
    <w:p w:rsidR="006734B0" w:rsidRPr="008C362D" w:rsidP="008C362D" w14:paraId="78A7B21D" w14:textId="77777777">
      <w:pPr>
        <w:pStyle w:val="7318"/>
        <w:rPr>
          <w:rtl/>
        </w:rPr>
      </w:pPr>
      <w:r w:rsidRPr="008C362D">
        <w:rPr>
          <w:rFonts w:hint="cs"/>
          <w:rtl/>
        </w:rPr>
        <w:t xml:space="preserve">עוד נמצא כי אף שסוגיית החיוב בהיטל הטמנה בגין פסולת המלח המוערמת בהר המלח הועלתה במשרד </w:t>
      </w:r>
      <w:r w:rsidRPr="008C362D">
        <w:rPr>
          <w:rFonts w:hint="cs"/>
          <w:rtl/>
        </w:rPr>
        <w:t>להג"ס</w:t>
      </w:r>
      <w:r w:rsidRPr="008C362D">
        <w:rPr>
          <w:rFonts w:hint="cs"/>
          <w:rtl/>
        </w:rPr>
        <w:t xml:space="preserve"> בשנת 2015, נכון למועד סיום הביקורת (יוני 2024) המשרד לא קיבל החלטה ולא פעל בנושא, כך שהמלח הנערם אינו מחויב בהיטל. </w:t>
      </w:r>
    </w:p>
    <w:p w:rsidR="006734B0" w:rsidRPr="008C362D" w:rsidP="008C362D" w14:paraId="5468F028" w14:textId="3D41FE01">
      <w:pPr>
        <w:pStyle w:val="7318"/>
        <w:rPr>
          <w:rtl/>
        </w:rPr>
      </w:pPr>
      <w:r w:rsidRPr="00382C24">
        <w:rPr>
          <w:rtl/>
        </w:rPr>
        <w:t xml:space="preserve">לשם המחשה, לפי תחשיב שביצע משרד מבקר המדינה, אילו היה המשרד </w:t>
      </w:r>
      <w:r w:rsidRPr="00382C24">
        <w:rPr>
          <w:rtl/>
        </w:rPr>
        <w:t>להג"ס</w:t>
      </w:r>
      <w:r w:rsidRPr="00382C24">
        <w:rPr>
          <w:rtl/>
        </w:rPr>
        <w:t xml:space="preserve"> מחייב בשנת 2023 את הפסולת שהוטמנה בהר המלח בהיטל הטמנה עבור אותה השנה, גובה ההיטל שהיה משתלם לקרן לשמירת הניקיון היה נע בין 89 מיליון ש"ח לבין 134 מיליון ש"ח, בהתאם לסוג הפסולת שבגינה היו מחשבים את ההיטל (בוצה תעשייתית או פסולת יבשה, בהתאמה</w:t>
      </w:r>
      <w:r w:rsidRPr="008C362D">
        <w:rPr>
          <w:rtl/>
        </w:rPr>
        <w:t>)</w:t>
      </w:r>
      <w:r>
        <w:rPr>
          <w:rStyle w:val="FootnoteReference1"/>
          <w:rtl/>
        </w:rPr>
        <w:footnoteReference w:id="81"/>
      </w:r>
      <w:r w:rsidRPr="008C362D">
        <w:rPr>
          <w:rtl/>
        </w:rPr>
        <w:t xml:space="preserve">. </w:t>
      </w:r>
      <w:r w:rsidRPr="008C362D">
        <w:rPr>
          <w:rFonts w:hint="eastAsia"/>
          <w:rtl/>
        </w:rPr>
        <w:t>מכל</w:t>
      </w:r>
      <w:r w:rsidRPr="008C362D">
        <w:rPr>
          <w:rtl/>
        </w:rPr>
        <w:t xml:space="preserve"> </w:t>
      </w:r>
      <w:r w:rsidRPr="008C362D">
        <w:rPr>
          <w:rFonts w:hint="eastAsia"/>
          <w:rtl/>
        </w:rPr>
        <w:t>מקום</w:t>
      </w:r>
      <w:r w:rsidRPr="008C362D">
        <w:rPr>
          <w:rtl/>
        </w:rPr>
        <w:t xml:space="preserve"> </w:t>
      </w:r>
      <w:r w:rsidRPr="008C362D">
        <w:rPr>
          <w:rFonts w:hint="eastAsia"/>
          <w:rtl/>
        </w:rPr>
        <w:t>יובהר</w:t>
      </w:r>
      <w:r w:rsidRPr="008C362D">
        <w:rPr>
          <w:rtl/>
        </w:rPr>
        <w:t xml:space="preserve"> </w:t>
      </w:r>
      <w:r w:rsidRPr="008C362D">
        <w:rPr>
          <w:rFonts w:hint="eastAsia"/>
          <w:rtl/>
        </w:rPr>
        <w:t>כי</w:t>
      </w:r>
      <w:r w:rsidRPr="008C362D">
        <w:rPr>
          <w:rtl/>
        </w:rPr>
        <w:t xml:space="preserve"> </w:t>
      </w:r>
      <w:r w:rsidRPr="008C362D">
        <w:rPr>
          <w:rFonts w:hint="eastAsia"/>
          <w:rtl/>
        </w:rPr>
        <w:t>החלטה</w:t>
      </w:r>
      <w:r w:rsidRPr="008C362D">
        <w:rPr>
          <w:rtl/>
        </w:rPr>
        <w:t xml:space="preserve"> </w:t>
      </w:r>
      <w:r w:rsidRPr="008C362D">
        <w:rPr>
          <w:rFonts w:hint="eastAsia"/>
          <w:rtl/>
        </w:rPr>
        <w:t>לחייב</w:t>
      </w:r>
      <w:r w:rsidRPr="008C362D">
        <w:rPr>
          <w:rtl/>
        </w:rPr>
        <w:t xml:space="preserve"> </w:t>
      </w:r>
      <w:r w:rsidRPr="008C362D">
        <w:rPr>
          <w:rFonts w:hint="eastAsia"/>
          <w:rtl/>
        </w:rPr>
        <w:t>את</w:t>
      </w:r>
      <w:r w:rsidRPr="008C362D">
        <w:rPr>
          <w:rtl/>
        </w:rPr>
        <w:t xml:space="preserve"> </w:t>
      </w:r>
      <w:r w:rsidRPr="008C362D">
        <w:rPr>
          <w:rFonts w:hint="eastAsia"/>
          <w:rtl/>
        </w:rPr>
        <w:t>מי</w:t>
      </w:r>
      <w:r w:rsidRPr="008C362D">
        <w:rPr>
          <w:rtl/>
        </w:rPr>
        <w:t>"ה</w:t>
      </w:r>
      <w:r w:rsidRPr="008C362D">
        <w:rPr>
          <w:rtl/>
        </w:rPr>
        <w:t xml:space="preserve"> </w:t>
      </w:r>
      <w:r w:rsidRPr="008C362D">
        <w:rPr>
          <w:rFonts w:hint="eastAsia"/>
          <w:rtl/>
        </w:rPr>
        <w:t>בתשלום</w:t>
      </w:r>
      <w:r w:rsidRPr="008C362D">
        <w:rPr>
          <w:rtl/>
        </w:rPr>
        <w:t xml:space="preserve"> </w:t>
      </w:r>
      <w:r w:rsidRPr="008C362D">
        <w:rPr>
          <w:rFonts w:hint="eastAsia"/>
          <w:rtl/>
        </w:rPr>
        <w:t>היטל</w:t>
      </w:r>
      <w:r w:rsidRPr="008C362D">
        <w:rPr>
          <w:rtl/>
        </w:rPr>
        <w:t xml:space="preserve"> </w:t>
      </w:r>
      <w:r w:rsidRPr="008C362D">
        <w:rPr>
          <w:rFonts w:hint="eastAsia"/>
          <w:rtl/>
        </w:rPr>
        <w:t>הטמנה</w:t>
      </w:r>
      <w:r w:rsidRPr="008C362D">
        <w:rPr>
          <w:rtl/>
        </w:rPr>
        <w:t xml:space="preserve"> </w:t>
      </w:r>
      <w:r w:rsidRPr="008C362D">
        <w:rPr>
          <w:rFonts w:hint="eastAsia"/>
          <w:rtl/>
        </w:rPr>
        <w:t>בגין</w:t>
      </w:r>
      <w:r w:rsidRPr="008C362D">
        <w:rPr>
          <w:rtl/>
        </w:rPr>
        <w:t xml:space="preserve"> </w:t>
      </w:r>
      <w:r w:rsidRPr="008C362D">
        <w:rPr>
          <w:rFonts w:hint="eastAsia"/>
          <w:rtl/>
        </w:rPr>
        <w:t>פסולת</w:t>
      </w:r>
      <w:r w:rsidRPr="008C362D">
        <w:rPr>
          <w:rtl/>
        </w:rPr>
        <w:t xml:space="preserve"> </w:t>
      </w:r>
      <w:r w:rsidRPr="008C362D">
        <w:rPr>
          <w:rFonts w:hint="eastAsia"/>
          <w:rtl/>
        </w:rPr>
        <w:t>המלח</w:t>
      </w:r>
      <w:r w:rsidRPr="008C362D">
        <w:rPr>
          <w:rtl/>
        </w:rPr>
        <w:t xml:space="preserve"> </w:t>
      </w:r>
      <w:r w:rsidRPr="008C362D">
        <w:rPr>
          <w:rFonts w:hint="eastAsia"/>
          <w:rtl/>
        </w:rPr>
        <w:t>תצטרך</w:t>
      </w:r>
      <w:r w:rsidRPr="008C362D">
        <w:rPr>
          <w:rtl/>
        </w:rPr>
        <w:t xml:space="preserve"> </w:t>
      </w:r>
      <w:r w:rsidRPr="008C362D">
        <w:rPr>
          <w:rFonts w:hint="eastAsia"/>
          <w:rtl/>
        </w:rPr>
        <w:t>להתקבל</w:t>
      </w:r>
      <w:r w:rsidRPr="008C362D">
        <w:rPr>
          <w:rtl/>
        </w:rPr>
        <w:t xml:space="preserve"> </w:t>
      </w:r>
      <w:r w:rsidRPr="008C362D">
        <w:rPr>
          <w:rFonts w:hint="eastAsia"/>
          <w:rtl/>
        </w:rPr>
        <w:t>ע</w:t>
      </w:r>
      <w:r>
        <w:rPr>
          <w:rFonts w:hint="cs"/>
          <w:rtl/>
        </w:rPr>
        <w:t>ל ידי</w:t>
      </w:r>
      <w:r w:rsidRPr="008C362D">
        <w:rPr>
          <w:rtl/>
        </w:rPr>
        <w:t xml:space="preserve"> </w:t>
      </w:r>
      <w:r w:rsidRPr="008C362D">
        <w:rPr>
          <w:rFonts w:hint="eastAsia"/>
          <w:rtl/>
        </w:rPr>
        <w:t>המשרד</w:t>
      </w:r>
      <w:r w:rsidRPr="008C362D">
        <w:rPr>
          <w:rtl/>
        </w:rPr>
        <w:t xml:space="preserve"> </w:t>
      </w:r>
      <w:r w:rsidRPr="008C362D">
        <w:rPr>
          <w:rFonts w:hint="eastAsia"/>
          <w:rtl/>
        </w:rPr>
        <w:t>להג</w:t>
      </w:r>
      <w:r w:rsidRPr="008C362D">
        <w:rPr>
          <w:rtl/>
        </w:rPr>
        <w:t>"ס</w:t>
      </w:r>
      <w:r>
        <w:rPr>
          <w:rFonts w:hint="cs"/>
          <w:rtl/>
        </w:rPr>
        <w:t>,</w:t>
      </w:r>
      <w:r w:rsidRPr="008C362D">
        <w:rPr>
          <w:rtl/>
        </w:rPr>
        <w:t xml:space="preserve"> </w:t>
      </w:r>
      <w:r w:rsidRPr="008C362D">
        <w:rPr>
          <w:rFonts w:hint="eastAsia"/>
          <w:rtl/>
        </w:rPr>
        <w:t>והחישוב</w:t>
      </w:r>
      <w:r w:rsidRPr="008C362D">
        <w:rPr>
          <w:rtl/>
        </w:rPr>
        <w:t xml:space="preserve"> </w:t>
      </w:r>
      <w:r w:rsidRPr="008C362D">
        <w:rPr>
          <w:rFonts w:hint="eastAsia"/>
          <w:rtl/>
        </w:rPr>
        <w:t>של</w:t>
      </w:r>
      <w:r w:rsidRPr="008C362D">
        <w:rPr>
          <w:rtl/>
        </w:rPr>
        <w:t xml:space="preserve"> </w:t>
      </w:r>
      <w:r w:rsidRPr="008C362D">
        <w:rPr>
          <w:rFonts w:hint="eastAsia"/>
          <w:rtl/>
        </w:rPr>
        <w:t>סכום</w:t>
      </w:r>
      <w:r w:rsidRPr="008C362D">
        <w:rPr>
          <w:rtl/>
        </w:rPr>
        <w:t xml:space="preserve"> </w:t>
      </w:r>
      <w:r w:rsidRPr="008C362D">
        <w:rPr>
          <w:rFonts w:hint="eastAsia"/>
          <w:rtl/>
        </w:rPr>
        <w:t>החיוב</w:t>
      </w:r>
      <w:r w:rsidRPr="008C362D">
        <w:rPr>
          <w:rtl/>
        </w:rPr>
        <w:t xml:space="preserve"> </w:t>
      </w:r>
      <w:r w:rsidRPr="008C362D">
        <w:rPr>
          <w:rFonts w:hint="eastAsia"/>
          <w:rtl/>
        </w:rPr>
        <w:t>כמו</w:t>
      </w:r>
      <w:r w:rsidRPr="008C362D">
        <w:rPr>
          <w:rtl/>
        </w:rPr>
        <w:t xml:space="preserve"> </w:t>
      </w:r>
      <w:r w:rsidRPr="008C362D">
        <w:rPr>
          <w:rFonts w:hint="eastAsia"/>
          <w:rtl/>
        </w:rPr>
        <w:t>גם</w:t>
      </w:r>
      <w:r w:rsidRPr="008C362D">
        <w:rPr>
          <w:rtl/>
        </w:rPr>
        <w:t xml:space="preserve"> </w:t>
      </w:r>
      <w:r w:rsidRPr="008C362D">
        <w:rPr>
          <w:rFonts w:hint="eastAsia"/>
          <w:rtl/>
        </w:rPr>
        <w:t>תקופת</w:t>
      </w:r>
      <w:r w:rsidRPr="008C362D">
        <w:rPr>
          <w:rtl/>
        </w:rPr>
        <w:t xml:space="preserve"> </w:t>
      </w:r>
      <w:r w:rsidRPr="008C362D">
        <w:rPr>
          <w:rFonts w:hint="eastAsia"/>
          <w:rtl/>
        </w:rPr>
        <w:t>החיוב</w:t>
      </w:r>
      <w:r w:rsidRPr="008C362D">
        <w:rPr>
          <w:rtl/>
        </w:rPr>
        <w:t xml:space="preserve"> </w:t>
      </w:r>
      <w:r w:rsidRPr="008C362D">
        <w:rPr>
          <w:rFonts w:hint="eastAsia"/>
          <w:rtl/>
        </w:rPr>
        <w:t>יצטרך</w:t>
      </w:r>
      <w:r w:rsidRPr="008C362D">
        <w:rPr>
          <w:rtl/>
        </w:rPr>
        <w:t xml:space="preserve"> </w:t>
      </w:r>
      <w:r w:rsidRPr="008C362D">
        <w:rPr>
          <w:rFonts w:hint="eastAsia"/>
          <w:rtl/>
        </w:rPr>
        <w:t>להתבצע</w:t>
      </w:r>
      <w:r w:rsidRPr="008C362D">
        <w:rPr>
          <w:rtl/>
        </w:rPr>
        <w:t xml:space="preserve"> </w:t>
      </w:r>
      <w:r w:rsidRPr="008C362D">
        <w:rPr>
          <w:rFonts w:hint="eastAsia"/>
          <w:rtl/>
        </w:rPr>
        <w:t>על</w:t>
      </w:r>
      <w:r>
        <w:rPr>
          <w:rFonts w:hint="cs"/>
          <w:rtl/>
        </w:rPr>
        <w:t xml:space="preserve"> </w:t>
      </w:r>
      <w:r w:rsidRPr="008C362D">
        <w:rPr>
          <w:rtl/>
        </w:rPr>
        <w:t>יד</w:t>
      </w:r>
      <w:r>
        <w:rPr>
          <w:rFonts w:hint="cs"/>
          <w:rtl/>
        </w:rPr>
        <w:t>י</w:t>
      </w:r>
      <w:r w:rsidRPr="008C362D">
        <w:rPr>
          <w:rtl/>
        </w:rPr>
        <w:t xml:space="preserve">ו. </w:t>
      </w:r>
    </w:p>
    <w:p w:rsidR="006734B0" w:rsidRPr="008C362D" w:rsidP="008C362D" w14:paraId="58D1FE7B" w14:textId="09DFA10C">
      <w:pPr>
        <w:pStyle w:val="7318"/>
        <w:rPr>
          <w:rtl/>
        </w:rPr>
      </w:pPr>
      <w:r w:rsidRPr="008C362D">
        <w:rPr>
          <w:rFonts w:hint="cs"/>
          <w:rtl/>
        </w:rPr>
        <w:t xml:space="preserve">מצב שבו מלח בכמות עצומה של כ-33 מיליון טונות, שהיא תוצר של התהליך התעשייתי </w:t>
      </w:r>
      <w:r w:rsidRPr="008C362D">
        <w:rPr>
          <w:rFonts w:hint="cs"/>
          <w:rtl/>
        </w:rPr>
        <w:t>במי"ה</w:t>
      </w:r>
      <w:r w:rsidRPr="008C362D">
        <w:rPr>
          <w:rFonts w:hint="cs"/>
          <w:rtl/>
        </w:rPr>
        <w:t xml:space="preserve">, משונע ומוערם על ידי </w:t>
      </w:r>
      <w:r w:rsidRPr="008C362D">
        <w:rPr>
          <w:rFonts w:hint="cs"/>
          <w:rtl/>
        </w:rPr>
        <w:t>מי"ה</w:t>
      </w:r>
      <w:r w:rsidRPr="008C362D">
        <w:rPr>
          <w:rFonts w:hint="cs"/>
          <w:rtl/>
        </w:rPr>
        <w:t xml:space="preserve"> במשך עשרות שנים ללא הנחיות ודרישות מחייבות מהמשרד </w:t>
      </w:r>
      <w:r w:rsidRPr="008C362D">
        <w:rPr>
          <w:rFonts w:hint="cs"/>
          <w:rtl/>
        </w:rPr>
        <w:t>להג"ס</w:t>
      </w:r>
      <w:r w:rsidRPr="008C362D">
        <w:rPr>
          <w:rFonts w:hint="cs"/>
          <w:rtl/>
        </w:rPr>
        <w:t xml:space="preserve"> שנועדו להבטיח מניעה של מפגעים סביבתיים, ובלא שנבחנה היכולת לגבות בגינו היטל הטמנה, הוא מצב לא תקין. זאת בפרט כאשר לפי מסמכי המשרד </w:t>
      </w:r>
      <w:r w:rsidRPr="008C362D">
        <w:rPr>
          <w:rFonts w:hint="cs"/>
          <w:rtl/>
        </w:rPr>
        <w:t>להג"ס</w:t>
      </w:r>
      <w:r w:rsidRPr="008C362D">
        <w:rPr>
          <w:rFonts w:hint="cs"/>
          <w:rtl/>
        </w:rPr>
        <w:t xml:space="preserve"> בהר המלח קיימים כ-300,000 קוב קרקע </w:t>
      </w:r>
      <w:r w:rsidRPr="00C22DE8" w:rsidR="00C22DE8">
        <w:rPr>
          <w:rtl/>
        </w:rPr>
        <w:t>מזוהמת</w:t>
      </w:r>
      <w:r w:rsidR="00C22DE8">
        <w:rPr>
          <w:rFonts w:hint="cs"/>
          <w:rtl/>
        </w:rPr>
        <w:t xml:space="preserve"> </w:t>
      </w:r>
      <w:r w:rsidRPr="008C362D">
        <w:rPr>
          <w:rFonts w:hint="cs"/>
          <w:rtl/>
        </w:rPr>
        <w:t xml:space="preserve">במזוט. </w:t>
      </w:r>
    </w:p>
    <w:p w:rsidR="006734B0" w:rsidRPr="008C362D" w:rsidP="008C362D" w14:paraId="0B1C8742" w14:textId="77777777">
      <w:pPr>
        <w:pStyle w:val="7392"/>
        <w:rPr>
          <w:rtl/>
        </w:rPr>
      </w:pPr>
      <w:r w:rsidRPr="008C362D">
        <w:rPr>
          <w:rFonts w:hint="cs"/>
          <w:rtl/>
        </w:rPr>
        <w:t xml:space="preserve">המשרד </w:t>
      </w:r>
      <w:r w:rsidRPr="008C362D">
        <w:rPr>
          <w:rFonts w:hint="cs"/>
          <w:rtl/>
        </w:rPr>
        <w:t>להג"ס</w:t>
      </w:r>
      <w:r w:rsidRPr="008C362D">
        <w:rPr>
          <w:rFonts w:hint="cs"/>
          <w:rtl/>
        </w:rPr>
        <w:t xml:space="preserve"> מסר בתשובתו למשרד מבקר </w:t>
      </w:r>
      <w:r w:rsidRPr="008C362D">
        <w:rPr>
          <w:rFonts w:hint="eastAsia"/>
          <w:rtl/>
        </w:rPr>
        <w:t>המדינה</w:t>
      </w:r>
      <w:r w:rsidRPr="008C362D">
        <w:rPr>
          <w:rtl/>
        </w:rPr>
        <w:t xml:space="preserve"> </w:t>
      </w:r>
      <w:r w:rsidRPr="008C362D">
        <w:rPr>
          <w:rFonts w:hint="eastAsia"/>
          <w:rtl/>
        </w:rPr>
        <w:t>כי</w:t>
      </w:r>
      <w:r w:rsidRPr="008C362D">
        <w:rPr>
          <w:rtl/>
        </w:rPr>
        <w:t xml:space="preserve"> </w:t>
      </w:r>
      <w:r w:rsidRPr="008C362D">
        <w:rPr>
          <w:rFonts w:hint="eastAsia"/>
          <w:rtl/>
        </w:rPr>
        <w:t>למיטב</w:t>
      </w:r>
      <w:r w:rsidRPr="008C362D">
        <w:rPr>
          <w:rtl/>
        </w:rPr>
        <w:t xml:space="preserve"> </w:t>
      </w:r>
      <w:r w:rsidRPr="008C362D">
        <w:rPr>
          <w:rFonts w:hint="eastAsia"/>
          <w:rtl/>
        </w:rPr>
        <w:t>ידיעתו</w:t>
      </w:r>
      <w:r w:rsidRPr="008C362D">
        <w:rPr>
          <w:rtl/>
        </w:rPr>
        <w:t xml:space="preserve"> </w:t>
      </w:r>
      <w:r w:rsidRPr="008C362D">
        <w:rPr>
          <w:rFonts w:hint="eastAsia"/>
          <w:rtl/>
        </w:rPr>
        <w:t>יש</w:t>
      </w:r>
      <w:r w:rsidRPr="008C362D">
        <w:rPr>
          <w:rtl/>
        </w:rPr>
        <w:t xml:space="preserve"> </w:t>
      </w:r>
      <w:r w:rsidRPr="008C362D">
        <w:rPr>
          <w:rFonts w:hint="eastAsia"/>
          <w:rtl/>
        </w:rPr>
        <w:t>בתוך</w:t>
      </w:r>
      <w:r w:rsidRPr="008C362D">
        <w:rPr>
          <w:rtl/>
        </w:rPr>
        <w:t xml:space="preserve"> </w:t>
      </w:r>
      <w:r w:rsidRPr="008C362D">
        <w:rPr>
          <w:rFonts w:hint="eastAsia"/>
          <w:rtl/>
        </w:rPr>
        <w:t>ההר</w:t>
      </w:r>
      <w:r w:rsidRPr="008C362D">
        <w:rPr>
          <w:rtl/>
        </w:rPr>
        <w:t xml:space="preserve"> </w:t>
      </w:r>
      <w:r w:rsidRPr="008C362D">
        <w:rPr>
          <w:rFonts w:hint="eastAsia"/>
          <w:rtl/>
        </w:rPr>
        <w:t>כמות</w:t>
      </w:r>
      <w:r w:rsidRPr="008C362D">
        <w:rPr>
          <w:rtl/>
        </w:rPr>
        <w:t xml:space="preserve"> </w:t>
      </w:r>
      <w:r w:rsidRPr="008C362D">
        <w:rPr>
          <w:rFonts w:hint="eastAsia"/>
          <w:rtl/>
        </w:rPr>
        <w:t>לא</w:t>
      </w:r>
      <w:r w:rsidRPr="008C362D">
        <w:rPr>
          <w:rtl/>
        </w:rPr>
        <w:t xml:space="preserve"> </w:t>
      </w:r>
      <w:r w:rsidRPr="008C362D">
        <w:rPr>
          <w:rFonts w:hint="eastAsia"/>
          <w:rtl/>
        </w:rPr>
        <w:t>ידועה</w:t>
      </w:r>
      <w:r w:rsidRPr="008C362D">
        <w:rPr>
          <w:rtl/>
        </w:rPr>
        <w:t xml:space="preserve">, </w:t>
      </w:r>
      <w:r w:rsidRPr="008C362D">
        <w:rPr>
          <w:rFonts w:hint="eastAsia"/>
          <w:rtl/>
        </w:rPr>
        <w:t>אך</w:t>
      </w:r>
      <w:r w:rsidRPr="008C362D">
        <w:rPr>
          <w:rtl/>
        </w:rPr>
        <w:t xml:space="preserve"> </w:t>
      </w:r>
      <w:r w:rsidRPr="008C362D">
        <w:rPr>
          <w:rFonts w:hint="eastAsia"/>
          <w:rtl/>
        </w:rPr>
        <w:t>להערכתו</w:t>
      </w:r>
      <w:r w:rsidRPr="008C362D">
        <w:rPr>
          <w:rtl/>
        </w:rPr>
        <w:t xml:space="preserve"> </w:t>
      </w:r>
      <w:r w:rsidRPr="008C362D">
        <w:rPr>
          <w:rFonts w:hint="eastAsia"/>
          <w:rtl/>
        </w:rPr>
        <w:t>לא</w:t>
      </w:r>
      <w:r w:rsidRPr="008C362D">
        <w:rPr>
          <w:rtl/>
        </w:rPr>
        <w:t xml:space="preserve"> גדולה, של </w:t>
      </w:r>
      <w:r w:rsidRPr="008C362D">
        <w:rPr>
          <w:rFonts w:hint="eastAsia"/>
          <w:rtl/>
        </w:rPr>
        <w:t>קרקע</w:t>
      </w:r>
      <w:r w:rsidRPr="008C362D">
        <w:rPr>
          <w:rtl/>
        </w:rPr>
        <w:t xml:space="preserve"> </w:t>
      </w:r>
      <w:r w:rsidRPr="008C362D">
        <w:rPr>
          <w:rFonts w:hint="eastAsia"/>
          <w:rtl/>
        </w:rPr>
        <w:t>מזוהמת</w:t>
      </w:r>
      <w:r w:rsidRPr="008C362D">
        <w:rPr>
          <w:rtl/>
        </w:rPr>
        <w:t xml:space="preserve"> </w:t>
      </w:r>
      <w:r w:rsidRPr="008C362D">
        <w:rPr>
          <w:rFonts w:hint="eastAsia"/>
          <w:rtl/>
        </w:rPr>
        <w:t>במזוט</w:t>
      </w:r>
      <w:r w:rsidRPr="008C362D">
        <w:rPr>
          <w:rtl/>
        </w:rPr>
        <w:t xml:space="preserve">, </w:t>
      </w:r>
      <w:r w:rsidRPr="008C362D">
        <w:rPr>
          <w:rFonts w:hint="eastAsia"/>
          <w:rtl/>
        </w:rPr>
        <w:t>אשר</w:t>
      </w:r>
      <w:r w:rsidRPr="008C362D">
        <w:rPr>
          <w:rtl/>
        </w:rPr>
        <w:t xml:space="preserve"> "כלוא</w:t>
      </w:r>
      <w:r w:rsidRPr="008C362D">
        <w:rPr>
          <w:rFonts w:hint="eastAsia"/>
          <w:rtl/>
        </w:rPr>
        <w:t>ה</w:t>
      </w:r>
      <w:r w:rsidRPr="008C362D">
        <w:rPr>
          <w:rtl/>
        </w:rPr>
        <w:t xml:space="preserve">" בהר המלח </w:t>
      </w:r>
      <w:r w:rsidRPr="008C362D">
        <w:rPr>
          <w:rFonts w:hint="eastAsia"/>
          <w:rtl/>
        </w:rPr>
        <w:t>ולהערכתו</w:t>
      </w:r>
      <w:r w:rsidRPr="008C362D">
        <w:rPr>
          <w:rtl/>
        </w:rPr>
        <w:t xml:space="preserve"> </w:t>
      </w:r>
      <w:r w:rsidRPr="008C362D">
        <w:rPr>
          <w:rFonts w:hint="eastAsia"/>
          <w:rtl/>
        </w:rPr>
        <w:t>היא</w:t>
      </w:r>
      <w:r w:rsidRPr="008C362D">
        <w:rPr>
          <w:rtl/>
        </w:rPr>
        <w:t xml:space="preserve"> </w:t>
      </w:r>
      <w:r w:rsidRPr="008C362D">
        <w:rPr>
          <w:rFonts w:hint="eastAsia"/>
          <w:rtl/>
        </w:rPr>
        <w:t>אינה</w:t>
      </w:r>
      <w:r w:rsidRPr="008C362D">
        <w:rPr>
          <w:rtl/>
        </w:rPr>
        <w:t xml:space="preserve"> </w:t>
      </w:r>
      <w:r w:rsidRPr="008C362D">
        <w:rPr>
          <w:rFonts w:hint="eastAsia"/>
          <w:rtl/>
        </w:rPr>
        <w:t>בגדר</w:t>
      </w:r>
      <w:r w:rsidRPr="008C362D">
        <w:rPr>
          <w:rtl/>
        </w:rPr>
        <w:t xml:space="preserve"> </w:t>
      </w:r>
      <w:r w:rsidRPr="008C362D">
        <w:rPr>
          <w:rFonts w:hint="eastAsia"/>
          <w:rtl/>
        </w:rPr>
        <w:t>מקור</w:t>
      </w:r>
      <w:r w:rsidRPr="008C362D">
        <w:rPr>
          <w:rtl/>
        </w:rPr>
        <w:t xml:space="preserve"> זיהום עיקרי </w:t>
      </w:r>
      <w:r w:rsidRPr="008C362D">
        <w:rPr>
          <w:rFonts w:hint="eastAsia"/>
          <w:rtl/>
        </w:rPr>
        <w:t>נוסף</w:t>
      </w:r>
      <w:r w:rsidRPr="008C362D">
        <w:rPr>
          <w:rtl/>
        </w:rPr>
        <w:t xml:space="preserve"> </w:t>
      </w:r>
      <w:r w:rsidRPr="008C362D">
        <w:rPr>
          <w:rFonts w:hint="eastAsia"/>
          <w:rtl/>
        </w:rPr>
        <w:t>על</w:t>
      </w:r>
      <w:r w:rsidRPr="008C362D">
        <w:rPr>
          <w:rtl/>
        </w:rPr>
        <w:t xml:space="preserve"> </w:t>
      </w:r>
      <w:r w:rsidRPr="008C362D">
        <w:rPr>
          <w:rFonts w:hint="eastAsia"/>
          <w:rtl/>
        </w:rPr>
        <w:t>ההשפעות</w:t>
      </w:r>
      <w:r w:rsidRPr="008C362D">
        <w:rPr>
          <w:rtl/>
        </w:rPr>
        <w:t xml:space="preserve"> </w:t>
      </w:r>
      <w:r w:rsidRPr="008C362D">
        <w:rPr>
          <w:rFonts w:hint="eastAsia"/>
          <w:rtl/>
        </w:rPr>
        <w:t>הסביבתיות</w:t>
      </w:r>
      <w:r w:rsidRPr="008C362D">
        <w:rPr>
          <w:rtl/>
        </w:rPr>
        <w:t xml:space="preserve"> </w:t>
      </w:r>
      <w:r w:rsidRPr="008C362D">
        <w:rPr>
          <w:rFonts w:hint="eastAsia"/>
          <w:rtl/>
        </w:rPr>
        <w:t>של</w:t>
      </w:r>
      <w:r w:rsidRPr="008C362D">
        <w:rPr>
          <w:rtl/>
        </w:rPr>
        <w:t xml:space="preserve"> </w:t>
      </w:r>
      <w:r w:rsidRPr="008C362D">
        <w:rPr>
          <w:rFonts w:hint="eastAsia"/>
          <w:rtl/>
        </w:rPr>
        <w:t>התמלחת</w:t>
      </w:r>
      <w:r w:rsidRPr="008C362D">
        <w:rPr>
          <w:rtl/>
        </w:rPr>
        <w:t xml:space="preserve">. </w:t>
      </w:r>
    </w:p>
    <w:p w:rsidR="006734B0" w:rsidRPr="008C362D" w:rsidP="008C362D" w14:paraId="607DA8E5" w14:textId="77777777">
      <w:pPr>
        <w:pStyle w:val="7392"/>
        <w:rPr>
          <w:rtl/>
        </w:rPr>
      </w:pPr>
      <w:r w:rsidRPr="008C362D">
        <w:rPr>
          <w:rFonts w:hint="eastAsia"/>
          <w:rtl/>
        </w:rPr>
        <w:t>משרד</w:t>
      </w:r>
      <w:r w:rsidRPr="008C362D">
        <w:rPr>
          <w:rtl/>
        </w:rPr>
        <w:t xml:space="preserve"> מבקר המדינה מציין כי כמות המזוט המצוינת לעיל מבוססת על מסמכים שמסר המשרד </w:t>
      </w:r>
      <w:r w:rsidRPr="008C362D">
        <w:rPr>
          <w:rtl/>
        </w:rPr>
        <w:t>להג"ס</w:t>
      </w:r>
      <w:r w:rsidRPr="008C362D">
        <w:rPr>
          <w:rtl/>
        </w:rPr>
        <w:t xml:space="preserve"> במהלך הביקורת, </w:t>
      </w:r>
      <w:r w:rsidRPr="008C362D">
        <w:rPr>
          <w:rFonts w:hint="eastAsia"/>
          <w:rtl/>
        </w:rPr>
        <w:t>וכי</w:t>
      </w:r>
      <w:r w:rsidRPr="008C362D">
        <w:rPr>
          <w:rtl/>
        </w:rPr>
        <w:t xml:space="preserve"> </w:t>
      </w:r>
      <w:r w:rsidRPr="008C362D">
        <w:rPr>
          <w:rFonts w:hint="eastAsia"/>
          <w:rtl/>
        </w:rPr>
        <w:t>לא</w:t>
      </w:r>
      <w:r w:rsidRPr="008C362D">
        <w:rPr>
          <w:rtl/>
        </w:rPr>
        <w:t xml:space="preserve"> </w:t>
      </w:r>
      <w:r w:rsidRPr="008C362D">
        <w:rPr>
          <w:rFonts w:hint="eastAsia"/>
          <w:rtl/>
        </w:rPr>
        <w:t>ניתן</w:t>
      </w:r>
      <w:r w:rsidRPr="008C362D">
        <w:rPr>
          <w:rtl/>
        </w:rPr>
        <w:t xml:space="preserve"> </w:t>
      </w:r>
      <w:r w:rsidRPr="008C362D">
        <w:rPr>
          <w:rFonts w:hint="eastAsia"/>
          <w:rtl/>
        </w:rPr>
        <w:t>לראות</w:t>
      </w:r>
      <w:r w:rsidRPr="008C362D">
        <w:rPr>
          <w:rtl/>
        </w:rPr>
        <w:t xml:space="preserve"> </w:t>
      </w:r>
      <w:r w:rsidRPr="008C362D">
        <w:rPr>
          <w:rFonts w:hint="eastAsia"/>
          <w:rtl/>
        </w:rPr>
        <w:t>ב</w:t>
      </w:r>
      <w:r w:rsidRPr="008C362D">
        <w:rPr>
          <w:rtl/>
        </w:rPr>
        <w:t xml:space="preserve">-300,000 קוב קרקע מזוהמת במזוט </w:t>
      </w:r>
      <w:r w:rsidRPr="008C362D">
        <w:rPr>
          <w:rFonts w:hint="eastAsia"/>
          <w:rtl/>
        </w:rPr>
        <w:t>כמות</w:t>
      </w:r>
      <w:r w:rsidRPr="008C362D">
        <w:rPr>
          <w:rtl/>
        </w:rPr>
        <w:t xml:space="preserve"> </w:t>
      </w:r>
      <w:r w:rsidRPr="008C362D">
        <w:rPr>
          <w:rFonts w:hint="eastAsia"/>
          <w:rtl/>
        </w:rPr>
        <w:t>לא</w:t>
      </w:r>
      <w:r w:rsidRPr="008C362D">
        <w:rPr>
          <w:rtl/>
        </w:rPr>
        <w:t xml:space="preserve"> </w:t>
      </w:r>
      <w:r w:rsidRPr="008C362D">
        <w:rPr>
          <w:rFonts w:hint="eastAsia"/>
          <w:rtl/>
        </w:rPr>
        <w:t>גדולה</w:t>
      </w:r>
      <w:r w:rsidRPr="008C362D">
        <w:rPr>
          <w:rtl/>
        </w:rPr>
        <w:t xml:space="preserve">. </w:t>
      </w:r>
    </w:p>
    <w:p w:rsidR="006734B0" w:rsidRPr="008C362D" w:rsidP="008C362D" w14:paraId="4FC542B1" w14:textId="103CCB3C">
      <w:pPr>
        <w:pStyle w:val="7392"/>
        <w:rPr>
          <w:rtl/>
        </w:rPr>
      </w:pPr>
      <w:r w:rsidRPr="008C362D">
        <w:rPr>
          <w:rFonts w:hint="eastAsia"/>
          <w:rtl/>
        </w:rPr>
        <w:t>המועצה</w:t>
      </w:r>
      <w:r w:rsidRPr="008C362D">
        <w:rPr>
          <w:rtl/>
        </w:rPr>
        <w:t xml:space="preserve"> </w:t>
      </w:r>
      <w:r w:rsidRPr="008C362D">
        <w:rPr>
          <w:rFonts w:hint="eastAsia"/>
          <w:rtl/>
        </w:rPr>
        <w:t>האזורית</w:t>
      </w:r>
      <w:r w:rsidRPr="008C362D">
        <w:rPr>
          <w:rtl/>
        </w:rPr>
        <w:t xml:space="preserve"> </w:t>
      </w:r>
      <w:r w:rsidRPr="008C362D">
        <w:rPr>
          <w:rFonts w:hint="eastAsia"/>
          <w:rtl/>
        </w:rPr>
        <w:t>תמר</w:t>
      </w:r>
      <w:r w:rsidRPr="008C362D">
        <w:rPr>
          <w:rtl/>
        </w:rPr>
        <w:t xml:space="preserve"> </w:t>
      </w:r>
      <w:r w:rsidRPr="008C362D">
        <w:rPr>
          <w:rFonts w:hint="eastAsia"/>
          <w:rtl/>
        </w:rPr>
        <w:t>והיח</w:t>
      </w:r>
      <w:r w:rsidRPr="008C362D">
        <w:rPr>
          <w:rtl/>
        </w:rPr>
        <w:t>"ס</w:t>
      </w:r>
      <w:r w:rsidRPr="008C362D">
        <w:rPr>
          <w:rtl/>
        </w:rPr>
        <w:t xml:space="preserve"> </w:t>
      </w:r>
      <w:r w:rsidRPr="008C362D">
        <w:rPr>
          <w:rFonts w:hint="eastAsia"/>
          <w:rtl/>
        </w:rPr>
        <w:t>נגב</w:t>
      </w:r>
      <w:r w:rsidRPr="008C362D">
        <w:rPr>
          <w:rtl/>
        </w:rPr>
        <w:t xml:space="preserve"> </w:t>
      </w:r>
      <w:r w:rsidRPr="008C362D">
        <w:rPr>
          <w:rFonts w:hint="eastAsia"/>
          <w:rtl/>
        </w:rPr>
        <w:t>מזרחי</w:t>
      </w:r>
      <w:r w:rsidRPr="008C362D">
        <w:rPr>
          <w:rtl/>
        </w:rPr>
        <w:t xml:space="preserve"> </w:t>
      </w:r>
      <w:r w:rsidRPr="008C362D">
        <w:rPr>
          <w:rFonts w:hint="eastAsia"/>
          <w:rtl/>
        </w:rPr>
        <w:t>מסרו</w:t>
      </w:r>
      <w:r w:rsidRPr="008C362D">
        <w:rPr>
          <w:rtl/>
        </w:rPr>
        <w:t xml:space="preserve"> </w:t>
      </w:r>
      <w:r w:rsidRPr="00C22DE8" w:rsidR="00C22DE8">
        <w:rPr>
          <w:rtl/>
        </w:rPr>
        <w:t>בתשובותיהן</w:t>
      </w:r>
      <w:r w:rsidRPr="008C362D">
        <w:rPr>
          <w:rtl/>
        </w:rPr>
        <w:t xml:space="preserve"> למשרד מבקר המדינה כי הזיהום במזוט טופל </w:t>
      </w:r>
      <w:r w:rsidRPr="008C362D">
        <w:rPr>
          <w:rFonts w:hint="eastAsia"/>
          <w:rtl/>
        </w:rPr>
        <w:t>בשנת</w:t>
      </w:r>
      <w:r w:rsidRPr="008C362D">
        <w:rPr>
          <w:rtl/>
        </w:rPr>
        <w:t xml:space="preserve"> 2010 כאשר סוכם על כליאת הזיהום במקום בשל הקושי הטכני בהפרדת המזוט מהמלח, אולם </w:t>
      </w:r>
      <w:r w:rsidRPr="008C362D">
        <w:rPr>
          <w:rFonts w:hint="eastAsia"/>
          <w:rtl/>
        </w:rPr>
        <w:t>הנושא</w:t>
      </w:r>
      <w:r w:rsidRPr="008C362D">
        <w:rPr>
          <w:rtl/>
        </w:rPr>
        <w:t xml:space="preserve"> לא </w:t>
      </w:r>
      <w:r w:rsidRPr="008C362D">
        <w:rPr>
          <w:rFonts w:hint="eastAsia"/>
          <w:rtl/>
        </w:rPr>
        <w:t>זכה</w:t>
      </w:r>
      <w:r w:rsidRPr="008C362D">
        <w:rPr>
          <w:rtl/>
        </w:rPr>
        <w:t xml:space="preserve"> </w:t>
      </w:r>
      <w:r w:rsidRPr="008C362D">
        <w:rPr>
          <w:rFonts w:hint="eastAsia"/>
          <w:rtl/>
        </w:rPr>
        <w:t>להמשך</w:t>
      </w:r>
      <w:r w:rsidRPr="008C362D">
        <w:rPr>
          <w:rtl/>
        </w:rPr>
        <w:t xml:space="preserve"> </w:t>
      </w:r>
      <w:r w:rsidRPr="008C362D">
        <w:rPr>
          <w:rFonts w:hint="eastAsia"/>
          <w:rtl/>
        </w:rPr>
        <w:t>טיפול</w:t>
      </w:r>
      <w:r w:rsidRPr="008C362D">
        <w:rPr>
          <w:rtl/>
        </w:rPr>
        <w:t xml:space="preserve"> </w:t>
      </w:r>
      <w:r w:rsidRPr="008C362D">
        <w:rPr>
          <w:rFonts w:hint="eastAsia"/>
          <w:rtl/>
        </w:rPr>
        <w:t>במשרד</w:t>
      </w:r>
      <w:r w:rsidRPr="008C362D">
        <w:rPr>
          <w:rtl/>
        </w:rPr>
        <w:t xml:space="preserve"> </w:t>
      </w:r>
      <w:r w:rsidRPr="008C362D">
        <w:rPr>
          <w:rFonts w:hint="eastAsia"/>
          <w:rtl/>
        </w:rPr>
        <w:t>להג</w:t>
      </w:r>
      <w:r w:rsidRPr="008C362D">
        <w:rPr>
          <w:rtl/>
        </w:rPr>
        <w:t>"ס</w:t>
      </w:r>
      <w:r w:rsidRPr="008C362D">
        <w:rPr>
          <w:rtl/>
        </w:rPr>
        <w:t xml:space="preserve">, </w:t>
      </w:r>
      <w:r w:rsidRPr="008C362D">
        <w:rPr>
          <w:rFonts w:hint="eastAsia"/>
          <w:rtl/>
        </w:rPr>
        <w:t>על</w:t>
      </w:r>
      <w:r w:rsidRPr="008C362D">
        <w:rPr>
          <w:rtl/>
        </w:rPr>
        <w:t xml:space="preserve"> </w:t>
      </w:r>
      <w:r w:rsidRPr="008C362D">
        <w:rPr>
          <w:rFonts w:hint="eastAsia"/>
          <w:rtl/>
        </w:rPr>
        <w:t>אף</w:t>
      </w:r>
      <w:r w:rsidRPr="008C362D">
        <w:rPr>
          <w:rtl/>
        </w:rPr>
        <w:t xml:space="preserve"> </w:t>
      </w:r>
      <w:r w:rsidRPr="008C362D">
        <w:rPr>
          <w:rFonts w:hint="eastAsia"/>
          <w:rtl/>
        </w:rPr>
        <w:t>פניות</w:t>
      </w:r>
      <w:r w:rsidRPr="008C362D">
        <w:rPr>
          <w:rtl/>
        </w:rPr>
        <w:t xml:space="preserve"> </w:t>
      </w:r>
      <w:r w:rsidRPr="008C362D">
        <w:rPr>
          <w:rFonts w:hint="eastAsia"/>
          <w:rtl/>
        </w:rPr>
        <w:t>של</w:t>
      </w:r>
      <w:r w:rsidRPr="008C362D">
        <w:rPr>
          <w:rtl/>
        </w:rPr>
        <w:t xml:space="preserve"> </w:t>
      </w:r>
      <w:r w:rsidRPr="008C362D">
        <w:rPr>
          <w:rFonts w:hint="eastAsia"/>
          <w:rtl/>
        </w:rPr>
        <w:t>היחידה</w:t>
      </w:r>
      <w:r w:rsidRPr="008C362D">
        <w:rPr>
          <w:rtl/>
        </w:rPr>
        <w:t xml:space="preserve"> </w:t>
      </w:r>
      <w:r w:rsidRPr="008C362D">
        <w:rPr>
          <w:rFonts w:hint="eastAsia"/>
          <w:rtl/>
        </w:rPr>
        <w:t>הסביבתית</w:t>
      </w:r>
      <w:r w:rsidRPr="008C362D">
        <w:rPr>
          <w:rtl/>
        </w:rPr>
        <w:t xml:space="preserve"> </w:t>
      </w:r>
      <w:r w:rsidRPr="008C362D">
        <w:rPr>
          <w:rFonts w:hint="eastAsia"/>
          <w:rtl/>
        </w:rPr>
        <w:t>להשלמתו</w:t>
      </w:r>
      <w:r w:rsidRPr="008C362D">
        <w:rPr>
          <w:rtl/>
        </w:rPr>
        <w:t>.</w:t>
      </w:r>
    </w:p>
    <w:p w:rsidR="006734B0" w:rsidRPr="008C362D" w:rsidP="008C362D" w14:paraId="5D9C508C" w14:textId="6ECAE4E0">
      <w:pPr>
        <w:pStyle w:val="7392"/>
        <w:rPr>
          <w:rtl/>
        </w:rPr>
      </w:pPr>
      <w:r w:rsidRPr="008C362D">
        <w:rPr>
          <w:rFonts w:hint="eastAsia"/>
          <w:rtl/>
        </w:rPr>
        <w:t>מי</w:t>
      </w:r>
      <w:r w:rsidRPr="008C362D">
        <w:rPr>
          <w:rtl/>
        </w:rPr>
        <w:t>"</w:t>
      </w:r>
      <w:r w:rsidRPr="008C362D">
        <w:rPr>
          <w:rFonts w:hint="eastAsia"/>
          <w:rtl/>
        </w:rPr>
        <w:t>ה</w:t>
      </w:r>
      <w:r w:rsidRPr="008C362D">
        <w:rPr>
          <w:rtl/>
        </w:rPr>
        <w:t xml:space="preserve"> </w:t>
      </w:r>
      <w:r w:rsidRPr="008C362D">
        <w:rPr>
          <w:rFonts w:hint="eastAsia"/>
          <w:rtl/>
        </w:rPr>
        <w:t>ציינה</w:t>
      </w:r>
      <w:r w:rsidRPr="008C362D">
        <w:rPr>
          <w:rtl/>
        </w:rPr>
        <w:t xml:space="preserve"> </w:t>
      </w:r>
      <w:r w:rsidRPr="008C362D">
        <w:rPr>
          <w:rFonts w:hint="eastAsia"/>
          <w:rtl/>
        </w:rPr>
        <w:t>בתשובתה</w:t>
      </w:r>
      <w:r w:rsidRPr="008C362D">
        <w:rPr>
          <w:rtl/>
        </w:rPr>
        <w:t xml:space="preserve"> כי </w:t>
      </w:r>
      <w:r w:rsidRPr="008C362D">
        <w:rPr>
          <w:rFonts w:hint="eastAsia"/>
          <w:rtl/>
        </w:rPr>
        <w:t>הסכומים</w:t>
      </w:r>
      <w:r w:rsidRPr="008C362D">
        <w:rPr>
          <w:rtl/>
        </w:rPr>
        <w:t xml:space="preserve"> </w:t>
      </w:r>
      <w:r w:rsidRPr="008C362D">
        <w:rPr>
          <w:rFonts w:hint="eastAsia"/>
          <w:rtl/>
        </w:rPr>
        <w:t>שהתקבלו</w:t>
      </w:r>
      <w:r w:rsidRPr="008C362D">
        <w:rPr>
          <w:rtl/>
        </w:rPr>
        <w:t xml:space="preserve"> </w:t>
      </w:r>
      <w:r w:rsidRPr="008C362D">
        <w:rPr>
          <w:rFonts w:hint="eastAsia"/>
          <w:rtl/>
        </w:rPr>
        <w:t>בחישוב</w:t>
      </w:r>
      <w:r w:rsidRPr="008C362D">
        <w:rPr>
          <w:rtl/>
        </w:rPr>
        <w:t xml:space="preserve"> </w:t>
      </w:r>
      <w:r w:rsidRPr="008C362D">
        <w:rPr>
          <w:rFonts w:hint="eastAsia"/>
          <w:rtl/>
        </w:rPr>
        <w:t>שהוצג</w:t>
      </w:r>
      <w:r w:rsidRPr="008C362D">
        <w:rPr>
          <w:rtl/>
        </w:rPr>
        <w:t xml:space="preserve"> </w:t>
      </w:r>
      <w:r w:rsidRPr="008C362D">
        <w:rPr>
          <w:rFonts w:hint="eastAsia"/>
          <w:rtl/>
        </w:rPr>
        <w:t>הם</w:t>
      </w:r>
      <w:r w:rsidRPr="008C362D">
        <w:rPr>
          <w:rtl/>
        </w:rPr>
        <w:t xml:space="preserve"> </w:t>
      </w:r>
      <w:r w:rsidRPr="008C362D">
        <w:rPr>
          <w:rFonts w:hint="eastAsia"/>
          <w:rtl/>
        </w:rPr>
        <w:t>כה</w:t>
      </w:r>
      <w:r w:rsidRPr="008C362D">
        <w:rPr>
          <w:rtl/>
        </w:rPr>
        <w:t xml:space="preserve"> </w:t>
      </w:r>
      <w:r w:rsidRPr="008C362D">
        <w:rPr>
          <w:rFonts w:hint="eastAsia"/>
          <w:rtl/>
        </w:rPr>
        <w:t>גבוהים</w:t>
      </w:r>
      <w:r w:rsidRPr="008C362D">
        <w:rPr>
          <w:rtl/>
        </w:rPr>
        <w:t xml:space="preserve"> עד שהם מעידים כשלעצמם על חוסר ההיגיון שבחישוב, </w:t>
      </w:r>
      <w:r w:rsidRPr="008C362D">
        <w:rPr>
          <w:rFonts w:hint="eastAsia"/>
          <w:rtl/>
        </w:rPr>
        <w:t>וכי</w:t>
      </w:r>
      <w:r w:rsidRPr="008C362D">
        <w:rPr>
          <w:rtl/>
        </w:rPr>
        <w:t xml:space="preserve"> אילו </w:t>
      </w:r>
      <w:r w:rsidRPr="008C362D">
        <w:rPr>
          <w:rFonts w:hint="eastAsia"/>
          <w:rtl/>
        </w:rPr>
        <w:t>המשרד</w:t>
      </w:r>
      <w:r w:rsidRPr="008C362D">
        <w:rPr>
          <w:rtl/>
        </w:rPr>
        <w:t xml:space="preserve"> </w:t>
      </w:r>
      <w:r w:rsidRPr="008C362D">
        <w:rPr>
          <w:rtl/>
        </w:rPr>
        <w:t>להג"ס</w:t>
      </w:r>
      <w:r w:rsidRPr="008C362D">
        <w:rPr>
          <w:rtl/>
        </w:rPr>
        <w:t xml:space="preserve"> היה יכול </w:t>
      </w:r>
      <w:r w:rsidRPr="008C362D">
        <w:rPr>
          <w:rFonts w:hint="eastAsia"/>
          <w:rtl/>
        </w:rPr>
        <w:t>לגבות</w:t>
      </w:r>
      <w:r w:rsidRPr="008C362D">
        <w:rPr>
          <w:rtl/>
        </w:rPr>
        <w:t xml:space="preserve"> </w:t>
      </w:r>
      <w:r w:rsidRPr="008C362D">
        <w:rPr>
          <w:rFonts w:hint="eastAsia"/>
          <w:rtl/>
        </w:rPr>
        <w:t>היטל</w:t>
      </w:r>
      <w:r w:rsidRPr="008C362D">
        <w:rPr>
          <w:rtl/>
        </w:rPr>
        <w:t xml:space="preserve"> </w:t>
      </w:r>
      <w:r w:rsidRPr="008C362D">
        <w:rPr>
          <w:rFonts w:hint="eastAsia"/>
          <w:rtl/>
        </w:rPr>
        <w:t>הטמנה</w:t>
      </w:r>
      <w:r w:rsidRPr="008C362D">
        <w:rPr>
          <w:rtl/>
        </w:rPr>
        <w:t xml:space="preserve"> </w:t>
      </w:r>
      <w:r w:rsidRPr="008C362D">
        <w:rPr>
          <w:rFonts w:hint="eastAsia"/>
          <w:rtl/>
        </w:rPr>
        <w:t>עבור</w:t>
      </w:r>
      <w:r w:rsidRPr="008C362D">
        <w:rPr>
          <w:rtl/>
        </w:rPr>
        <w:t xml:space="preserve"> </w:t>
      </w:r>
      <w:r w:rsidRPr="008C362D">
        <w:rPr>
          <w:rFonts w:hint="eastAsia"/>
          <w:rtl/>
        </w:rPr>
        <w:t>פסולת</w:t>
      </w:r>
      <w:r w:rsidRPr="008C362D">
        <w:rPr>
          <w:rtl/>
        </w:rPr>
        <w:t xml:space="preserve"> </w:t>
      </w:r>
      <w:r w:rsidRPr="008C362D">
        <w:rPr>
          <w:rFonts w:hint="eastAsia"/>
          <w:rtl/>
        </w:rPr>
        <w:t>כרייה</w:t>
      </w:r>
      <w:r w:rsidRPr="008C362D">
        <w:rPr>
          <w:rtl/>
        </w:rPr>
        <w:t xml:space="preserve">, </w:t>
      </w:r>
      <w:r w:rsidRPr="008C362D">
        <w:rPr>
          <w:rFonts w:hint="eastAsia"/>
          <w:rtl/>
        </w:rPr>
        <w:t>הוא</w:t>
      </w:r>
      <w:r w:rsidRPr="008C362D">
        <w:rPr>
          <w:rtl/>
        </w:rPr>
        <w:t xml:space="preserve"> הי</w:t>
      </w:r>
      <w:r w:rsidRPr="008C362D">
        <w:rPr>
          <w:rFonts w:hint="eastAsia"/>
          <w:rtl/>
        </w:rPr>
        <w:t>ה</w:t>
      </w:r>
      <w:r w:rsidRPr="008C362D">
        <w:rPr>
          <w:rtl/>
        </w:rPr>
        <w:t xml:space="preserve"> נדרש </w:t>
      </w:r>
      <w:r w:rsidRPr="008C362D">
        <w:rPr>
          <w:rFonts w:hint="eastAsia"/>
          <w:rtl/>
        </w:rPr>
        <w:t>לגבותה</w:t>
      </w:r>
      <w:r w:rsidRPr="008C362D">
        <w:rPr>
          <w:rtl/>
        </w:rPr>
        <w:t xml:space="preserve"> </w:t>
      </w:r>
      <w:r w:rsidRPr="008C362D">
        <w:rPr>
          <w:rFonts w:hint="eastAsia"/>
          <w:rtl/>
        </w:rPr>
        <w:t>עבור</w:t>
      </w:r>
      <w:r w:rsidRPr="008C362D">
        <w:rPr>
          <w:rtl/>
        </w:rPr>
        <w:t xml:space="preserve"> </w:t>
      </w:r>
      <w:r w:rsidRPr="008C362D">
        <w:rPr>
          <w:rFonts w:hint="eastAsia"/>
          <w:rtl/>
        </w:rPr>
        <w:t>כל</w:t>
      </w:r>
      <w:r w:rsidRPr="008C362D">
        <w:rPr>
          <w:rtl/>
        </w:rPr>
        <w:t xml:space="preserve"> פסולת הכרייה בארץ </w:t>
      </w:r>
      <w:r w:rsidRPr="008C362D">
        <w:rPr>
          <w:rFonts w:hint="eastAsia"/>
          <w:rtl/>
        </w:rPr>
        <w:t>ולא</w:t>
      </w:r>
      <w:r w:rsidRPr="008C362D">
        <w:rPr>
          <w:rtl/>
        </w:rPr>
        <w:t xml:space="preserve"> רק </w:t>
      </w:r>
      <w:r w:rsidRPr="008C362D">
        <w:rPr>
          <w:rFonts w:hint="eastAsia"/>
          <w:rtl/>
        </w:rPr>
        <w:t>עבור</w:t>
      </w:r>
      <w:r w:rsidRPr="008C362D">
        <w:rPr>
          <w:rtl/>
        </w:rPr>
        <w:t xml:space="preserve"> </w:t>
      </w:r>
      <w:r w:rsidRPr="008C362D">
        <w:rPr>
          <w:rFonts w:hint="eastAsia"/>
          <w:rtl/>
        </w:rPr>
        <w:t>זו</w:t>
      </w:r>
      <w:r w:rsidRPr="008C362D">
        <w:rPr>
          <w:rtl/>
        </w:rPr>
        <w:t xml:space="preserve"> שנוצרת בפעילות הזיכיון בים המלח. עוד </w:t>
      </w:r>
      <w:r w:rsidRPr="008C362D">
        <w:rPr>
          <w:rFonts w:hint="eastAsia"/>
          <w:rtl/>
        </w:rPr>
        <w:t>ציינה</w:t>
      </w:r>
      <w:r w:rsidRPr="008C362D">
        <w:rPr>
          <w:rtl/>
        </w:rPr>
        <w:t xml:space="preserve"> </w:t>
      </w:r>
      <w:r w:rsidRPr="008C362D">
        <w:rPr>
          <w:rtl/>
        </w:rPr>
        <w:t>מי"ה</w:t>
      </w:r>
      <w:r w:rsidRPr="008C362D">
        <w:rPr>
          <w:rtl/>
        </w:rPr>
        <w:t xml:space="preserve"> כי </w:t>
      </w:r>
      <w:r w:rsidRPr="008C362D">
        <w:rPr>
          <w:rFonts w:hint="eastAsia"/>
          <w:rtl/>
        </w:rPr>
        <w:t>העובדה</w:t>
      </w:r>
      <w:r w:rsidRPr="008C362D">
        <w:rPr>
          <w:rtl/>
        </w:rPr>
        <w:t xml:space="preserve"> שהמשרד </w:t>
      </w:r>
      <w:r w:rsidRPr="00C22DE8" w:rsidR="00C22DE8">
        <w:rPr>
          <w:rtl/>
        </w:rPr>
        <w:t>להג"ס</w:t>
      </w:r>
      <w:r w:rsidR="00C22DE8">
        <w:rPr>
          <w:rFonts w:hint="cs"/>
          <w:rtl/>
        </w:rPr>
        <w:t xml:space="preserve"> </w:t>
      </w:r>
      <w:r w:rsidRPr="008C362D">
        <w:rPr>
          <w:rFonts w:hint="eastAsia"/>
          <w:rtl/>
        </w:rPr>
        <w:t>הסכים</w:t>
      </w:r>
      <w:r w:rsidRPr="008C362D">
        <w:rPr>
          <w:rtl/>
        </w:rPr>
        <w:t xml:space="preserve"> </w:t>
      </w:r>
      <w:r w:rsidRPr="008C362D">
        <w:rPr>
          <w:rFonts w:hint="eastAsia"/>
          <w:rtl/>
        </w:rPr>
        <w:t>לסיווג</w:t>
      </w:r>
      <w:r w:rsidRPr="008C362D">
        <w:rPr>
          <w:rtl/>
        </w:rPr>
        <w:t xml:space="preserve"> </w:t>
      </w:r>
      <w:r w:rsidRPr="008C362D">
        <w:rPr>
          <w:rFonts w:hint="eastAsia"/>
          <w:rtl/>
        </w:rPr>
        <w:t>המלח</w:t>
      </w:r>
      <w:r w:rsidRPr="008C362D">
        <w:rPr>
          <w:rtl/>
        </w:rPr>
        <w:t xml:space="preserve"> </w:t>
      </w:r>
      <w:r w:rsidRPr="008C362D">
        <w:rPr>
          <w:rFonts w:hint="eastAsia"/>
          <w:rtl/>
        </w:rPr>
        <w:t>כפסולת</w:t>
      </w:r>
      <w:r w:rsidRPr="008C362D">
        <w:rPr>
          <w:rtl/>
        </w:rPr>
        <w:t xml:space="preserve"> </w:t>
      </w:r>
      <w:r w:rsidRPr="008C362D">
        <w:rPr>
          <w:rFonts w:hint="eastAsia"/>
          <w:rtl/>
        </w:rPr>
        <w:t>כרייה</w:t>
      </w:r>
      <w:r w:rsidRPr="008C362D">
        <w:rPr>
          <w:rtl/>
        </w:rPr>
        <w:t xml:space="preserve"> </w:t>
      </w:r>
      <w:r w:rsidRPr="008C362D">
        <w:rPr>
          <w:rFonts w:hint="eastAsia"/>
          <w:rtl/>
        </w:rPr>
        <w:t>בתוכנית</w:t>
      </w:r>
      <w:r w:rsidRPr="008C362D">
        <w:rPr>
          <w:rtl/>
        </w:rPr>
        <w:t xml:space="preserve"> הבריכות הדרומיות, </w:t>
      </w:r>
      <w:r w:rsidRPr="008C362D">
        <w:rPr>
          <w:rFonts w:hint="eastAsia"/>
          <w:rtl/>
        </w:rPr>
        <w:t>לא</w:t>
      </w:r>
      <w:r w:rsidRPr="008C362D">
        <w:rPr>
          <w:rtl/>
        </w:rPr>
        <w:t xml:space="preserve"> חייב את </w:t>
      </w:r>
      <w:r w:rsidRPr="008C362D">
        <w:rPr>
          <w:rtl/>
        </w:rPr>
        <w:t>מי"ה</w:t>
      </w:r>
      <w:r w:rsidRPr="008C362D">
        <w:rPr>
          <w:rtl/>
        </w:rPr>
        <w:t xml:space="preserve"> בהיטל הטמנה ואף לא פעל לקידום חקיקה שתאפשר חיוב </w:t>
      </w:r>
      <w:r w:rsidRPr="008C362D">
        <w:rPr>
          <w:rFonts w:hint="eastAsia"/>
          <w:rtl/>
        </w:rPr>
        <w:t>כזה</w:t>
      </w:r>
      <w:r w:rsidRPr="008C362D">
        <w:rPr>
          <w:rtl/>
        </w:rPr>
        <w:t xml:space="preserve"> </w:t>
      </w:r>
      <w:r w:rsidRPr="008C362D">
        <w:rPr>
          <w:rFonts w:hint="eastAsia"/>
          <w:rtl/>
        </w:rPr>
        <w:t>מעידה</w:t>
      </w:r>
      <w:r w:rsidRPr="008C362D">
        <w:rPr>
          <w:rtl/>
        </w:rPr>
        <w:t xml:space="preserve"> </w:t>
      </w:r>
      <w:r w:rsidRPr="008C362D">
        <w:rPr>
          <w:rFonts w:hint="eastAsia"/>
          <w:rtl/>
        </w:rPr>
        <w:t>כי</w:t>
      </w:r>
      <w:r w:rsidRPr="008C362D">
        <w:rPr>
          <w:rtl/>
        </w:rPr>
        <w:t xml:space="preserve"> </w:t>
      </w:r>
      <w:r w:rsidRPr="008C362D">
        <w:rPr>
          <w:rFonts w:hint="eastAsia"/>
          <w:rtl/>
        </w:rPr>
        <w:t>מדובר</w:t>
      </w:r>
      <w:r w:rsidRPr="008C362D">
        <w:rPr>
          <w:rtl/>
        </w:rPr>
        <w:t xml:space="preserve"> </w:t>
      </w:r>
      <w:r w:rsidRPr="008C362D">
        <w:rPr>
          <w:rFonts w:hint="eastAsia"/>
          <w:rtl/>
        </w:rPr>
        <w:t>ב</w:t>
      </w:r>
      <w:r w:rsidRPr="008C362D">
        <w:rPr>
          <w:rtl/>
        </w:rPr>
        <w:t>"החלטה" מספקת לעניין זה</w:t>
      </w:r>
      <w:r>
        <w:rPr>
          <w:rStyle w:val="FootnoteReference1"/>
          <w:rtl/>
        </w:rPr>
        <w:footnoteReference w:id="82"/>
      </w:r>
      <w:r w:rsidRPr="008C362D">
        <w:rPr>
          <w:rtl/>
        </w:rPr>
        <w:t>.</w:t>
      </w:r>
    </w:p>
    <w:p w:rsidR="006734B0" w:rsidRPr="008C362D" w:rsidP="008C362D" w14:paraId="50CAF94E" w14:textId="77777777">
      <w:pPr>
        <w:pStyle w:val="7392"/>
        <w:rPr>
          <w:rtl/>
        </w:rPr>
      </w:pPr>
      <w:r w:rsidRPr="008C362D">
        <w:rPr>
          <w:rFonts w:hint="cs"/>
          <w:rtl/>
        </w:rPr>
        <w:t xml:space="preserve">משרד מבקר המדינה מציין כי כפי שגם נמסר בתשובה משלימה של המשרד </w:t>
      </w:r>
      <w:r w:rsidRPr="008C362D">
        <w:rPr>
          <w:rFonts w:hint="cs"/>
          <w:rtl/>
        </w:rPr>
        <w:t>להג"ס</w:t>
      </w:r>
      <w:r w:rsidRPr="008C362D">
        <w:rPr>
          <w:rFonts w:hint="cs"/>
          <w:rtl/>
        </w:rPr>
        <w:t>, נראה ש</w:t>
      </w:r>
      <w:r w:rsidRPr="008C362D">
        <w:rPr>
          <w:rFonts w:hint="eastAsia"/>
          <w:rtl/>
        </w:rPr>
        <w:t>קיים</w:t>
      </w:r>
      <w:r w:rsidRPr="008C362D">
        <w:rPr>
          <w:rtl/>
        </w:rPr>
        <w:t xml:space="preserve"> </w:t>
      </w:r>
      <w:r w:rsidRPr="008C362D">
        <w:rPr>
          <w:rFonts w:hint="cs"/>
          <w:rtl/>
        </w:rPr>
        <w:t xml:space="preserve">שוני בין הפסולת </w:t>
      </w:r>
      <w:r w:rsidRPr="008C362D">
        <w:rPr>
          <w:rFonts w:hint="cs"/>
          <w:rtl/>
        </w:rPr>
        <w:t>שמי"ה</w:t>
      </w:r>
      <w:r w:rsidRPr="008C362D">
        <w:rPr>
          <w:rFonts w:hint="cs"/>
          <w:rtl/>
        </w:rPr>
        <w:t xml:space="preserve"> מייצרת לבין פסולת הכרייה בארץ, שכן הפסולת </w:t>
      </w:r>
      <w:r w:rsidRPr="008C362D">
        <w:rPr>
          <w:rFonts w:hint="cs"/>
          <w:rtl/>
        </w:rPr>
        <w:t>שמי"ה</w:t>
      </w:r>
      <w:r w:rsidRPr="008C362D">
        <w:rPr>
          <w:rFonts w:hint="cs"/>
          <w:rtl/>
        </w:rPr>
        <w:t xml:space="preserve"> מייצרת אינה בהכרח תוצר ישיר של הכרייה ועוברת עיבוד תעשייתי. עוד מציין משרד מבקר המדינה כי אין ללמוד מהעובדה שבהליך התכנוני היה שימוש במונח "פסולת כרייה" על כך שזוהי עמדת המשרד בנושא, שכן מדובר בשני הליכים שונים לחלוטין, עם גורמי מקצוע שונים. </w:t>
      </w:r>
    </w:p>
    <w:p w:rsidR="006734B0" w:rsidRPr="008C362D" w:rsidP="008C362D" w14:paraId="15CAF523" w14:textId="77777777">
      <w:pPr>
        <w:pStyle w:val="7318"/>
        <w:rPr>
          <w:rtl/>
        </w:rPr>
      </w:pPr>
      <w:r w:rsidRPr="008C362D">
        <w:rPr>
          <w:rFonts w:hint="cs"/>
          <w:rtl/>
        </w:rPr>
        <w:t xml:space="preserve">על המשרד </w:t>
      </w:r>
      <w:r w:rsidRPr="008C362D">
        <w:rPr>
          <w:rFonts w:hint="cs"/>
          <w:rtl/>
        </w:rPr>
        <w:t>להג"ס</w:t>
      </w:r>
      <w:r w:rsidRPr="008C362D">
        <w:rPr>
          <w:rFonts w:hint="cs"/>
          <w:rtl/>
        </w:rPr>
        <w:t xml:space="preserve"> להשלים בהקדם את הכללת התנאים הנוספים ברישיון העסק של מפעל האשלג המתייחסים לטיפול בפסולת המלח ולסיווג שלה כדי שהפסולת והר המלח לא </w:t>
      </w:r>
      <w:r w:rsidRPr="008C362D">
        <w:rPr>
          <w:rFonts w:hint="cs"/>
          <w:rtl/>
        </w:rPr>
        <w:t>יהווו</w:t>
      </w:r>
      <w:r w:rsidRPr="008C362D">
        <w:rPr>
          <w:rFonts w:hint="cs"/>
          <w:rtl/>
        </w:rPr>
        <w:t xml:space="preserve"> מפגע סביבתי ונופי ולהשלים את בחינתו </w:t>
      </w:r>
      <w:r w:rsidRPr="008C362D">
        <w:rPr>
          <w:rFonts w:hint="eastAsia"/>
          <w:rtl/>
        </w:rPr>
        <w:t>בעניין</w:t>
      </w:r>
      <w:r w:rsidRPr="008C362D">
        <w:rPr>
          <w:rFonts w:hint="cs"/>
          <w:rtl/>
        </w:rPr>
        <w:t xml:space="preserve"> חיוב בהיטל הטמנה בנוגע לפסולת זו. </w:t>
      </w:r>
    </w:p>
    <w:p w:rsidR="006734B0" w:rsidRPr="008C362D" w:rsidP="008C362D" w14:paraId="262B045A" w14:textId="77777777">
      <w:pPr>
        <w:pStyle w:val="7318"/>
        <w:rPr>
          <w:rtl/>
        </w:rPr>
      </w:pPr>
      <w:r w:rsidRPr="008C362D">
        <w:rPr>
          <w:rFonts w:hint="cs"/>
          <w:rtl/>
        </w:rPr>
        <w:t xml:space="preserve">מהביקורת עולה כי המשרד </w:t>
      </w:r>
      <w:r w:rsidRPr="008C362D">
        <w:rPr>
          <w:rFonts w:hint="cs"/>
          <w:rtl/>
        </w:rPr>
        <w:t>להג"ס</w:t>
      </w:r>
      <w:r w:rsidRPr="008C362D">
        <w:rPr>
          <w:rFonts w:hint="cs"/>
          <w:rtl/>
        </w:rPr>
        <w:t xml:space="preserve"> טרם קיבל החלטה הנשענת על חוות דעת מקצועית ומשפטית ולפיה אין לסווג את פסולת המלח כפסולת החייבת בהיטל הטמנה. </w:t>
      </w:r>
      <w:r w:rsidRPr="008C362D">
        <w:rPr>
          <w:rFonts w:hint="eastAsia"/>
          <w:rtl/>
        </w:rPr>
        <w:t>על</w:t>
      </w:r>
      <w:r w:rsidRPr="008C362D">
        <w:rPr>
          <w:rtl/>
        </w:rPr>
        <w:t xml:space="preserve"> המשרד </w:t>
      </w:r>
      <w:r w:rsidRPr="008C362D">
        <w:rPr>
          <w:rFonts w:hint="eastAsia"/>
          <w:rtl/>
        </w:rPr>
        <w:t>להכריע</w:t>
      </w:r>
      <w:r w:rsidRPr="008C362D">
        <w:rPr>
          <w:rtl/>
        </w:rPr>
        <w:t xml:space="preserve"> </w:t>
      </w:r>
      <w:r w:rsidRPr="008C362D">
        <w:rPr>
          <w:rFonts w:hint="eastAsia"/>
          <w:rtl/>
        </w:rPr>
        <w:t>בשאלה</w:t>
      </w:r>
      <w:r w:rsidRPr="008C362D">
        <w:rPr>
          <w:rtl/>
        </w:rPr>
        <w:t xml:space="preserve"> </w:t>
      </w:r>
      <w:r w:rsidRPr="008C362D">
        <w:rPr>
          <w:rFonts w:hint="eastAsia"/>
          <w:rtl/>
        </w:rPr>
        <w:t>זו</w:t>
      </w:r>
      <w:r w:rsidRPr="008C362D">
        <w:rPr>
          <w:rFonts w:hint="cs"/>
          <w:rtl/>
        </w:rPr>
        <w:t xml:space="preserve"> </w:t>
      </w:r>
      <w:r w:rsidRPr="008C362D">
        <w:rPr>
          <w:rtl/>
        </w:rPr>
        <w:t xml:space="preserve">בהקדם. </w:t>
      </w:r>
      <w:r w:rsidRPr="008C362D">
        <w:rPr>
          <w:rFonts w:hint="eastAsia"/>
          <w:rtl/>
        </w:rPr>
        <w:t>המשך</w:t>
      </w:r>
      <w:r w:rsidRPr="008C362D">
        <w:rPr>
          <w:rtl/>
        </w:rPr>
        <w:t xml:space="preserve"> </w:t>
      </w:r>
      <w:r w:rsidRPr="008C362D">
        <w:rPr>
          <w:rFonts w:hint="eastAsia"/>
          <w:rtl/>
        </w:rPr>
        <w:t>עיכוב</w:t>
      </w:r>
      <w:r w:rsidRPr="008C362D">
        <w:rPr>
          <w:rtl/>
        </w:rPr>
        <w:t xml:space="preserve"> </w:t>
      </w:r>
      <w:r w:rsidRPr="008C362D">
        <w:rPr>
          <w:rFonts w:hint="eastAsia"/>
          <w:rtl/>
        </w:rPr>
        <w:t>בהכרעת</w:t>
      </w:r>
      <w:r w:rsidRPr="008C362D">
        <w:rPr>
          <w:rtl/>
        </w:rPr>
        <w:t xml:space="preserve"> </w:t>
      </w:r>
      <w:r w:rsidRPr="008C362D">
        <w:rPr>
          <w:rFonts w:hint="eastAsia"/>
          <w:rtl/>
        </w:rPr>
        <w:t>המשרד</w:t>
      </w:r>
      <w:r w:rsidRPr="008C362D">
        <w:rPr>
          <w:rtl/>
        </w:rPr>
        <w:t xml:space="preserve"> </w:t>
      </w:r>
      <w:r w:rsidRPr="008C362D">
        <w:rPr>
          <w:rFonts w:hint="cs"/>
          <w:rtl/>
        </w:rPr>
        <w:t>י</w:t>
      </w:r>
      <w:r w:rsidRPr="008C362D">
        <w:rPr>
          <w:rFonts w:hint="eastAsia"/>
          <w:rtl/>
        </w:rPr>
        <w:t>חייב</w:t>
      </w:r>
      <w:r w:rsidRPr="008C362D">
        <w:rPr>
          <w:rtl/>
        </w:rPr>
        <w:t xml:space="preserve"> </w:t>
      </w:r>
      <w:r w:rsidRPr="008C362D">
        <w:rPr>
          <w:rFonts w:hint="eastAsia"/>
          <w:rtl/>
        </w:rPr>
        <w:t>את</w:t>
      </w:r>
      <w:r w:rsidRPr="008C362D">
        <w:rPr>
          <w:rtl/>
        </w:rPr>
        <w:t xml:space="preserve"> </w:t>
      </w:r>
      <w:r w:rsidRPr="008C362D">
        <w:rPr>
          <w:rFonts w:hint="eastAsia"/>
          <w:rtl/>
        </w:rPr>
        <w:t>המשרד</w:t>
      </w:r>
      <w:r w:rsidRPr="008C362D">
        <w:rPr>
          <w:rtl/>
        </w:rPr>
        <w:t xml:space="preserve"> </w:t>
      </w:r>
      <w:r w:rsidRPr="008C362D">
        <w:rPr>
          <w:rFonts w:hint="eastAsia"/>
          <w:rtl/>
        </w:rPr>
        <w:t>לבחון</w:t>
      </w:r>
      <w:r w:rsidRPr="008C362D">
        <w:rPr>
          <w:rtl/>
        </w:rPr>
        <w:t xml:space="preserve"> </w:t>
      </w:r>
      <w:r w:rsidRPr="008C362D">
        <w:rPr>
          <w:rFonts w:hint="eastAsia"/>
          <w:rtl/>
        </w:rPr>
        <w:t>לנקוט</w:t>
      </w:r>
      <w:r w:rsidRPr="008C362D">
        <w:rPr>
          <w:rtl/>
        </w:rPr>
        <w:t xml:space="preserve"> </w:t>
      </w:r>
      <w:r w:rsidRPr="008C362D">
        <w:rPr>
          <w:rFonts w:hint="eastAsia"/>
          <w:rtl/>
        </w:rPr>
        <w:t>אמצעים</w:t>
      </w:r>
      <w:r w:rsidRPr="008C362D">
        <w:rPr>
          <w:rtl/>
        </w:rPr>
        <w:t xml:space="preserve"> </w:t>
      </w:r>
      <w:r w:rsidRPr="008C362D">
        <w:rPr>
          <w:rFonts w:hint="eastAsia"/>
          <w:rtl/>
        </w:rPr>
        <w:t>לגבי</w:t>
      </w:r>
      <w:r w:rsidRPr="008C362D">
        <w:rPr>
          <w:rFonts w:hint="cs"/>
          <w:rtl/>
        </w:rPr>
        <w:t>ית היטל הטמנה בגין פסולת, כדי לקדם את האינטרס הציבורי של צמצום פסולת והפנמת העלויות החיצוניות של הטמנתה.</w:t>
      </w:r>
    </w:p>
    <w:p w:rsidR="006734B0" w:rsidRPr="008C362D" w:rsidP="008C362D" w14:paraId="5B52B2DB" w14:textId="615941F6">
      <w:pPr>
        <w:pStyle w:val="7392"/>
      </w:pPr>
      <w:r w:rsidRPr="008C362D">
        <w:rPr>
          <w:rFonts w:hint="cs"/>
          <w:rtl/>
        </w:rPr>
        <w:t xml:space="preserve">יצוין כי המשרד </w:t>
      </w:r>
      <w:r w:rsidRPr="008C362D">
        <w:rPr>
          <w:rFonts w:hint="cs"/>
          <w:rtl/>
        </w:rPr>
        <w:t>להג"ס</w:t>
      </w:r>
      <w:r w:rsidRPr="008C362D">
        <w:rPr>
          <w:rFonts w:hint="cs"/>
          <w:rtl/>
        </w:rPr>
        <w:t xml:space="preserve"> מסר בתשובה משלימה כי </w:t>
      </w:r>
      <w:r w:rsidRPr="008C362D">
        <w:rPr>
          <w:rtl/>
        </w:rPr>
        <w:t xml:space="preserve">נושא </w:t>
      </w:r>
      <w:r w:rsidRPr="008C362D">
        <w:rPr>
          <w:rFonts w:hint="cs"/>
          <w:rtl/>
        </w:rPr>
        <w:t xml:space="preserve">החיוב בהיטל הטמנה </w:t>
      </w:r>
      <w:r w:rsidRPr="00C22DE8" w:rsidR="00C22DE8">
        <w:rPr>
          <w:rtl/>
        </w:rPr>
        <w:t>בגין פסולת המלח</w:t>
      </w:r>
      <w:r w:rsidR="00C22DE8">
        <w:rPr>
          <w:rFonts w:hint="cs"/>
          <w:rtl/>
        </w:rPr>
        <w:t xml:space="preserve"> </w:t>
      </w:r>
      <w:r w:rsidRPr="008C362D">
        <w:rPr>
          <w:rtl/>
        </w:rPr>
        <w:t>נמצא בבחינה מחודשת בימים אלו.</w:t>
      </w:r>
    </w:p>
    <w:p w:rsidR="006734B0" w:rsidRPr="008C362D" w:rsidP="008C362D" w14:paraId="53A901FD" w14:textId="77777777">
      <w:pPr>
        <w:pStyle w:val="73414"/>
        <w:rPr>
          <w:rtl/>
        </w:rPr>
      </w:pPr>
      <w:r w:rsidRPr="008C362D">
        <w:rPr>
          <w:rFonts w:hint="cs"/>
          <w:rtl/>
        </w:rPr>
        <w:t xml:space="preserve">המלח </w:t>
      </w:r>
      <w:r w:rsidRPr="008C362D">
        <w:rPr>
          <w:rFonts w:hint="cs"/>
          <w:rtl/>
        </w:rPr>
        <w:t>הקצור</w:t>
      </w:r>
    </w:p>
    <w:p w:rsidR="006734B0" w:rsidRPr="008C362D" w:rsidP="008C362D" w14:paraId="15BE3834" w14:textId="77777777">
      <w:pPr>
        <w:pStyle w:val="7392"/>
        <w:rPr>
          <w:rtl/>
        </w:rPr>
      </w:pPr>
      <w:r w:rsidRPr="008C362D">
        <w:rPr>
          <w:rFonts w:hint="cs"/>
          <w:rtl/>
        </w:rPr>
        <w:t xml:space="preserve">במהלך תהליך הייצור המתבצע </w:t>
      </w:r>
      <w:r w:rsidRPr="008C362D">
        <w:rPr>
          <w:rFonts w:hint="cs"/>
          <w:rtl/>
        </w:rPr>
        <w:t>במי"ה</w:t>
      </w:r>
      <w:r w:rsidRPr="008C362D">
        <w:rPr>
          <w:rFonts w:hint="cs"/>
          <w:rtl/>
        </w:rPr>
        <w:t xml:space="preserve"> שוקע מלח בתחתית בריכות האידוי. בכל הנוגע למלח השוקע בתחתית בריכה 5 נקבע בהחלטת הממשלה 4060 מינואר 2012</w:t>
      </w:r>
      <w:r>
        <w:rPr>
          <w:rStyle w:val="FootnoteReference1"/>
          <w:rtl/>
        </w:rPr>
        <w:footnoteReference w:id="83"/>
      </w:r>
      <w:r w:rsidRPr="008C362D">
        <w:rPr>
          <w:rFonts w:hint="cs"/>
          <w:rtl/>
        </w:rPr>
        <w:t xml:space="preserve"> כי על </w:t>
      </w:r>
      <w:r w:rsidRPr="008C362D">
        <w:rPr>
          <w:rFonts w:hint="cs"/>
          <w:rtl/>
        </w:rPr>
        <w:t>מי"ה</w:t>
      </w:r>
      <w:r w:rsidRPr="008C362D">
        <w:rPr>
          <w:rFonts w:hint="cs"/>
          <w:rtl/>
        </w:rPr>
        <w:t xml:space="preserve"> לבצע קציר מלח מלא שמטרתו לגרד מתחתית הבריכה את המלח שהצטבר ולהעבירו לאגן הצפוני, זאת כדי לשמור על מפלס הבריכה הן לצרכים התפעוליים של </w:t>
      </w:r>
      <w:r w:rsidRPr="008C362D">
        <w:rPr>
          <w:rFonts w:hint="cs"/>
          <w:rtl/>
        </w:rPr>
        <w:t>מי"ה</w:t>
      </w:r>
      <w:r w:rsidRPr="008C362D">
        <w:rPr>
          <w:rFonts w:hint="cs"/>
          <w:rtl/>
        </w:rPr>
        <w:t xml:space="preserve"> והן כדי להבטיח כי הבריכה לא תציף את בתי המלון שסמוכים אליה. </w:t>
      </w:r>
    </w:p>
    <w:p w:rsidR="006734B0" w:rsidRPr="008C362D" w:rsidP="008C362D" w14:paraId="5307EED1" w14:textId="1FDD295A">
      <w:pPr>
        <w:pStyle w:val="734"/>
        <w:rPr>
          <w:rtl/>
        </w:rPr>
      </w:pPr>
      <w:r w:rsidRPr="008C362D">
        <w:rPr>
          <w:rFonts w:hint="cs"/>
          <w:b w:val="0"/>
          <w:bCs w:val="0"/>
          <w:rtl/>
        </w:rPr>
        <w:t>תמונה</w:t>
      </w:r>
      <w:r w:rsidR="00D0542F">
        <w:rPr>
          <w:rFonts w:hint="cs"/>
          <w:b w:val="0"/>
          <w:bCs w:val="0"/>
          <w:rtl/>
        </w:rPr>
        <w:t xml:space="preserve"> 15</w:t>
      </w:r>
      <w:r w:rsidRPr="008C362D">
        <w:rPr>
          <w:rFonts w:hint="cs"/>
          <w:b w:val="0"/>
          <w:bCs w:val="0"/>
          <w:rtl/>
        </w:rPr>
        <w:t>:</w:t>
      </w:r>
      <w:r w:rsidRPr="008C362D">
        <w:rPr>
          <w:rFonts w:hint="cs"/>
          <w:rtl/>
        </w:rPr>
        <w:t xml:space="preserve"> מערומי מלח קצור </w:t>
      </w:r>
      <w:r w:rsidRPr="00C22DE8" w:rsidR="00C22DE8">
        <w:rPr>
          <w:rtl/>
        </w:rPr>
        <w:t>בבריכות האידוי</w:t>
      </w:r>
    </w:p>
    <w:p w:rsidR="006734B0" w:rsidRPr="00646934" w:rsidP="006734B0" w14:paraId="72619DF1" w14:textId="77777777">
      <w:pPr>
        <w:rPr>
          <w:rtl/>
        </w:rPr>
      </w:pPr>
      <w:r w:rsidRPr="00646934">
        <w:rPr>
          <w:noProof/>
          <w:rtl/>
        </w:rPr>
        <w:drawing>
          <wp:inline distT="0" distB="0" distL="0" distR="0">
            <wp:extent cx="4677534" cy="2800258"/>
            <wp:effectExtent l="0" t="0" r="0" b="0"/>
            <wp:docPr id="97393311" name="תמונה 97393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93311" name="Picture 3"/>
                    <pic:cNvPicPr>
                      <a:picLocks noChangeAspect="1" noChangeArrowheads="1"/>
                    </pic:cNvPicPr>
                  </pic:nvPicPr>
                  <pic:blipFill>
                    <a:blip xmlns:r="http://schemas.openxmlformats.org/officeDocument/2006/relationships" r:embed="rId58">
                      <a:extLst>
                        <a:ext xmlns:a="http://schemas.openxmlformats.org/drawingml/2006/main" uri="{28A0092B-C50C-407E-A947-70E740481C1C}">
                          <a14:useLocalDpi xmlns:a14="http://schemas.microsoft.com/office/drawing/2010/main" val="0"/>
                        </a:ext>
                      </a:extLst>
                    </a:blip>
                    <a:srcRect b="12125"/>
                    <a:stretch>
                      <a:fillRect/>
                    </a:stretch>
                  </pic:blipFill>
                  <pic:spPr bwMode="auto">
                    <a:xfrm>
                      <a:off x="0" y="0"/>
                      <a:ext cx="4703295" cy="281568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6734B0" w:rsidRPr="008C362D" w:rsidP="008C362D" w14:paraId="25F51479" w14:textId="77777777">
      <w:pPr>
        <w:pStyle w:val="738"/>
        <w:rPr>
          <w:rtl/>
        </w:rPr>
      </w:pPr>
      <w:r w:rsidRPr="008C362D">
        <w:rPr>
          <w:rFonts w:hint="cs"/>
          <w:rtl/>
        </w:rPr>
        <w:t xml:space="preserve">המקור: </w:t>
      </w:r>
      <w:r w:rsidRPr="008C362D">
        <w:rPr>
          <w:rFonts w:hint="cs"/>
          <w:rtl/>
        </w:rPr>
        <w:t>כי"ל</w:t>
      </w:r>
      <w:r w:rsidRPr="008C362D">
        <w:rPr>
          <w:rFonts w:hint="cs"/>
          <w:rtl/>
        </w:rPr>
        <w:t xml:space="preserve">. </w:t>
      </w:r>
    </w:p>
    <w:p w:rsidR="00C22DE8" w:rsidP="008C362D" w14:paraId="65FEA165" w14:textId="77777777">
      <w:pPr>
        <w:pStyle w:val="7318"/>
        <w:rPr>
          <w:rtl/>
        </w:rPr>
      </w:pPr>
      <w:r w:rsidRPr="008C362D">
        <w:rPr>
          <w:rFonts w:hint="cs"/>
          <w:rtl/>
        </w:rPr>
        <w:t xml:space="preserve">משנת 2020 </w:t>
      </w:r>
      <w:r w:rsidRPr="008C362D">
        <w:rPr>
          <w:rFonts w:hint="cs"/>
          <w:rtl/>
        </w:rPr>
        <w:t>מי"ה</w:t>
      </w:r>
      <w:r w:rsidRPr="008C362D">
        <w:rPr>
          <w:rFonts w:hint="cs"/>
          <w:rtl/>
        </w:rPr>
        <w:t xml:space="preserve"> קוצרת את המלח ששוקע בתחתית בריכה 5 ועורמת אותו על סוללות הבריכות או במערומים בשטח הבריכות. לפי החלטת ממשלה משנת 2012, חלק מהמלח </w:t>
      </w:r>
      <w:r w:rsidRPr="008C362D">
        <w:rPr>
          <w:rFonts w:hint="cs"/>
          <w:rtl/>
        </w:rPr>
        <w:t>הקצור</w:t>
      </w:r>
      <w:r w:rsidRPr="008C362D">
        <w:rPr>
          <w:rFonts w:hint="cs"/>
          <w:rtl/>
        </w:rPr>
        <w:t xml:space="preserve"> מיועד לטיבוע באגן הצפוני של ים המלח כחלק מפרויקט קציר המלח, אשר נכון למועד הביקורת טרם מיושם באופן מלא</w:t>
      </w:r>
      <w:r>
        <w:rPr>
          <w:rStyle w:val="FootnoteReference1"/>
          <w:rtl/>
        </w:rPr>
        <w:footnoteReference w:id="84"/>
      </w:r>
      <w:r w:rsidRPr="008C362D">
        <w:rPr>
          <w:rFonts w:hint="cs"/>
          <w:rtl/>
        </w:rPr>
        <w:t>.</w:t>
      </w:r>
    </w:p>
    <w:p w:rsidR="006734B0" w:rsidRPr="008C362D" w:rsidP="008C362D" w14:paraId="461F2B6A" w14:textId="74829FBE">
      <w:pPr>
        <w:pStyle w:val="7318"/>
        <w:rPr>
          <w:rtl/>
        </w:rPr>
      </w:pPr>
      <w:r w:rsidRPr="008C362D">
        <w:rPr>
          <w:rFonts w:hint="cs"/>
          <w:rtl/>
        </w:rPr>
        <w:t xml:space="preserve">נמצא כי המשרד </w:t>
      </w:r>
      <w:r w:rsidRPr="008C362D">
        <w:rPr>
          <w:rFonts w:hint="cs"/>
          <w:rtl/>
        </w:rPr>
        <w:t>להג"ס</w:t>
      </w:r>
      <w:r w:rsidRPr="008C362D">
        <w:rPr>
          <w:rFonts w:hint="cs"/>
          <w:rtl/>
        </w:rPr>
        <w:t xml:space="preserve"> לא קבע תנאים ברישיון העסק של מפעל האשלג הכוללים הנחיות ודרישות בנוגע לאופן עירום המלח </w:t>
      </w:r>
      <w:r w:rsidRPr="008C362D">
        <w:rPr>
          <w:rFonts w:hint="cs"/>
          <w:rtl/>
        </w:rPr>
        <w:t>הקצור</w:t>
      </w:r>
      <w:r w:rsidRPr="008C362D">
        <w:rPr>
          <w:rFonts w:hint="cs"/>
          <w:rtl/>
        </w:rPr>
        <w:t>, ובכללן דרישות ניטור ודיווח שנועדו למנוע יצירת מפגעים סביבתיים.</w:t>
      </w:r>
    </w:p>
    <w:p w:rsidR="006734B0" w:rsidRPr="008C362D" w:rsidP="008C362D" w14:paraId="34D169F5" w14:textId="5237261F">
      <w:pPr>
        <w:pStyle w:val="7318"/>
        <w:rPr>
          <w:rtl/>
        </w:rPr>
      </w:pPr>
      <w:r w:rsidRPr="008C362D">
        <w:rPr>
          <w:rFonts w:hint="cs"/>
          <w:rtl/>
        </w:rPr>
        <w:t xml:space="preserve">על המשרד </w:t>
      </w:r>
      <w:r w:rsidRPr="008C362D">
        <w:rPr>
          <w:rFonts w:hint="cs"/>
          <w:rtl/>
        </w:rPr>
        <w:t>להג"ס</w:t>
      </w:r>
      <w:r w:rsidRPr="008C362D">
        <w:rPr>
          <w:rFonts w:hint="cs"/>
          <w:rtl/>
        </w:rPr>
        <w:t xml:space="preserve"> לפעול לקביעת תנאים ברישיון העסק בדבר </w:t>
      </w:r>
      <w:r w:rsidRPr="008C362D">
        <w:rPr>
          <w:rFonts w:hint="eastAsia"/>
          <w:rtl/>
        </w:rPr>
        <w:t>המלח</w:t>
      </w:r>
      <w:r w:rsidRPr="008C362D">
        <w:rPr>
          <w:rtl/>
        </w:rPr>
        <w:t xml:space="preserve"> </w:t>
      </w:r>
      <w:r w:rsidRPr="008C362D">
        <w:rPr>
          <w:rFonts w:hint="eastAsia"/>
          <w:rtl/>
        </w:rPr>
        <w:t>הקצור</w:t>
      </w:r>
      <w:r w:rsidRPr="008C362D">
        <w:rPr>
          <w:rFonts w:hint="cs"/>
          <w:rtl/>
        </w:rPr>
        <w:t xml:space="preserve">. כמו כן, מוצע כי המשרד </w:t>
      </w:r>
      <w:r w:rsidRPr="008C362D">
        <w:rPr>
          <w:rFonts w:hint="cs"/>
          <w:rtl/>
        </w:rPr>
        <w:t>להג"ס</w:t>
      </w:r>
      <w:r w:rsidRPr="008C362D">
        <w:rPr>
          <w:rFonts w:hint="cs"/>
          <w:rtl/>
        </w:rPr>
        <w:t xml:space="preserve"> יבחן את האפשרות להטלת היטל הטמנה בגין המלח </w:t>
      </w:r>
      <w:r w:rsidRPr="008C362D">
        <w:rPr>
          <w:rFonts w:hint="cs"/>
          <w:rtl/>
        </w:rPr>
        <w:t>הקצור</w:t>
      </w:r>
      <w:r w:rsidRPr="008C362D">
        <w:rPr>
          <w:rFonts w:hint="cs"/>
          <w:rtl/>
        </w:rPr>
        <w:t xml:space="preserve"> </w:t>
      </w:r>
      <w:r w:rsidRPr="008C362D">
        <w:rPr>
          <w:rFonts w:hint="eastAsia"/>
          <w:rtl/>
        </w:rPr>
        <w:t>אם</w:t>
      </w:r>
      <w:r w:rsidRPr="008C362D">
        <w:rPr>
          <w:rFonts w:hint="cs"/>
          <w:rtl/>
        </w:rPr>
        <w:t xml:space="preserve"> הוא לא יוטל לאגן הצפוני במסגרת פרויקט קציר המלח וימשיך להיות מוערם בשטח הזיכיון</w:t>
      </w:r>
      <w:r>
        <w:rPr>
          <w:rStyle w:val="FootnoteReference1"/>
          <w:rtl/>
        </w:rPr>
        <w:footnoteReference w:id="85"/>
      </w:r>
      <w:r w:rsidRPr="008C362D">
        <w:rPr>
          <w:rFonts w:hint="cs"/>
          <w:rtl/>
        </w:rPr>
        <w:t xml:space="preserve">. </w:t>
      </w:r>
    </w:p>
    <w:p w:rsidR="006734B0" w:rsidRPr="008C362D" w:rsidP="008C362D" w14:paraId="60DABDC9" w14:textId="1776428C">
      <w:pPr>
        <w:pStyle w:val="7392"/>
        <w:rPr>
          <w:rtl/>
        </w:rPr>
      </w:pPr>
      <w:r w:rsidRPr="00E205B2">
        <w:rPr>
          <w:rtl/>
        </w:rPr>
        <w:t>יצוין כי בטיוטת המלצות הצוות הבין-משרדי</w:t>
      </w:r>
      <w:r w:rsidRPr="008C362D">
        <w:rPr>
          <w:rFonts w:hint="cs"/>
          <w:rtl/>
        </w:rPr>
        <w:t xml:space="preserve"> להיערכות לתום </w:t>
      </w:r>
      <w:r w:rsidRPr="008C362D">
        <w:rPr>
          <w:rFonts w:hint="eastAsia"/>
          <w:rtl/>
        </w:rPr>
        <w:t>תקופת</w:t>
      </w:r>
      <w:r w:rsidRPr="008C362D">
        <w:rPr>
          <w:rFonts w:hint="cs"/>
          <w:rtl/>
        </w:rPr>
        <w:t xml:space="preserve"> הזיכיון</w:t>
      </w:r>
      <w:r w:rsidRPr="008C362D">
        <w:rPr>
          <w:rtl/>
        </w:rPr>
        <w:t>,</w:t>
      </w:r>
      <w:r w:rsidRPr="008C362D">
        <w:rPr>
          <w:rFonts w:hint="cs"/>
          <w:rtl/>
        </w:rPr>
        <w:t xml:space="preserve"> שפורסמו לאחר סיום עבודת הביקורת</w:t>
      </w:r>
      <w:r w:rsidRPr="008C362D">
        <w:rPr>
          <w:rtl/>
        </w:rPr>
        <w:t>,</w:t>
      </w:r>
      <w:r w:rsidRPr="008C362D">
        <w:rPr>
          <w:rFonts w:hint="cs"/>
          <w:rtl/>
        </w:rPr>
        <w:t xml:space="preserve"> צוין כי הצוות ממליץ לוודא כי </w:t>
      </w:r>
      <w:r w:rsidRPr="008C362D">
        <w:rPr>
          <w:rFonts w:hint="eastAsia"/>
          <w:rtl/>
        </w:rPr>
        <w:t>אם</w:t>
      </w:r>
      <w:r w:rsidRPr="008C362D">
        <w:rPr>
          <w:rFonts w:hint="cs"/>
          <w:rtl/>
        </w:rPr>
        <w:t xml:space="preserve"> מלח קצור ייערם בשטחים הפתוחים ולא יועבר להטמנה באגן הצפוני, יושתו על הזכיין עיצומים כספיים. </w:t>
      </w:r>
    </w:p>
    <w:p w:rsidR="006734B0" w:rsidRPr="008D2DC1" w:rsidP="008D2DC1" w14:paraId="671DA3E0" w14:textId="38E7BE57">
      <w:pPr>
        <w:pStyle w:val="733155"/>
        <w:rPr>
          <w:rtl/>
        </w:rPr>
      </w:pPr>
      <w:r w:rsidRPr="008D2DC1">
        <w:rPr>
          <w:rFonts w:hint="cs"/>
          <w:rtl/>
        </w:rPr>
        <w:t xml:space="preserve">היעדר שיקום של </w:t>
      </w:r>
      <w:r w:rsidRPr="002203E4" w:rsidR="002203E4">
        <w:rPr>
          <w:rtl/>
        </w:rPr>
        <w:t>מפגעי פסולת בתחום הזיכיון</w:t>
      </w:r>
    </w:p>
    <w:p w:rsidR="006734B0" w:rsidRPr="008C362D" w:rsidP="002203E4" w14:paraId="57A5D927" w14:textId="284E4A59">
      <w:pPr>
        <w:pStyle w:val="7392"/>
        <w:numPr>
          <w:ilvl w:val="0"/>
          <w:numId w:val="35"/>
        </w:numPr>
        <w:ind w:left="424" w:hanging="425"/>
        <w:rPr>
          <w:rtl/>
        </w:rPr>
      </w:pPr>
      <w:r w:rsidRPr="008C362D">
        <w:rPr>
          <w:rFonts w:hint="cs"/>
          <w:rtl/>
        </w:rPr>
        <w:t xml:space="preserve">אתר הפסולת הגושית, הממוקם בדרום שטח המפעלים, שימש בעבר את </w:t>
      </w:r>
      <w:r w:rsidRPr="008C362D">
        <w:rPr>
          <w:rFonts w:hint="cs"/>
          <w:rtl/>
        </w:rPr>
        <w:t>מי"ה</w:t>
      </w:r>
      <w:r w:rsidRPr="008C362D">
        <w:rPr>
          <w:rFonts w:hint="cs"/>
          <w:rtl/>
        </w:rPr>
        <w:t xml:space="preserve"> להטמנת הפסולת הגושית של המפעלים, הכוללת בין השאר פסולת בניין, גרוטאות וריהוט. האתר פעל בשנים 1994 עד 2009, והושלכו בו כ-8,000 עד 9,000 טונות פסולת בשנה. הנפח הכולל של האתר הוא כמיליון מ"ק, גובהו כ-15 מ' והוא מתפרס על פני כ-125 דונם. </w:t>
      </w:r>
    </w:p>
    <w:p w:rsidR="006734B0" w:rsidRPr="008C362D" w:rsidP="008C362D" w14:paraId="1088A222" w14:textId="77777777">
      <w:pPr>
        <w:pStyle w:val="7318"/>
        <w:rPr>
          <w:rtl/>
        </w:rPr>
      </w:pPr>
      <w:r w:rsidRPr="008C362D">
        <w:rPr>
          <w:rFonts w:hint="cs"/>
          <w:rtl/>
        </w:rPr>
        <w:t xml:space="preserve">בביקורת נמצא כי המשרד </w:t>
      </w:r>
      <w:r w:rsidRPr="008C362D">
        <w:rPr>
          <w:rFonts w:hint="cs"/>
          <w:rtl/>
        </w:rPr>
        <w:t>להג"ס</w:t>
      </w:r>
      <w:r w:rsidRPr="008C362D">
        <w:rPr>
          <w:rFonts w:hint="cs"/>
          <w:rtl/>
        </w:rPr>
        <w:t xml:space="preserve"> לא נקט צעדים למניעת השלכת פסולת גושית, וזו בוצעה במשך עשור וחצי על ידי </w:t>
      </w:r>
      <w:r w:rsidRPr="008C362D">
        <w:rPr>
          <w:rFonts w:hint="cs"/>
          <w:rtl/>
        </w:rPr>
        <w:t>מי"ה</w:t>
      </w:r>
      <w:r w:rsidRPr="008C362D">
        <w:rPr>
          <w:rFonts w:hint="cs"/>
          <w:rtl/>
        </w:rPr>
        <w:t xml:space="preserve"> באתר שאינו מוסדר תכנונית, בהיקף של כ-8,000 עד 9,000 טונות בשנה, והוא גם לא נקט אמצעי אכיפה בנושא. </w:t>
      </w:r>
    </w:p>
    <w:p w:rsidR="006734B0" w:rsidRPr="008C362D" w:rsidP="00734679" w14:paraId="64C0BA95" w14:textId="77777777">
      <w:pPr>
        <w:pStyle w:val="7392"/>
        <w:ind w:left="424"/>
      </w:pPr>
      <w:r w:rsidRPr="002203E4">
        <w:rPr>
          <w:rFonts w:hint="eastAsia"/>
          <w:rtl/>
        </w:rPr>
        <w:t>בשנת</w:t>
      </w:r>
      <w:r w:rsidRPr="002203E4">
        <w:rPr>
          <w:rtl/>
        </w:rPr>
        <w:t xml:space="preserve"> 2010 הגישה </w:t>
      </w:r>
      <w:r w:rsidRPr="002203E4">
        <w:rPr>
          <w:rFonts w:hint="eastAsia"/>
          <w:rtl/>
        </w:rPr>
        <w:t>מי</w:t>
      </w:r>
      <w:r w:rsidRPr="002203E4">
        <w:rPr>
          <w:rtl/>
        </w:rPr>
        <w:t>"ה</w:t>
      </w:r>
      <w:r w:rsidRPr="002203E4">
        <w:rPr>
          <w:rtl/>
        </w:rPr>
        <w:t xml:space="preserve"> סקר לקראת שיקום אתר</w:t>
      </w:r>
      <w:r w:rsidRPr="002203E4">
        <w:rPr>
          <w:rFonts w:hint="cs"/>
          <w:rtl/>
        </w:rPr>
        <w:t xml:space="preserve"> הפסולת הגושית</w:t>
      </w:r>
      <w:r w:rsidRPr="002203E4">
        <w:rPr>
          <w:rtl/>
        </w:rPr>
        <w:t xml:space="preserve">. בסקר זה הוצע פתרון לשיקומו, והוא אושר על ידי המשרד </w:t>
      </w:r>
      <w:r w:rsidRPr="002203E4">
        <w:rPr>
          <w:rFonts w:hint="eastAsia"/>
          <w:rtl/>
        </w:rPr>
        <w:t>להג</w:t>
      </w:r>
      <w:r w:rsidRPr="002203E4">
        <w:rPr>
          <w:rtl/>
        </w:rPr>
        <w:t>"ס</w:t>
      </w:r>
      <w:r w:rsidRPr="002203E4">
        <w:rPr>
          <w:rtl/>
        </w:rPr>
        <w:t xml:space="preserve">. עם זאת שיקום זה לא יצא לפועל בהיעדר </w:t>
      </w:r>
      <w:r w:rsidRPr="002203E4">
        <w:rPr>
          <w:rFonts w:hint="eastAsia"/>
          <w:rtl/>
        </w:rPr>
        <w:t>תוכנית</w:t>
      </w:r>
      <w:r w:rsidRPr="002203E4">
        <w:rPr>
          <w:rtl/>
        </w:rPr>
        <w:t xml:space="preserve"> מאושרת לאתר ובהיעדר היכולת להוציא היתרי בנייה לעבודות שנדרשו לצורך השיקום.</w:t>
      </w:r>
      <w:r w:rsidRPr="002203E4">
        <w:rPr>
          <w:rFonts w:hint="cs"/>
          <w:rtl/>
        </w:rPr>
        <w:t xml:space="preserve"> </w:t>
      </w:r>
      <w:r w:rsidRPr="002203E4">
        <w:rPr>
          <w:rFonts w:hint="eastAsia"/>
          <w:rtl/>
        </w:rPr>
        <w:t>לפי</w:t>
      </w:r>
      <w:r w:rsidRPr="002203E4">
        <w:rPr>
          <w:rtl/>
        </w:rPr>
        <w:t xml:space="preserve"> </w:t>
      </w:r>
      <w:r w:rsidRPr="002203E4">
        <w:rPr>
          <w:rFonts w:hint="eastAsia"/>
          <w:rtl/>
        </w:rPr>
        <w:t>המשרד</w:t>
      </w:r>
      <w:r w:rsidRPr="002203E4">
        <w:rPr>
          <w:rtl/>
        </w:rPr>
        <w:t xml:space="preserve"> </w:t>
      </w:r>
      <w:r w:rsidRPr="002203E4">
        <w:rPr>
          <w:rFonts w:hint="eastAsia"/>
          <w:rtl/>
        </w:rPr>
        <w:t>להג</w:t>
      </w:r>
      <w:r w:rsidRPr="002203E4">
        <w:rPr>
          <w:rtl/>
        </w:rPr>
        <w:t>"ס</w:t>
      </w:r>
      <w:r w:rsidRPr="002203E4">
        <w:rPr>
          <w:rtl/>
        </w:rPr>
        <w:t xml:space="preserve">, במהלך שנת 2022 חודש התכנון של שיקום האתר, ובשנת 2023 הגישה </w:t>
      </w:r>
      <w:r w:rsidRPr="002203E4">
        <w:rPr>
          <w:rFonts w:hint="eastAsia"/>
          <w:rtl/>
        </w:rPr>
        <w:t>מי</w:t>
      </w:r>
      <w:r w:rsidRPr="002203E4">
        <w:rPr>
          <w:rtl/>
        </w:rPr>
        <w:t>"ה</w:t>
      </w:r>
      <w:r w:rsidRPr="002203E4">
        <w:rPr>
          <w:rtl/>
        </w:rPr>
        <w:t xml:space="preserve"> בקשה להיתר בנייה עבור ביצוע השיקום. </w:t>
      </w:r>
      <w:r w:rsidRPr="002203E4">
        <w:rPr>
          <w:rFonts w:hint="eastAsia"/>
          <w:rtl/>
        </w:rPr>
        <w:t>תוכנית</w:t>
      </w:r>
      <w:r w:rsidRPr="002203E4">
        <w:rPr>
          <w:rtl/>
        </w:rPr>
        <w:t xml:space="preserve"> השיקום כוללת את כיסוי ה</w:t>
      </w:r>
      <w:r w:rsidRPr="002203E4">
        <w:rPr>
          <w:rFonts w:hint="cs"/>
          <w:rtl/>
        </w:rPr>
        <w:t>פסולת הגושית</w:t>
      </w:r>
      <w:r w:rsidRPr="002203E4">
        <w:rPr>
          <w:rtl/>
        </w:rPr>
        <w:t xml:space="preserve">, הידוקה במלח, הסדרת השיפועים, הסדרת תעלת הניקוז ההיקפית ועוד. באותה השנה אישרו את הבקשה רשות המים והמשרד </w:t>
      </w:r>
      <w:r w:rsidRPr="002203E4">
        <w:rPr>
          <w:rFonts w:hint="eastAsia"/>
          <w:rtl/>
        </w:rPr>
        <w:t>להג</w:t>
      </w:r>
      <w:r w:rsidRPr="002203E4">
        <w:rPr>
          <w:rtl/>
        </w:rPr>
        <w:t>"ס</w:t>
      </w:r>
      <w:r w:rsidRPr="008C362D">
        <w:rPr>
          <w:rtl/>
        </w:rPr>
        <w:t>.</w:t>
      </w:r>
    </w:p>
    <w:p w:rsidR="006734B0" w:rsidRPr="008C362D" w:rsidP="00734679" w14:paraId="50C2C3DD" w14:textId="77777777">
      <w:pPr>
        <w:pStyle w:val="7392"/>
        <w:ind w:left="424"/>
        <w:rPr>
          <w:rtl/>
        </w:rPr>
      </w:pPr>
      <w:r w:rsidRPr="008C362D">
        <w:rPr>
          <w:rFonts w:hint="cs"/>
          <w:rtl/>
        </w:rPr>
        <w:t>מי"ה</w:t>
      </w:r>
      <w:r w:rsidRPr="008C362D">
        <w:rPr>
          <w:rFonts w:hint="cs"/>
          <w:rtl/>
        </w:rPr>
        <w:t xml:space="preserve"> מסרה בתשובתה למשרד מבקר המדינה כי היא החלה לאחרונה בביצוע העבודות. </w:t>
      </w:r>
    </w:p>
    <w:p w:rsidR="006734B0" w:rsidRPr="008C362D" w:rsidP="008C362D" w14:paraId="5AE0D80A" w14:textId="77777777">
      <w:pPr>
        <w:pStyle w:val="7318"/>
        <w:rPr>
          <w:rtl/>
        </w:rPr>
      </w:pPr>
      <w:r w:rsidRPr="008C362D">
        <w:rPr>
          <w:rFonts w:hint="cs"/>
          <w:rtl/>
        </w:rPr>
        <w:t xml:space="preserve">משרד מבקר המדינה מציין כי שיקום האתר אינו כולל פינוי </w:t>
      </w:r>
      <w:r w:rsidRPr="008C362D">
        <w:rPr>
          <w:rFonts w:hint="eastAsia"/>
          <w:rtl/>
        </w:rPr>
        <w:t>של</w:t>
      </w:r>
      <w:r w:rsidRPr="008C362D">
        <w:rPr>
          <w:rFonts w:hint="cs"/>
          <w:rtl/>
        </w:rPr>
        <w:t xml:space="preserve"> הפסולת הגושית שהושלכה, כי אם השארתה באתר תוך ביצוע פעולות שמטרתן לוודא כי הפסולת לא תגרום לזיהומים סביבתיים. על המשרד </w:t>
      </w:r>
      <w:r w:rsidRPr="008C362D">
        <w:rPr>
          <w:rFonts w:hint="cs"/>
          <w:rtl/>
        </w:rPr>
        <w:t>להג"ס</w:t>
      </w:r>
      <w:r w:rsidRPr="008C362D">
        <w:rPr>
          <w:rFonts w:hint="cs"/>
          <w:rtl/>
        </w:rPr>
        <w:t xml:space="preserve"> והוועדה המקומית לוודא כי שיקום אתר הפסולת הגושית מתבצע בהתאם לתוכנית שאושרה בשנת 2023 וללוחות הזמנים שנקבעו. כמו כן </w:t>
      </w:r>
      <w:r w:rsidRPr="008C362D">
        <w:rPr>
          <w:rFonts w:hint="eastAsia"/>
          <w:rtl/>
        </w:rPr>
        <w:t>מוצע</w:t>
      </w:r>
      <w:r w:rsidRPr="008C362D">
        <w:rPr>
          <w:rtl/>
        </w:rPr>
        <w:t xml:space="preserve"> </w:t>
      </w:r>
      <w:r w:rsidRPr="008C362D">
        <w:rPr>
          <w:rFonts w:hint="eastAsia"/>
          <w:rtl/>
        </w:rPr>
        <w:t>כי</w:t>
      </w:r>
      <w:r w:rsidRPr="008C362D">
        <w:rPr>
          <w:rtl/>
        </w:rPr>
        <w:t xml:space="preserve"> </w:t>
      </w:r>
      <w:r w:rsidRPr="008C362D">
        <w:rPr>
          <w:rFonts w:hint="eastAsia"/>
          <w:rtl/>
        </w:rPr>
        <w:t>הם</w:t>
      </w:r>
      <w:r w:rsidRPr="008C362D">
        <w:rPr>
          <w:rtl/>
        </w:rPr>
        <w:t xml:space="preserve"> </w:t>
      </w:r>
      <w:r w:rsidRPr="008C362D">
        <w:rPr>
          <w:rFonts w:hint="eastAsia"/>
          <w:rtl/>
        </w:rPr>
        <w:t>יבחנו</w:t>
      </w:r>
      <w:r w:rsidRPr="008C362D">
        <w:rPr>
          <w:rFonts w:hint="cs"/>
          <w:rtl/>
        </w:rPr>
        <w:t xml:space="preserve"> את האפשרות לגבות ערבות או בטוחה אחרת כדי לוודא כי הליך השיקום יושלם. </w:t>
      </w:r>
    </w:p>
    <w:p w:rsidR="006734B0" w:rsidRPr="008C362D" w:rsidP="002203E4" w14:paraId="1F2240AA" w14:textId="591969CC">
      <w:pPr>
        <w:pStyle w:val="7392"/>
        <w:numPr>
          <w:ilvl w:val="0"/>
          <w:numId w:val="35"/>
        </w:numPr>
        <w:ind w:left="424" w:hanging="425"/>
        <w:rPr>
          <w:rtl/>
        </w:rPr>
      </w:pPr>
      <w:r w:rsidRPr="008C362D">
        <w:rPr>
          <w:rFonts w:hint="cs"/>
          <w:rtl/>
        </w:rPr>
        <w:t xml:space="preserve">המשרד </w:t>
      </w:r>
      <w:r w:rsidRPr="008C362D">
        <w:rPr>
          <w:rFonts w:hint="cs"/>
          <w:rtl/>
        </w:rPr>
        <w:t>להג"ס</w:t>
      </w:r>
      <w:r w:rsidRPr="008C362D">
        <w:rPr>
          <w:rFonts w:hint="cs"/>
          <w:rtl/>
        </w:rPr>
        <w:t xml:space="preserve"> מסר בתשובתו למשרד מבקר המדינה </w:t>
      </w:r>
      <w:r w:rsidRPr="00AA44B5" w:rsidR="00AA44B5">
        <w:rPr>
          <w:rtl/>
        </w:rPr>
        <w:t>כי בשנת 2023 הוא</w:t>
      </w:r>
      <w:r w:rsidRPr="008C362D">
        <w:rPr>
          <w:rtl/>
        </w:rPr>
        <w:t xml:space="preserve"> </w:t>
      </w:r>
      <w:r w:rsidRPr="008C362D">
        <w:rPr>
          <w:rFonts w:hint="eastAsia"/>
          <w:rtl/>
        </w:rPr>
        <w:t>מיפה</w:t>
      </w:r>
      <w:r w:rsidRPr="008C362D">
        <w:rPr>
          <w:rtl/>
        </w:rPr>
        <w:t xml:space="preserve"> </w:t>
      </w:r>
      <w:r w:rsidRPr="008C362D">
        <w:rPr>
          <w:rFonts w:hint="eastAsia"/>
          <w:rtl/>
        </w:rPr>
        <w:t>את</w:t>
      </w:r>
      <w:r w:rsidRPr="008C362D">
        <w:rPr>
          <w:rFonts w:hint="cs"/>
          <w:rtl/>
        </w:rPr>
        <w:t xml:space="preserve"> אתרי הפסולת הלא פעילים מתוך מטרה לטפל בהם עם תום </w:t>
      </w:r>
      <w:r w:rsidRPr="008C362D">
        <w:rPr>
          <w:rFonts w:hint="eastAsia"/>
          <w:rtl/>
        </w:rPr>
        <w:t>תקופת</w:t>
      </w:r>
      <w:r w:rsidRPr="008C362D">
        <w:rPr>
          <w:rFonts w:hint="cs"/>
          <w:rtl/>
        </w:rPr>
        <w:t xml:space="preserve"> הזיכיון, בהתאם לצורך שעלה לשקמם על</w:t>
      </w:r>
      <w:r w:rsidR="00382C24">
        <w:rPr>
          <w:rFonts w:hint="cs"/>
          <w:rtl/>
        </w:rPr>
        <w:t xml:space="preserve"> </w:t>
      </w:r>
      <w:r w:rsidRPr="008C362D">
        <w:rPr>
          <w:rFonts w:hint="cs"/>
          <w:rtl/>
        </w:rPr>
        <w:t xml:space="preserve">ידי הזכיין הנוכחי. הדבר תואם את דרך פעולתו של המשרד, בהינתן דרישות לשיקום מפגעים שנוצרו על גבי הקרקע עם סיום פעילותו של העוסק בקרקע. </w:t>
      </w:r>
    </w:p>
    <w:p w:rsidR="006734B0" w:rsidRPr="008C362D" w:rsidP="006F6E0F" w14:paraId="001779E7" w14:textId="77777777">
      <w:pPr>
        <w:pStyle w:val="7392"/>
        <w:ind w:left="424"/>
        <w:rPr>
          <w:rtl/>
        </w:rPr>
      </w:pPr>
      <w:r w:rsidRPr="008C362D">
        <w:rPr>
          <w:rFonts w:hint="cs"/>
          <w:rtl/>
        </w:rPr>
        <w:t xml:space="preserve">משרד מבקר המדינה מציין כי שטח הזיכיון עצום ולא קיים בארץ מקרה דומה </w:t>
      </w:r>
      <w:r w:rsidRPr="008C362D">
        <w:rPr>
          <w:rFonts w:hint="eastAsia"/>
          <w:rtl/>
        </w:rPr>
        <w:t>ש</w:t>
      </w:r>
      <w:r w:rsidRPr="008C362D">
        <w:rPr>
          <w:rFonts w:hint="cs"/>
          <w:rtl/>
        </w:rPr>
        <w:t xml:space="preserve">בו גורם פרטי מבצע שימוש לצרכים תעשייתיים בקרקע בהיקף כה נרחב. זאת ועוד, העובדה שהזיכיון שניתן </w:t>
      </w:r>
      <w:r w:rsidRPr="008C362D">
        <w:rPr>
          <w:rFonts w:hint="cs"/>
          <w:rtl/>
        </w:rPr>
        <w:t>למי"ה</w:t>
      </w:r>
      <w:r w:rsidRPr="008C362D">
        <w:rPr>
          <w:rFonts w:hint="cs"/>
          <w:rtl/>
        </w:rPr>
        <w:t xml:space="preserve"> ניתן לתקופה ארוכה ולמועד מוגדר מראש מחדדת את הצורך בנקיטת פעולות כבר במהלך הזיכיון, </w:t>
      </w:r>
      <w:r w:rsidRPr="008C362D">
        <w:rPr>
          <w:rFonts w:hint="eastAsia"/>
          <w:rtl/>
        </w:rPr>
        <w:t>כדי</w:t>
      </w:r>
      <w:r w:rsidRPr="008C362D">
        <w:rPr>
          <w:rFonts w:hint="cs"/>
          <w:rtl/>
        </w:rPr>
        <w:t xml:space="preserve"> להבטיח שהמפגעים הסביבתיים שנוצרו בתקופת הזיכיון יטופלו כהלכה. </w:t>
      </w:r>
    </w:p>
    <w:p w:rsidR="006734B0" w:rsidRPr="008C362D" w:rsidP="008C362D" w14:paraId="1FAC329D" w14:textId="77777777">
      <w:pPr>
        <w:pStyle w:val="7318"/>
      </w:pPr>
      <w:r w:rsidRPr="008C362D">
        <w:rPr>
          <w:rFonts w:hint="cs"/>
          <w:rtl/>
        </w:rPr>
        <w:t xml:space="preserve">על רקע דברים אלו והחשש שעולה </w:t>
      </w:r>
      <w:r w:rsidRPr="008C362D">
        <w:rPr>
          <w:rFonts w:hint="eastAsia"/>
          <w:rtl/>
        </w:rPr>
        <w:t>ו</w:t>
      </w:r>
      <w:r w:rsidRPr="008C362D">
        <w:rPr>
          <w:rFonts w:hint="cs"/>
          <w:rtl/>
        </w:rPr>
        <w:t xml:space="preserve">לפיו ייתכן שמפגעים סביבתיים בתחום הזיכיון יטופלו בחלקם לאחר תום הזיכיון ואפשר שהשטחים </w:t>
      </w:r>
      <w:r w:rsidRPr="008C362D">
        <w:rPr>
          <w:rFonts w:hint="eastAsia"/>
          <w:rtl/>
        </w:rPr>
        <w:t>ש</w:t>
      </w:r>
      <w:r w:rsidRPr="008C362D">
        <w:rPr>
          <w:rFonts w:hint="cs"/>
          <w:rtl/>
        </w:rPr>
        <w:t xml:space="preserve">בהם הם מצויים יהיו מחוץ לשטח הזיכיון העתידי, דבר שיקשה </w:t>
      </w:r>
      <w:r w:rsidRPr="008C362D">
        <w:rPr>
          <w:rFonts w:hint="eastAsia"/>
          <w:rtl/>
        </w:rPr>
        <w:t>את</w:t>
      </w:r>
      <w:r w:rsidRPr="008C362D">
        <w:rPr>
          <w:rFonts w:hint="cs"/>
          <w:rtl/>
        </w:rPr>
        <w:t xml:space="preserve"> ביצוע השיקום, </w:t>
      </w:r>
      <w:r w:rsidRPr="008C362D">
        <w:rPr>
          <w:rFonts w:hint="eastAsia"/>
          <w:rtl/>
        </w:rPr>
        <w:t>משרד</w:t>
      </w:r>
      <w:r w:rsidRPr="008C362D">
        <w:rPr>
          <w:rtl/>
        </w:rPr>
        <w:t xml:space="preserve"> מבקר המדינה </w:t>
      </w:r>
      <w:r w:rsidRPr="008C362D">
        <w:rPr>
          <w:rFonts w:hint="eastAsia"/>
          <w:rtl/>
        </w:rPr>
        <w:t>מעיר</w:t>
      </w:r>
      <w:r w:rsidRPr="008C362D">
        <w:rPr>
          <w:rtl/>
        </w:rPr>
        <w:t xml:space="preserve"> למשרד </w:t>
      </w:r>
      <w:r w:rsidRPr="008C362D">
        <w:rPr>
          <w:rFonts w:hint="eastAsia"/>
          <w:rtl/>
        </w:rPr>
        <w:t>להג</w:t>
      </w:r>
      <w:r w:rsidRPr="008C362D">
        <w:rPr>
          <w:rtl/>
        </w:rPr>
        <w:t>"ס</w:t>
      </w:r>
      <w:r w:rsidRPr="008C362D">
        <w:rPr>
          <w:rtl/>
        </w:rPr>
        <w:t xml:space="preserve"> כי יש מקום לבחון </w:t>
      </w:r>
      <w:r w:rsidRPr="008C362D">
        <w:rPr>
          <w:rFonts w:hint="cs"/>
          <w:rtl/>
        </w:rPr>
        <w:t xml:space="preserve">פעם נוספת </w:t>
      </w:r>
      <w:r w:rsidRPr="008C362D">
        <w:rPr>
          <w:rtl/>
        </w:rPr>
        <w:t xml:space="preserve">את עמדתם </w:t>
      </w:r>
      <w:r w:rsidRPr="008C362D">
        <w:rPr>
          <w:rFonts w:hint="cs"/>
          <w:rtl/>
        </w:rPr>
        <w:t>לפיה נכון לבצע את השיקום רק בסיום הפעילות התעשייתית</w:t>
      </w:r>
      <w:r w:rsidRPr="008C362D">
        <w:rPr>
          <w:rtl/>
        </w:rPr>
        <w:t xml:space="preserve"> בהתחשב במכלול הנתונים</w:t>
      </w:r>
      <w:r w:rsidRPr="008C362D">
        <w:rPr>
          <w:rFonts w:hint="cs"/>
          <w:rtl/>
        </w:rPr>
        <w:t xml:space="preserve"> המוצגים לעיל</w:t>
      </w:r>
      <w:r w:rsidRPr="008C362D">
        <w:rPr>
          <w:rtl/>
        </w:rPr>
        <w:t>.</w:t>
      </w:r>
      <w:r w:rsidRPr="008C362D">
        <w:rPr>
          <w:rFonts w:hint="cs"/>
          <w:rtl/>
        </w:rPr>
        <w:t xml:space="preserve"> </w:t>
      </w:r>
    </w:p>
    <w:p w:rsidR="006734B0" w:rsidP="008C362D" w14:paraId="2C1E8482" w14:textId="77777777">
      <w:pPr>
        <w:pStyle w:val="7321"/>
        <w:rPr>
          <w:rFonts w:ascii="Arial" w:hAnsi="Arial" w:cs="Arial"/>
          <w:rtl/>
        </w:rPr>
      </w:pPr>
      <w:r>
        <w:rPr>
          <w:rFonts w:hint="cs"/>
          <w:rtl/>
        </w:rPr>
        <w:t>✰</w:t>
      </w:r>
    </w:p>
    <w:p w:rsidR="006734B0" w:rsidRPr="008C362D" w:rsidP="008C362D" w14:paraId="29CE3DAE" w14:textId="77777777">
      <w:pPr>
        <w:pStyle w:val="7318"/>
        <w:rPr>
          <w:rtl/>
        </w:rPr>
      </w:pPr>
      <w:r w:rsidRPr="008C362D">
        <w:rPr>
          <w:rFonts w:hint="cs"/>
          <w:rtl/>
        </w:rPr>
        <w:t xml:space="preserve">כחלק מתהליך הייצור התעשייתי </w:t>
      </w:r>
      <w:r w:rsidRPr="008C362D">
        <w:rPr>
          <w:rFonts w:hint="cs"/>
          <w:rtl/>
        </w:rPr>
        <w:t>מי"ה</w:t>
      </w:r>
      <w:r w:rsidRPr="008C362D">
        <w:rPr>
          <w:rFonts w:hint="cs"/>
          <w:rtl/>
        </w:rPr>
        <w:t xml:space="preserve"> מייצרת כמויות פסולת אדירות המוערמות, בחלקן, באתרים המצויים בתחום הזיכיון. </w:t>
      </w:r>
    </w:p>
    <w:p w:rsidR="006734B0" w:rsidRPr="008C362D" w:rsidP="008C362D" w14:paraId="6820F681" w14:textId="473BE267">
      <w:pPr>
        <w:pStyle w:val="7318"/>
        <w:rPr>
          <w:rtl/>
        </w:rPr>
      </w:pPr>
      <w:r w:rsidRPr="008C362D">
        <w:rPr>
          <w:rFonts w:hint="cs"/>
          <w:rtl/>
        </w:rPr>
        <w:t xml:space="preserve">ממצאי פרק זה מצביעים על כשל </w:t>
      </w:r>
      <w:r w:rsidRPr="008C362D">
        <w:rPr>
          <w:rFonts w:hint="cs"/>
          <w:rtl/>
        </w:rPr>
        <w:t>אסדרתי</w:t>
      </w:r>
      <w:r w:rsidRPr="008C362D">
        <w:rPr>
          <w:rFonts w:hint="cs"/>
          <w:rtl/>
        </w:rPr>
        <w:t xml:space="preserve"> חמור של המשרד </w:t>
      </w:r>
      <w:r w:rsidRPr="008C362D">
        <w:rPr>
          <w:rFonts w:hint="cs"/>
          <w:rtl/>
        </w:rPr>
        <w:t>להג"ס</w:t>
      </w:r>
      <w:r w:rsidRPr="008C362D">
        <w:rPr>
          <w:rFonts w:hint="cs"/>
          <w:rtl/>
        </w:rPr>
        <w:t xml:space="preserve"> המשקף היעדר פיקוח על הנעשה בתחום הזיכיון של המשרד </w:t>
      </w:r>
      <w:r w:rsidRPr="008C362D">
        <w:rPr>
          <w:rFonts w:hint="cs"/>
          <w:rtl/>
        </w:rPr>
        <w:t>להג"ס</w:t>
      </w:r>
      <w:r w:rsidRPr="008C362D">
        <w:rPr>
          <w:rFonts w:hint="cs"/>
          <w:rtl/>
        </w:rPr>
        <w:t xml:space="preserve"> בטיפול במפגעי פסולת, המהווים מפגע נופי הנצפה למרחוק עם השפעות סביבתיות, בהן נזקים אקולוגיים וזיהום קרקע. נמצא כי המשרד </w:t>
      </w:r>
      <w:r w:rsidRPr="008C362D">
        <w:rPr>
          <w:rFonts w:hint="cs"/>
          <w:rtl/>
        </w:rPr>
        <w:t>להג"ס</w:t>
      </w:r>
      <w:r w:rsidRPr="008C362D">
        <w:rPr>
          <w:rFonts w:hint="cs"/>
          <w:rtl/>
        </w:rPr>
        <w:t xml:space="preserve"> לא קבע דרישות או הנחיות לגבי זרמי הפסולת של </w:t>
      </w:r>
      <w:r w:rsidRPr="008C362D">
        <w:rPr>
          <w:rFonts w:hint="cs"/>
          <w:rtl/>
        </w:rPr>
        <w:t>מי"ה</w:t>
      </w:r>
      <w:r w:rsidRPr="008C362D">
        <w:rPr>
          <w:rFonts w:hint="cs"/>
          <w:rtl/>
        </w:rPr>
        <w:t xml:space="preserve"> והטיפול בהם במסגרת תנאי רישיון העסק שלה, למעט דרישתו משנת 2023 להסדיר את אתר פסולת הבוצה המלחית במפעל המגנזיום עד סוף שנת 2028 - דרישה שספק אם תבוצע במועד שנקבע, נוכח העובדה שנכון לינואר 2025 המשרד </w:t>
      </w:r>
      <w:r w:rsidRPr="008C362D">
        <w:rPr>
          <w:rFonts w:hint="cs"/>
          <w:rtl/>
        </w:rPr>
        <w:t>להג"ס</w:t>
      </w:r>
      <w:r w:rsidRPr="008C362D">
        <w:rPr>
          <w:rFonts w:hint="cs"/>
          <w:rtl/>
        </w:rPr>
        <w:t xml:space="preserve"> טרם עמד על כך שתוגש לו ת</w:t>
      </w:r>
      <w:r w:rsidRPr="008C362D">
        <w:rPr>
          <w:rFonts w:hint="eastAsia"/>
          <w:rtl/>
        </w:rPr>
        <w:t>ו</w:t>
      </w:r>
      <w:r w:rsidRPr="008C362D">
        <w:rPr>
          <w:rFonts w:hint="cs"/>
          <w:rtl/>
        </w:rPr>
        <w:t xml:space="preserve">כנית אסדרה; המשרד </w:t>
      </w:r>
      <w:r w:rsidRPr="008C362D">
        <w:rPr>
          <w:rFonts w:hint="cs"/>
          <w:rtl/>
        </w:rPr>
        <w:t>להג"ס</w:t>
      </w:r>
      <w:r w:rsidRPr="008C362D">
        <w:rPr>
          <w:rFonts w:hint="cs"/>
          <w:rtl/>
        </w:rPr>
        <w:t xml:space="preserve"> לא בחן את האפשרות לגבות היטל הטמנה בגין זרמי הפסולת השונים, היטל שלפי תחשיב שביצע משרד מבקר המדינה יכול היה להגיע לעשרות מיליוני שקלים מדי שנה; ופסולת הוטמנה בתחום הזיכיון בלי שהמשרד </w:t>
      </w:r>
      <w:r w:rsidRPr="008C362D">
        <w:rPr>
          <w:rFonts w:hint="cs"/>
          <w:rtl/>
        </w:rPr>
        <w:t>להג"ס</w:t>
      </w:r>
      <w:r w:rsidRPr="008C362D">
        <w:rPr>
          <w:rFonts w:hint="cs"/>
          <w:rtl/>
        </w:rPr>
        <w:t xml:space="preserve"> גיבש מדיניות סדורה בנושא ובלי שהוא בחן את ההשפעות הסביבתיות של פרקטיקה זו. </w:t>
      </w:r>
    </w:p>
    <w:p w:rsidR="006734B0" w:rsidRPr="008C362D" w:rsidP="008C362D" w14:paraId="539D98D7" w14:textId="5EB2FFA5">
      <w:pPr>
        <w:pStyle w:val="7318"/>
        <w:rPr>
          <w:rtl/>
        </w:rPr>
      </w:pPr>
      <w:r w:rsidRPr="008C362D">
        <w:rPr>
          <w:rFonts w:hint="cs"/>
          <w:rtl/>
        </w:rPr>
        <w:t xml:space="preserve">על המשרד </w:t>
      </w:r>
      <w:r w:rsidRPr="008C362D">
        <w:rPr>
          <w:rFonts w:hint="cs"/>
          <w:rtl/>
        </w:rPr>
        <w:t>להג"ס</w:t>
      </w:r>
      <w:r w:rsidRPr="008C362D">
        <w:rPr>
          <w:rFonts w:hint="cs"/>
          <w:rtl/>
        </w:rPr>
        <w:t xml:space="preserve"> לקבוע בהקדם תנאים בנושא האסדרה של זרמי הפסולת השונים והטיפול בהם במסגרת תנאי רישיון העסק של </w:t>
      </w:r>
      <w:r w:rsidRPr="008C362D">
        <w:rPr>
          <w:rFonts w:hint="cs"/>
          <w:rtl/>
        </w:rPr>
        <w:t>מי"ה</w:t>
      </w:r>
      <w:r w:rsidRPr="008C362D">
        <w:rPr>
          <w:rFonts w:hint="cs"/>
          <w:rtl/>
        </w:rPr>
        <w:t>, לוודא את יישומם ולנקוט את הכלים הקיימים בידו במקרה של הפרת התנאים. על המשרד גם לגבש מדיניות סדורה לגבי הטמנת פסולת בתחום הזיכיון לאחר בחינת ההשפעות הסביבתיות של הנושא ו</w:t>
      </w:r>
      <w:r w:rsidRPr="008C362D">
        <w:rPr>
          <w:rFonts w:hint="eastAsia"/>
          <w:rtl/>
        </w:rPr>
        <w:t>אם</w:t>
      </w:r>
      <w:r w:rsidRPr="008C362D">
        <w:rPr>
          <w:rFonts w:hint="cs"/>
          <w:rtl/>
        </w:rPr>
        <w:t xml:space="preserve"> הוא מוצא לנכון לאשר זאת, עליו לקבוע אמצעי בקרה ומעקב </w:t>
      </w:r>
      <w:r w:rsidRPr="008C362D">
        <w:rPr>
          <w:rFonts w:hint="eastAsia"/>
          <w:rtl/>
        </w:rPr>
        <w:t>כדי</w:t>
      </w:r>
      <w:r w:rsidRPr="008C362D">
        <w:rPr>
          <w:rFonts w:hint="cs"/>
          <w:rtl/>
        </w:rPr>
        <w:t xml:space="preserve"> לוודא כי לא נגרמים מפגעים סביבתיים </w:t>
      </w:r>
      <w:r w:rsidRPr="008C362D">
        <w:rPr>
          <w:rFonts w:hint="eastAsia"/>
          <w:rtl/>
        </w:rPr>
        <w:t>בעקבות</w:t>
      </w:r>
      <w:r w:rsidRPr="008C362D">
        <w:rPr>
          <w:rFonts w:hint="cs"/>
          <w:rtl/>
        </w:rPr>
        <w:t xml:space="preserve"> שימוש זה. מאחר שתקופת הזיכיון עתידה להסתיים בשנת 2030, ועל הפרק עומד פרסום מכרז לזכיין העתידי, על המשרד </w:t>
      </w:r>
      <w:r w:rsidRPr="008C362D">
        <w:rPr>
          <w:rFonts w:hint="cs"/>
          <w:rtl/>
        </w:rPr>
        <w:t>להג"ס</w:t>
      </w:r>
      <w:r w:rsidRPr="008C362D">
        <w:rPr>
          <w:rFonts w:hint="cs"/>
          <w:rtl/>
        </w:rPr>
        <w:t xml:space="preserve"> ומשרד האוצר לוודא כי אתרי הפסולת הלא פעילים והפעילים בתחום הזיכיון ישוקמו או יוסדרו עד תום תקופת הזיכיון, כחלק מעקרון </w:t>
      </w:r>
      <w:r w:rsidRPr="008C362D" w:rsidR="00FE4AA0">
        <w:rPr>
          <w:rFonts w:hint="cs"/>
          <w:rtl/>
        </w:rPr>
        <w:t>"</w:t>
      </w:r>
      <w:r w:rsidRPr="008C362D">
        <w:rPr>
          <w:rFonts w:hint="cs"/>
          <w:rtl/>
        </w:rPr>
        <w:t>המזהם משלם</w:t>
      </w:r>
      <w:r w:rsidRPr="008C362D" w:rsidR="00FE4AA0">
        <w:rPr>
          <w:rFonts w:hint="cs"/>
          <w:rtl/>
        </w:rPr>
        <w:t>"</w:t>
      </w:r>
      <w:r w:rsidRPr="008C362D">
        <w:rPr>
          <w:rFonts w:hint="cs"/>
          <w:rtl/>
        </w:rPr>
        <w:t xml:space="preserve">, ולבחון את האפשרות לגבות ערבות או בטוחה אחרת שיבטיחו כי השיקום או האסדרה יושלמו. </w:t>
      </w:r>
    </w:p>
    <w:p w:rsidR="006734B0" w:rsidRPr="008C362D" w:rsidP="008C362D" w14:paraId="1443EC7E" w14:textId="77777777">
      <w:pPr>
        <w:pStyle w:val="7329"/>
        <w:rPr>
          <w:rtl/>
        </w:rPr>
      </w:pPr>
      <w:r w:rsidRPr="008C362D">
        <w:rPr>
          <w:rFonts w:hint="cs"/>
          <w:rtl/>
        </w:rPr>
        <w:t xml:space="preserve">ממשקי העבודה והעברת מידע בין </w:t>
      </w:r>
      <w:r w:rsidRPr="008C362D">
        <w:rPr>
          <w:rFonts w:hint="cs"/>
          <w:rtl/>
        </w:rPr>
        <w:t>המאסדרים</w:t>
      </w:r>
      <w:r w:rsidRPr="008C362D">
        <w:rPr>
          <w:rFonts w:hint="cs"/>
          <w:rtl/>
        </w:rPr>
        <w:t xml:space="preserve"> לגבי פעילות </w:t>
      </w:r>
      <w:r w:rsidRPr="008C362D">
        <w:rPr>
          <w:rFonts w:hint="cs"/>
          <w:rtl/>
        </w:rPr>
        <w:t>מי"ה</w:t>
      </w:r>
      <w:r w:rsidRPr="008C362D">
        <w:rPr>
          <w:rFonts w:hint="cs"/>
          <w:rtl/>
        </w:rPr>
        <w:t xml:space="preserve"> בשטח הזיכיון</w:t>
      </w:r>
    </w:p>
    <w:p w:rsidR="006734B0" w:rsidRPr="008C362D" w:rsidP="008C362D" w14:paraId="0CD45BF8" w14:textId="77777777">
      <w:pPr>
        <w:pStyle w:val="7392"/>
        <w:rPr>
          <w:rtl/>
        </w:rPr>
      </w:pPr>
      <w:r w:rsidRPr="008C362D">
        <w:rPr>
          <w:rFonts w:hint="cs"/>
          <w:rtl/>
        </w:rPr>
        <w:t xml:space="preserve">דוח ביקורת זה העלה שורה של ליקויים בארבעה תחומים עיקריים, ביחס לפעולת הגורמים </w:t>
      </w:r>
      <w:r w:rsidRPr="008C362D">
        <w:rPr>
          <w:rFonts w:hint="cs"/>
          <w:rtl/>
        </w:rPr>
        <w:t>המאסדרים</w:t>
      </w:r>
      <w:r w:rsidRPr="008C362D">
        <w:rPr>
          <w:rFonts w:hint="cs"/>
          <w:rtl/>
        </w:rPr>
        <w:t xml:space="preserve"> השונים, כלהלן:</w:t>
      </w:r>
    </w:p>
    <w:p w:rsidR="006734B0" w:rsidRPr="008C362D" w:rsidP="008C362D" w14:paraId="49D8E36E" w14:textId="40E69CB0">
      <w:pPr>
        <w:pStyle w:val="734"/>
        <w:rPr>
          <w:rtl/>
        </w:rPr>
      </w:pPr>
      <w:bookmarkStart w:id="59" w:name="_Hlk189134056"/>
      <w:r w:rsidRPr="008C362D">
        <w:rPr>
          <w:rFonts w:hint="cs"/>
          <w:b w:val="0"/>
          <w:bCs w:val="0"/>
          <w:rtl/>
        </w:rPr>
        <w:t xml:space="preserve">תרשים </w:t>
      </w:r>
      <w:r w:rsidR="00D0542F">
        <w:rPr>
          <w:rFonts w:hint="cs"/>
          <w:b w:val="0"/>
          <w:bCs w:val="0"/>
          <w:rtl/>
        </w:rPr>
        <w:t>1</w:t>
      </w:r>
      <w:r w:rsidRPr="008C362D">
        <w:rPr>
          <w:rFonts w:hint="cs"/>
          <w:b w:val="0"/>
          <w:bCs w:val="0"/>
          <w:rtl/>
        </w:rPr>
        <w:t>:</w:t>
      </w:r>
      <w:r w:rsidRPr="008C362D">
        <w:rPr>
          <w:rFonts w:hint="cs"/>
          <w:rtl/>
        </w:rPr>
        <w:t xml:space="preserve"> הליקויים העיקריים בניהול זיכיון ים המלח ובפיקוח עליו - </w:t>
      </w:r>
      <w:r w:rsidR="008C362D">
        <w:rPr>
          <w:rtl/>
        </w:rPr>
        <w:br/>
      </w:r>
      <w:r w:rsidRPr="00E57DD9" w:rsidR="00E57DD9">
        <w:rPr>
          <w:rtl/>
        </w:rPr>
        <w:t>היבטים בתחומי הסביבה והמקרקעין</w:t>
      </w:r>
    </w:p>
    <w:p w:rsidR="006734B0" w:rsidRPr="008C362D" w:rsidP="008C362D" w14:paraId="2099BE7E" w14:textId="5F985DC2">
      <w:pPr>
        <w:jc w:val="center"/>
      </w:pPr>
      <w:bookmarkStart w:id="60" w:name="_Hlk189134032"/>
      <w:r>
        <w:rPr>
          <w:noProof/>
        </w:rPr>
        <w:drawing>
          <wp:inline distT="0" distB="0" distL="0" distR="0">
            <wp:extent cx="4463266" cy="6154253"/>
            <wp:effectExtent l="0" t="0" r="0" b="5715"/>
            <wp:docPr id="271301963" name="תמונה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301963" name="תמונה 27"/>
                    <pic:cNvPicPr/>
                  </pic:nvPicPr>
                  <pic:blipFill>
                    <a:blip xmlns:r="http://schemas.openxmlformats.org/officeDocument/2006/relationships" r:embed="rId59" cstate="print">
                      <a:extLst>
                        <a:ext xmlns:a="http://schemas.openxmlformats.org/drawingml/2006/main" uri="{28A0092B-C50C-407E-A947-70E740481C1C}">
                          <a14:useLocalDpi xmlns:a14="http://schemas.microsoft.com/office/drawing/2010/main" val="0"/>
                        </a:ext>
                      </a:extLst>
                    </a:blip>
                    <a:stretch>
                      <a:fillRect/>
                    </a:stretch>
                  </pic:blipFill>
                  <pic:spPr>
                    <a:xfrm>
                      <a:off x="0" y="0"/>
                      <a:ext cx="4463266" cy="6154253"/>
                    </a:xfrm>
                    <a:prstGeom prst="rect">
                      <a:avLst/>
                    </a:prstGeom>
                  </pic:spPr>
                </pic:pic>
              </a:graphicData>
            </a:graphic>
          </wp:inline>
        </w:drawing>
      </w:r>
    </w:p>
    <w:bookmarkEnd w:id="59"/>
    <w:bookmarkEnd w:id="60"/>
    <w:p w:rsidR="00FE4AA0" w:rsidRPr="00FE4AA0" w:rsidP="00FE4AA0" w14:paraId="3157D119" w14:textId="77777777">
      <w:pPr>
        <w:pStyle w:val="738"/>
        <w:rPr>
          <w:rtl/>
        </w:rPr>
      </w:pPr>
      <w:r w:rsidRPr="00FE4AA0">
        <w:rPr>
          <w:rtl/>
        </w:rPr>
        <w:t>המקור: משרד מבקר המדינה</w:t>
      </w:r>
      <w:r w:rsidRPr="00FE4AA0">
        <w:t>.</w:t>
      </w:r>
    </w:p>
    <w:p w:rsidR="006734B0" w:rsidRPr="008C362D" w:rsidP="008C362D" w14:paraId="452D9ED9" w14:textId="2DF8801E">
      <w:pPr>
        <w:pStyle w:val="7392"/>
        <w:spacing w:before="180"/>
        <w:rPr>
          <w:rtl/>
        </w:rPr>
      </w:pPr>
      <w:r w:rsidRPr="008C362D">
        <w:rPr>
          <w:rFonts w:hint="cs"/>
          <w:rtl/>
        </w:rPr>
        <w:t xml:space="preserve">הסדרת שיתופי הפעולה בין </w:t>
      </w:r>
      <w:r w:rsidRPr="008C362D">
        <w:rPr>
          <w:rFonts w:hint="cs"/>
          <w:rtl/>
        </w:rPr>
        <w:t>המאסדרים</w:t>
      </w:r>
      <w:r w:rsidRPr="008C362D">
        <w:rPr>
          <w:rFonts w:hint="cs"/>
          <w:rtl/>
        </w:rPr>
        <w:t xml:space="preserve"> השונים הפועלים בתחום הזיכיון חשובה</w:t>
      </w:r>
      <w:r w:rsidRPr="008C362D">
        <w:rPr>
          <w:rtl/>
        </w:rPr>
        <w:t>,</w:t>
      </w:r>
      <w:r w:rsidRPr="008C362D">
        <w:rPr>
          <w:rFonts w:hint="cs"/>
          <w:rtl/>
        </w:rPr>
        <w:t xml:space="preserve"> מכמה סיבות: ריבוי הגורמים </w:t>
      </w:r>
      <w:r w:rsidRPr="008C362D">
        <w:rPr>
          <w:rFonts w:hint="cs"/>
          <w:rtl/>
        </w:rPr>
        <w:t>המאסדרים</w:t>
      </w:r>
      <w:r w:rsidRPr="008C362D">
        <w:rPr>
          <w:rFonts w:hint="cs"/>
          <w:rtl/>
        </w:rPr>
        <w:t xml:space="preserve"> </w:t>
      </w:r>
      <w:r w:rsidRPr="008C362D">
        <w:rPr>
          <w:rFonts w:hint="eastAsia"/>
          <w:rtl/>
        </w:rPr>
        <w:t>ש</w:t>
      </w:r>
      <w:r w:rsidRPr="008C362D">
        <w:rPr>
          <w:rtl/>
        </w:rPr>
        <w:t xml:space="preserve">הם </w:t>
      </w:r>
      <w:r w:rsidRPr="008C362D">
        <w:rPr>
          <w:rFonts w:hint="eastAsia"/>
          <w:rtl/>
        </w:rPr>
        <w:t>בעלי</w:t>
      </w:r>
      <w:r w:rsidRPr="008C362D">
        <w:rPr>
          <w:rtl/>
        </w:rPr>
        <w:t xml:space="preserve"> </w:t>
      </w:r>
      <w:r w:rsidRPr="008C362D">
        <w:rPr>
          <w:rFonts w:hint="eastAsia"/>
          <w:rtl/>
        </w:rPr>
        <w:t>סמכויות</w:t>
      </w:r>
      <w:r w:rsidRPr="008C362D">
        <w:rPr>
          <w:rFonts w:hint="cs"/>
          <w:rtl/>
        </w:rPr>
        <w:t xml:space="preserve"> בתחום הזיכיון עלול להביא למצב </w:t>
      </w:r>
      <w:r w:rsidRPr="008C362D">
        <w:rPr>
          <w:rFonts w:hint="eastAsia"/>
          <w:rtl/>
        </w:rPr>
        <w:t>ש</w:t>
      </w:r>
      <w:r w:rsidRPr="008C362D">
        <w:rPr>
          <w:rFonts w:hint="cs"/>
          <w:rtl/>
        </w:rPr>
        <w:t xml:space="preserve">בו כל מאסדר פועל בעניין מסוים בלי לקחת בחשבון את פעילותם של </w:t>
      </w:r>
      <w:r w:rsidRPr="008C362D">
        <w:rPr>
          <w:rFonts w:hint="cs"/>
          <w:rtl/>
        </w:rPr>
        <w:t>מאסדרים</w:t>
      </w:r>
      <w:r w:rsidRPr="008C362D">
        <w:rPr>
          <w:rFonts w:hint="cs"/>
          <w:rtl/>
        </w:rPr>
        <w:t xml:space="preserve"> אחרים באותו הנושא, </w:t>
      </w:r>
      <w:r w:rsidRPr="008C362D">
        <w:rPr>
          <w:rFonts w:hint="eastAsia"/>
          <w:rtl/>
        </w:rPr>
        <w:t>וכן</w:t>
      </w:r>
      <w:r w:rsidRPr="008C362D">
        <w:rPr>
          <w:rtl/>
        </w:rPr>
        <w:t xml:space="preserve"> </w:t>
      </w:r>
      <w:r w:rsidRPr="008C362D">
        <w:rPr>
          <w:rFonts w:hint="eastAsia"/>
          <w:rtl/>
        </w:rPr>
        <w:t>עלול</w:t>
      </w:r>
      <w:r w:rsidRPr="008C362D">
        <w:rPr>
          <w:rFonts w:hint="cs"/>
          <w:rtl/>
        </w:rPr>
        <w:t xml:space="preserve"> להביא לתוצאה </w:t>
      </w:r>
      <w:r w:rsidRPr="008C362D">
        <w:rPr>
          <w:rFonts w:hint="cs"/>
          <w:rtl/>
        </w:rPr>
        <w:t>אסדרתית</w:t>
      </w:r>
      <w:r w:rsidRPr="008C362D">
        <w:rPr>
          <w:rFonts w:hint="cs"/>
          <w:rtl/>
        </w:rPr>
        <w:t xml:space="preserve"> שאינה רצויה; לעיתים למאסדר אחד סמכויות פעולה מוגבלות</w:t>
      </w:r>
      <w:r w:rsidRPr="008C362D">
        <w:rPr>
          <w:rtl/>
        </w:rPr>
        <w:t>,</w:t>
      </w:r>
      <w:r w:rsidRPr="008C362D">
        <w:rPr>
          <w:rFonts w:hint="cs"/>
          <w:rtl/>
        </w:rPr>
        <w:t xml:space="preserve"> ורק שילוב סמכויות של כמה </w:t>
      </w:r>
      <w:r w:rsidRPr="008C362D">
        <w:rPr>
          <w:rFonts w:hint="cs"/>
          <w:rtl/>
        </w:rPr>
        <w:t>מאסדרים</w:t>
      </w:r>
      <w:r w:rsidRPr="008C362D">
        <w:rPr>
          <w:rFonts w:hint="cs"/>
          <w:rtl/>
        </w:rPr>
        <w:t xml:space="preserve"> שונים יביא לתוצאה אפקטיבית; מידע שקיים אצל מאסדר מסוים עשוי להיות רלוונטי למאסדר אחר ושיתוף המידע יכול לשפר את יעילות עבודת הממשלה וגופיה ואת איכות ההחלטות שלה, לצמצם בזבוז מיותר של משאבים ציבוריים ולהפחית את הנטל הבירוקרטי מהציבור. על שיתוף המידע להיעשות בהתאם להוראות הדין, תוך הקפדה על הגנת המידע ושמירה על הפרטיות כנדרש. </w:t>
      </w:r>
    </w:p>
    <w:p w:rsidR="006734B0" w:rsidRPr="008C362D" w:rsidP="008C362D" w14:paraId="14358CE1" w14:textId="33412355">
      <w:pPr>
        <w:pStyle w:val="7392"/>
        <w:rPr>
          <w:rtl/>
        </w:rPr>
      </w:pPr>
      <w:r w:rsidRPr="008C362D">
        <w:rPr>
          <w:rFonts w:hint="cs"/>
          <w:rtl/>
        </w:rPr>
        <w:t xml:space="preserve">להלן יוצגו כמה נושאים לגביהם נמצאו בביקורת פערי מידע בין הגורמים </w:t>
      </w:r>
      <w:r w:rsidRPr="008C362D">
        <w:rPr>
          <w:rFonts w:hint="cs"/>
          <w:rtl/>
        </w:rPr>
        <w:t>המאסדרים</w:t>
      </w:r>
      <w:r w:rsidRPr="008C362D">
        <w:rPr>
          <w:rFonts w:hint="cs"/>
          <w:rtl/>
        </w:rPr>
        <w:t xml:space="preserve"> השונים הפועלים בתחום הזיכיון או שהטיפול בהם מחייב שיתוף פעולה ובחינה כוללת של כמה </w:t>
      </w:r>
      <w:r w:rsidRPr="008C362D">
        <w:rPr>
          <w:rFonts w:hint="cs"/>
          <w:rtl/>
        </w:rPr>
        <w:t>מאסדרים</w:t>
      </w:r>
      <w:r w:rsidRPr="008C362D">
        <w:rPr>
          <w:rFonts w:hint="cs"/>
          <w:rtl/>
        </w:rPr>
        <w:t xml:space="preserve"> יחדיו:</w:t>
      </w:r>
    </w:p>
    <w:p w:rsidR="006734B0" w:rsidP="008D2DC1" w14:paraId="656A4D95" w14:textId="77777777">
      <w:pPr>
        <w:pStyle w:val="733155"/>
        <w:ind w:left="424" w:hanging="424"/>
        <w:rPr>
          <w:rtl/>
        </w:rPr>
      </w:pPr>
      <w:r>
        <w:rPr>
          <w:rFonts w:hint="cs"/>
          <w:rtl/>
        </w:rPr>
        <w:t xml:space="preserve">1. מידע על השימושים והמתקנים של </w:t>
      </w:r>
      <w:r>
        <w:rPr>
          <w:rFonts w:hint="cs"/>
          <w:rtl/>
        </w:rPr>
        <w:t>מי"ה</w:t>
      </w:r>
      <w:r>
        <w:rPr>
          <w:rFonts w:hint="cs"/>
          <w:rtl/>
        </w:rPr>
        <w:t xml:space="preserve"> בתחום הזיכיון</w:t>
      </w:r>
    </w:p>
    <w:p w:rsidR="006734B0" w:rsidP="008D2DC1" w14:paraId="3A2F46AA" w14:textId="77777777">
      <w:pPr>
        <w:pStyle w:val="7317"/>
        <w:rPr>
          <w:rtl/>
        </w:rPr>
      </w:pPr>
      <w:r w:rsidRPr="00731D31">
        <w:rPr>
          <w:rFonts w:hint="cs"/>
          <w:rtl/>
        </w:rPr>
        <w:t xml:space="preserve">איסוף וריכוז מידע מקיף ועדכני על כלל הפעילויות והשימושים שמקיימת </w:t>
      </w:r>
      <w:r w:rsidRPr="00731D31">
        <w:rPr>
          <w:rFonts w:hint="cs"/>
          <w:rtl/>
        </w:rPr>
        <w:t>מי"ה</w:t>
      </w:r>
      <w:r w:rsidRPr="00731D31">
        <w:rPr>
          <w:rFonts w:hint="cs"/>
          <w:rtl/>
        </w:rPr>
        <w:t xml:space="preserve"> בתחום הזיכיון, ובכלל זה סוג השימושים השונים בקרקעות החכורות והשמורות, היקף השטח שעליו הם מבוצעים ומועד תחילתם, הכרחיים לכלל הגופים </w:t>
      </w:r>
      <w:r w:rsidRPr="00731D31">
        <w:rPr>
          <w:rFonts w:hint="cs"/>
          <w:rtl/>
        </w:rPr>
        <w:t>המאסדרים</w:t>
      </w:r>
      <w:r w:rsidRPr="00731D31">
        <w:rPr>
          <w:rFonts w:hint="cs"/>
          <w:rtl/>
        </w:rPr>
        <w:t xml:space="preserve"> כדי שישקלו את הצורך בהפעלת סמכויותיהם לשמירת האינטרס הציבורי. </w:t>
      </w:r>
    </w:p>
    <w:p w:rsidR="006734B0" w:rsidP="008D2DC1" w14:paraId="42B6B310" w14:textId="77777777">
      <w:pPr>
        <w:pStyle w:val="7317"/>
        <w:rPr>
          <w:rtl/>
        </w:rPr>
      </w:pPr>
      <w:r>
        <w:rPr>
          <w:rFonts w:hint="cs"/>
          <w:rtl/>
        </w:rPr>
        <w:t xml:space="preserve">כאמור, הוראות השעה משנת 1994 קבעו כי כל עבודה טעונת היתר בנייה שאת ביצועה השלימה </w:t>
      </w:r>
      <w:r>
        <w:rPr>
          <w:rFonts w:hint="cs"/>
          <w:rtl/>
        </w:rPr>
        <w:t>מי"ה</w:t>
      </w:r>
      <w:r>
        <w:rPr>
          <w:rFonts w:hint="cs"/>
          <w:rtl/>
        </w:rPr>
        <w:t xml:space="preserve"> בשטח הזיכיון לפני חקיקת הוראות השעה, רואים אותה כאילו נעשתה לפי הוראות חוק התכנון והבנייה, זאת אף שלא קיבלה היתר בנייה</w:t>
      </w:r>
      <w:r>
        <w:rPr>
          <w:vertAlign w:val="superscript"/>
          <w:rtl/>
        </w:rPr>
        <w:footnoteReference w:id="86"/>
      </w:r>
      <w:r>
        <w:rPr>
          <w:rFonts w:hint="cs"/>
          <w:rtl/>
        </w:rPr>
        <w:t>.</w:t>
      </w:r>
    </w:p>
    <w:p w:rsidR="006734B0" w:rsidP="008D2DC1" w14:paraId="76003557" w14:textId="77777777">
      <w:pPr>
        <w:pStyle w:val="7317"/>
        <w:rPr>
          <w:rtl/>
        </w:rPr>
      </w:pPr>
      <w:r>
        <w:rPr>
          <w:rFonts w:hint="cs"/>
          <w:rtl/>
        </w:rPr>
        <w:t xml:space="preserve">בביקורת נמצא כי מתוך רצון לשמור על האינטרס הציבורי ולוודא כי הבנייה שעשתה </w:t>
      </w:r>
      <w:r>
        <w:rPr>
          <w:rFonts w:hint="cs"/>
          <w:rtl/>
        </w:rPr>
        <w:t>מי"ה</w:t>
      </w:r>
      <w:r>
        <w:rPr>
          <w:rFonts w:hint="cs"/>
          <w:rtl/>
        </w:rPr>
        <w:t xml:space="preserve"> בתקופה שקדמה להוראות השעה הייתה על-פי תקני בנייה וסטנדרטים נהוגים, מחלקת ההנדסה של </w:t>
      </w:r>
      <w:r w:rsidRPr="0097449C">
        <w:rPr>
          <w:rFonts w:hint="cs"/>
          <w:rtl/>
        </w:rPr>
        <w:t>המועצה האזורית תמר פעלה החל בשנת 2007</w:t>
      </w:r>
      <w:r>
        <w:rPr>
          <w:rFonts w:hint="cs"/>
          <w:rtl/>
        </w:rPr>
        <w:t xml:space="preserve"> להסדרה תכנונית של המתקנים המשמשים את </w:t>
      </w:r>
      <w:r>
        <w:rPr>
          <w:rFonts w:hint="cs"/>
          <w:rtl/>
        </w:rPr>
        <w:t>מי"ה</w:t>
      </w:r>
      <w:r>
        <w:rPr>
          <w:rFonts w:hint="cs"/>
          <w:rtl/>
        </w:rPr>
        <w:t xml:space="preserve">, הן אלו הנמצאים בקרקעות החכורות והן אלו הנמצאים בקרקעות השמורות. במסגרת זאת, המועצה מיפתה את הפעילויות והמתקנים שבהם משתמשת </w:t>
      </w:r>
      <w:r>
        <w:rPr>
          <w:rFonts w:hint="cs"/>
          <w:rtl/>
        </w:rPr>
        <w:t>מי"ה</w:t>
      </w:r>
      <w:r>
        <w:rPr>
          <w:rFonts w:hint="cs"/>
          <w:rtl/>
        </w:rPr>
        <w:t xml:space="preserve"> (לרבות </w:t>
      </w:r>
      <w:r w:rsidRPr="007930AB">
        <w:rPr>
          <w:rFonts w:hint="cs"/>
          <w:rtl/>
        </w:rPr>
        <w:t>אלה שהוקמו לפני שנת 1995</w:t>
      </w:r>
      <w:r>
        <w:rPr>
          <w:rFonts w:hint="cs"/>
          <w:rtl/>
        </w:rPr>
        <w:t xml:space="preserve"> ו</w:t>
      </w:r>
      <w:r w:rsidRPr="007930AB">
        <w:rPr>
          <w:rFonts w:hint="cs"/>
          <w:rtl/>
        </w:rPr>
        <w:t xml:space="preserve">הוראות השעה משנת 1994 </w:t>
      </w:r>
      <w:r>
        <w:rPr>
          <w:rFonts w:hint="cs"/>
          <w:rtl/>
        </w:rPr>
        <w:t xml:space="preserve">העניקו להם היתר בנייה סטטוטורי), </w:t>
      </w:r>
      <w:r w:rsidRPr="0097449C">
        <w:rPr>
          <w:rFonts w:hint="cs"/>
          <w:rtl/>
        </w:rPr>
        <w:t>ו</w:t>
      </w:r>
      <w:r>
        <w:rPr>
          <w:rFonts w:hint="cs"/>
          <w:rtl/>
        </w:rPr>
        <w:t xml:space="preserve">ביצעה לגביהם הסדרה תכנונית. לדברי המועצה, לצורך ההסדרה התכנונית </w:t>
      </w:r>
      <w:r>
        <w:rPr>
          <w:rFonts w:hint="cs"/>
          <w:rtl/>
        </w:rPr>
        <w:t>מי"ה</w:t>
      </w:r>
      <w:r>
        <w:rPr>
          <w:rFonts w:hint="cs"/>
          <w:rtl/>
        </w:rPr>
        <w:t xml:space="preserve"> נדרשה לבצע התאמות רבות, והיא עשתה זאת. לדברי </w:t>
      </w:r>
      <w:r>
        <w:rPr>
          <w:rFonts w:hint="cs"/>
          <w:rtl/>
        </w:rPr>
        <w:t>מי"ה</w:t>
      </w:r>
      <w:r>
        <w:rPr>
          <w:rFonts w:hint="cs"/>
          <w:rtl/>
        </w:rPr>
        <w:t xml:space="preserve"> העלות הכוללת של הסדרה זו הסתכמה בכמה מיליוני דולרים. </w:t>
      </w:r>
    </w:p>
    <w:p w:rsidR="006734B0" w:rsidP="008D2DC1" w14:paraId="010B4438" w14:textId="77777777">
      <w:pPr>
        <w:pStyle w:val="7317"/>
        <w:rPr>
          <w:rtl/>
        </w:rPr>
      </w:pPr>
      <w:r>
        <w:rPr>
          <w:rFonts w:hint="cs"/>
          <w:rtl/>
        </w:rPr>
        <w:t xml:space="preserve">עוד הועלה כי במסגרת ההסדרה התכנונית האמורה התברר למחלקת ההנדסה של המועצה שיש פער בין הארנונה שהיא חייבה את </w:t>
      </w:r>
      <w:r>
        <w:rPr>
          <w:rFonts w:hint="cs"/>
          <w:rtl/>
        </w:rPr>
        <w:t>מי"ה</w:t>
      </w:r>
      <w:r>
        <w:rPr>
          <w:rFonts w:hint="cs"/>
          <w:rtl/>
        </w:rPr>
        <w:t xml:space="preserve"> לבין הארנונה שהיה צריך לחייב אותה בפועל. לפיכך, המועצה ביצעה סקר ארנונה נרחב ופעלה כדי לשנות את חיוב הארנונה של </w:t>
      </w:r>
      <w:r>
        <w:rPr>
          <w:rFonts w:hint="cs"/>
          <w:rtl/>
        </w:rPr>
        <w:t>מי"ה</w:t>
      </w:r>
      <w:r>
        <w:rPr>
          <w:rFonts w:hint="cs"/>
          <w:rtl/>
        </w:rPr>
        <w:t xml:space="preserve"> כך שהוא ישקף את כלל המתקנים שיש לחייב בגינם. מבדיקה אקראית </w:t>
      </w:r>
      <w:r>
        <w:rPr>
          <w:rFonts w:hint="cs"/>
          <w:rtl/>
        </w:rPr>
        <w:t xml:space="preserve">שביצע צוות הביקורת נמצא כי </w:t>
      </w:r>
      <w:r>
        <w:rPr>
          <w:rFonts w:hint="cs"/>
          <w:rtl/>
        </w:rPr>
        <w:t>מי"ה</w:t>
      </w:r>
      <w:r>
        <w:rPr>
          <w:rFonts w:hint="cs"/>
          <w:rtl/>
        </w:rPr>
        <w:t xml:space="preserve"> משלמת ארנונה</w:t>
      </w:r>
      <w:r>
        <w:rPr>
          <w:rFonts w:hint="cs"/>
        </w:rPr>
        <w:t xml:space="preserve"> </w:t>
      </w:r>
      <w:r>
        <w:rPr>
          <w:rFonts w:hint="cs"/>
          <w:rtl/>
        </w:rPr>
        <w:t xml:space="preserve">בגין מתקנים רבים, לרבות מתקנים שלגביהם לא קיימים תנאים סביבתיים ברישיון העסק שלה ולרבות מתקנים הנמצאים בקרקעות השמורות שלגביהם לא בוצעה אסדרה מול </w:t>
      </w:r>
      <w:r>
        <w:rPr>
          <w:rFonts w:hint="cs"/>
          <w:rtl/>
        </w:rPr>
        <w:t>רמ"י</w:t>
      </w:r>
      <w:r>
        <w:rPr>
          <w:rFonts w:hint="cs"/>
          <w:rtl/>
        </w:rPr>
        <w:t xml:space="preserve">, כאמור לעיל; כך לדוגמה, </w:t>
      </w:r>
      <w:r w:rsidRPr="0097449C">
        <w:rPr>
          <w:rFonts w:hint="cs"/>
          <w:rtl/>
        </w:rPr>
        <w:t>תחנת הסניקה,</w:t>
      </w:r>
      <w:r>
        <w:rPr>
          <w:rFonts w:hint="cs"/>
          <w:rtl/>
        </w:rPr>
        <w:t xml:space="preserve"> מסוע צפע </w:t>
      </w:r>
      <w:r w:rsidRPr="0097449C">
        <w:rPr>
          <w:rFonts w:hint="cs"/>
          <w:rtl/>
        </w:rPr>
        <w:t xml:space="preserve">ותחנת השאיבה </w:t>
      </w:r>
      <w:r w:rsidRPr="0097449C">
        <w:rPr>
          <w:rFonts w:hint="cs"/>
        </w:rPr>
        <w:t>P</w:t>
      </w:r>
      <w:r w:rsidRPr="0097449C">
        <w:t>9</w:t>
      </w:r>
      <w:r w:rsidRPr="0097449C">
        <w:rPr>
          <w:rFonts w:hint="cs"/>
          <w:rtl/>
        </w:rPr>
        <w:t>,</w:t>
      </w:r>
      <w:r>
        <w:rPr>
          <w:rFonts w:hint="cs"/>
          <w:rtl/>
        </w:rPr>
        <w:t xml:space="preserve"> הממוקמים בקרקעות השמורות ופועלים בלא תנאים ברישיון העסק. יצוין גם כי המועצה הציגה לצוות הביקורת מאגר מידע ממוחשב ומתקדם שבו ניתן לראות את השימושים השונים המתקיימים בתחום הזיכיון ומידע נוסף לגביהם. </w:t>
      </w:r>
    </w:p>
    <w:p w:rsidR="006734B0" w:rsidRPr="008D2DC1" w:rsidP="008D2DC1" w14:paraId="2844C454" w14:textId="0172747D">
      <w:pPr>
        <w:pStyle w:val="7310"/>
        <w:rPr>
          <w:rtl/>
        </w:rPr>
      </w:pPr>
      <w:r w:rsidRPr="008D2DC1">
        <w:rPr>
          <w:rFonts w:hint="cs"/>
          <w:rtl/>
        </w:rPr>
        <w:t xml:space="preserve">בביקורת נמצא כי בעוד שהמועצה האזורית תמר השקיעה משאבים רבים לאיסוף ולאיגום מידע נרחב ומפורט לגבי מתקנים ושימושים של </w:t>
      </w:r>
      <w:r w:rsidRPr="008D2DC1">
        <w:rPr>
          <w:rFonts w:hint="cs"/>
          <w:rtl/>
        </w:rPr>
        <w:t>מי"ה</w:t>
      </w:r>
      <w:r w:rsidRPr="008D2DC1">
        <w:rPr>
          <w:rFonts w:hint="cs"/>
          <w:rtl/>
        </w:rPr>
        <w:t xml:space="preserve"> המתקיימים בתחום הזיכיון </w:t>
      </w:r>
      <w:r w:rsidRPr="008D2DC1">
        <w:rPr>
          <w:rFonts w:hint="cs"/>
          <w:rtl/>
        </w:rPr>
        <w:t>ולהנגשתו</w:t>
      </w:r>
      <w:r w:rsidRPr="008D2DC1">
        <w:rPr>
          <w:rFonts w:hint="cs"/>
          <w:rtl/>
        </w:rPr>
        <w:t xml:space="preserve"> של המידע במערכת ממוחשבת, </w:t>
      </w:r>
      <w:r w:rsidRPr="008D2DC1">
        <w:rPr>
          <w:rFonts w:hint="cs"/>
          <w:rtl/>
        </w:rPr>
        <w:t>לרמ"י</w:t>
      </w:r>
      <w:r w:rsidRPr="008D2DC1">
        <w:rPr>
          <w:rFonts w:hint="cs"/>
          <w:rtl/>
        </w:rPr>
        <w:t>, הגוף האחראי לניהול מקרקעי ישראל בתחום הזיכיון, אין מידע בדבר השימושים המתקיימים בקרקעות השמורות, ויש בידיה מידע חלקי בלבד לגבי השימושים בקרקעות החכורות</w:t>
      </w:r>
      <w:r>
        <w:rPr>
          <w:rStyle w:val="FootnoteReference1"/>
          <w:rtl/>
        </w:rPr>
        <w:footnoteReference w:id="87"/>
      </w:r>
      <w:r w:rsidRPr="008D2DC1">
        <w:rPr>
          <w:rFonts w:hint="cs"/>
          <w:rtl/>
        </w:rPr>
        <w:t xml:space="preserve">. עוד נמצא כי גם בידי </w:t>
      </w:r>
      <w:r w:rsidR="00FE4AA0">
        <w:rPr>
          <w:rFonts w:hint="cs"/>
          <w:rtl/>
        </w:rPr>
        <w:t>ה</w:t>
      </w:r>
      <w:r w:rsidRPr="008D2DC1">
        <w:rPr>
          <w:rFonts w:hint="cs"/>
          <w:rtl/>
        </w:rPr>
        <w:t xml:space="preserve">משרד </w:t>
      </w:r>
      <w:r w:rsidRPr="008D2DC1">
        <w:rPr>
          <w:rFonts w:hint="cs"/>
          <w:rtl/>
        </w:rPr>
        <w:t>להג"ס</w:t>
      </w:r>
      <w:r w:rsidRPr="008D2DC1">
        <w:rPr>
          <w:rFonts w:hint="cs"/>
          <w:rtl/>
        </w:rPr>
        <w:t xml:space="preserve"> לא היה מידע מספק בנושא במשך שנים, ורק בשנת 2023 הוא החל לבצע מיפוי של השימושים והפעילויות המתקיימים בשטח הנמצא מחוץ למפעל כדי להכליל תנאים סביבתיים ברישיון העסק שלהם או במסגרת רגולטורית אחרת. היעדר המידע האמור פגע באופן שבו מימשו המשרד </w:t>
      </w:r>
      <w:r w:rsidRPr="008D2DC1">
        <w:rPr>
          <w:rFonts w:hint="cs"/>
          <w:rtl/>
        </w:rPr>
        <w:t>להג"ס</w:t>
      </w:r>
      <w:r w:rsidRPr="008D2DC1">
        <w:rPr>
          <w:rFonts w:hint="cs"/>
          <w:rtl/>
        </w:rPr>
        <w:t xml:space="preserve"> </w:t>
      </w:r>
      <w:r w:rsidRPr="008D2DC1">
        <w:rPr>
          <w:rFonts w:hint="cs"/>
          <w:rtl/>
        </w:rPr>
        <w:t>ורמ"י</w:t>
      </w:r>
      <w:r w:rsidRPr="008D2DC1">
        <w:rPr>
          <w:rFonts w:hint="cs"/>
          <w:rtl/>
        </w:rPr>
        <w:t xml:space="preserve"> את סמכויותיהם בתחום הזיכיון כמתואר בפרקי הביקורת בדוח ובכלל זה אי-גביית תשלומים כנדרש. </w:t>
      </w:r>
    </w:p>
    <w:p w:rsidR="006734B0" w:rsidRPr="008D2DC1" w:rsidP="008D2DC1" w14:paraId="712C95E4" w14:textId="3F243D93">
      <w:pPr>
        <w:pStyle w:val="7310"/>
        <w:rPr>
          <w:rtl/>
        </w:rPr>
      </w:pPr>
      <w:r w:rsidRPr="008D2DC1">
        <w:rPr>
          <w:rFonts w:hint="cs"/>
          <w:rtl/>
        </w:rPr>
        <w:t xml:space="preserve">משרד מבקר המדינה מציין את ההסדרה התכנונית שביצעה מחלקת ההנדסה של המועצה האזורית תמר החל בשנת 2007 לגבי מתקני </w:t>
      </w:r>
      <w:r w:rsidRPr="008D2DC1">
        <w:rPr>
          <w:rFonts w:hint="cs"/>
          <w:rtl/>
        </w:rPr>
        <w:t>מי"ה</w:t>
      </w:r>
      <w:r w:rsidRPr="008D2DC1">
        <w:rPr>
          <w:rFonts w:hint="cs"/>
          <w:rtl/>
        </w:rPr>
        <w:t xml:space="preserve"> שהוקמו לפני שנת 1995, אף שהוראות השעה משנת 1994 לא חייבו אותה לבצע הסדרה כאמור. בפעילות חשובה זו של המועצה, נחשפו פערים לגבי עמידתם של המתקנים שבנתה </w:t>
      </w:r>
      <w:r w:rsidRPr="008D2DC1">
        <w:rPr>
          <w:rFonts w:hint="cs"/>
          <w:rtl/>
        </w:rPr>
        <w:t>מי"ה</w:t>
      </w:r>
      <w:r w:rsidRPr="008D2DC1">
        <w:rPr>
          <w:rFonts w:hint="cs"/>
          <w:rtl/>
        </w:rPr>
        <w:t xml:space="preserve"> במהלך עשרות השנים בתקנים מקובלים ובטוחים. בעקבותיה, המועצה עמדה על כך </w:t>
      </w:r>
      <w:r w:rsidRPr="008D2DC1">
        <w:rPr>
          <w:rFonts w:hint="cs"/>
          <w:rtl/>
        </w:rPr>
        <w:t>שמי"ה</w:t>
      </w:r>
      <w:r w:rsidRPr="008D2DC1">
        <w:rPr>
          <w:rFonts w:hint="cs"/>
          <w:rtl/>
        </w:rPr>
        <w:t xml:space="preserve"> תבצע התאמות למתקניה בעלות כוללת של </w:t>
      </w:r>
      <w:r w:rsidRPr="008D2DC1">
        <w:rPr>
          <w:rFonts w:hint="eastAsia"/>
          <w:rtl/>
        </w:rPr>
        <w:t>מיליוני</w:t>
      </w:r>
      <w:r w:rsidRPr="008D2DC1">
        <w:rPr>
          <w:rtl/>
        </w:rPr>
        <w:t xml:space="preserve"> </w:t>
      </w:r>
      <w:r w:rsidRPr="00E57DD9" w:rsidR="00E57DD9">
        <w:rPr>
          <w:rtl/>
        </w:rPr>
        <w:t>דולרים</w:t>
      </w:r>
      <w:r w:rsidRPr="008D2DC1">
        <w:rPr>
          <w:rtl/>
        </w:rPr>
        <w:t xml:space="preserve">, </w:t>
      </w:r>
      <w:r w:rsidRPr="008D2DC1">
        <w:rPr>
          <w:rFonts w:hint="eastAsia"/>
          <w:rtl/>
        </w:rPr>
        <w:t>ובכך</w:t>
      </w:r>
      <w:r w:rsidRPr="008D2DC1">
        <w:rPr>
          <w:rFonts w:hint="cs"/>
          <w:rtl/>
        </w:rPr>
        <w:t xml:space="preserve"> שמרה הן על האינטרס הציבורי והן על האינטרס העסקי של </w:t>
      </w:r>
      <w:r w:rsidRPr="008D2DC1">
        <w:rPr>
          <w:rFonts w:hint="cs"/>
          <w:rtl/>
        </w:rPr>
        <w:t>מי"ה</w:t>
      </w:r>
      <w:r w:rsidRPr="008D2DC1">
        <w:rPr>
          <w:rFonts w:hint="cs"/>
          <w:rtl/>
        </w:rPr>
        <w:t xml:space="preserve">. פעילות זו משמשת הוכחה מוצקה ליכולתם של </w:t>
      </w:r>
      <w:r w:rsidRPr="008D2DC1">
        <w:rPr>
          <w:rFonts w:hint="cs"/>
          <w:rtl/>
        </w:rPr>
        <w:t>מאסדרים</w:t>
      </w:r>
      <w:r w:rsidRPr="008D2DC1">
        <w:rPr>
          <w:rtl/>
        </w:rPr>
        <w:t xml:space="preserve"> למ</w:t>
      </w:r>
      <w:r w:rsidRPr="008D2DC1">
        <w:rPr>
          <w:rFonts w:hint="cs"/>
          <w:rtl/>
        </w:rPr>
        <w:t>לא את תפקידם</w:t>
      </w:r>
      <w:r w:rsidRPr="008D2DC1">
        <w:rPr>
          <w:rtl/>
        </w:rPr>
        <w:t xml:space="preserve"> בצורה טובה ויעילה</w:t>
      </w:r>
      <w:r w:rsidRPr="008D2DC1">
        <w:rPr>
          <w:rFonts w:hint="cs"/>
          <w:rtl/>
        </w:rPr>
        <w:t xml:space="preserve"> גם בשטח הזיכיון, בשעה שהם נחושים לעשות זאת. </w:t>
      </w:r>
    </w:p>
    <w:p w:rsidR="006734B0" w:rsidRPr="004F0348" w:rsidP="008D2DC1" w14:paraId="567F4D31" w14:textId="77777777">
      <w:pPr>
        <w:pStyle w:val="7317"/>
      </w:pPr>
      <w:r>
        <w:rPr>
          <w:rFonts w:hint="cs"/>
          <w:rtl/>
        </w:rPr>
        <w:t xml:space="preserve">המשרד </w:t>
      </w:r>
      <w:r>
        <w:rPr>
          <w:rFonts w:hint="cs"/>
          <w:rtl/>
        </w:rPr>
        <w:t>להג"ס</w:t>
      </w:r>
      <w:r>
        <w:rPr>
          <w:rFonts w:hint="cs"/>
          <w:rtl/>
        </w:rPr>
        <w:t xml:space="preserve"> מסר בתשובתו למשרד מבקר המדינה כי הוא מוגבל ביכולתו להעביר מידע אשר הועבר לו במסגרת תפקידו </w:t>
      </w:r>
      <w:r w:rsidRPr="001846B3">
        <w:rPr>
          <w:rFonts w:hint="cs"/>
          <w:rtl/>
        </w:rPr>
        <w:t>כמאסדר</w:t>
      </w:r>
      <w:r w:rsidRPr="001846B3">
        <w:rPr>
          <w:rtl/>
        </w:rPr>
        <w:t>,</w:t>
      </w:r>
      <w:r w:rsidRPr="001846B3">
        <w:rPr>
          <w:rFonts w:hint="cs"/>
          <w:rtl/>
        </w:rPr>
        <w:t xml:space="preserve"> ועל כן ראוי ש</w:t>
      </w:r>
      <w:r w:rsidRPr="001846B3">
        <w:rPr>
          <w:rFonts w:hint="eastAsia"/>
          <w:rtl/>
        </w:rPr>
        <w:t>י</w:t>
      </w:r>
      <w:r w:rsidRPr="001846B3">
        <w:rPr>
          <w:rFonts w:hint="cs"/>
          <w:rtl/>
        </w:rPr>
        <w:t>יבחן</w:t>
      </w:r>
      <w:r>
        <w:rPr>
          <w:rFonts w:hint="cs"/>
          <w:rtl/>
        </w:rPr>
        <w:t xml:space="preserve"> הצורך להסדיר בחקיקה את שיתוף הפעולה בין </w:t>
      </w:r>
      <w:r>
        <w:rPr>
          <w:rFonts w:hint="cs"/>
          <w:rtl/>
        </w:rPr>
        <w:t>המאסדרים</w:t>
      </w:r>
      <w:r>
        <w:rPr>
          <w:rFonts w:hint="cs"/>
          <w:rtl/>
        </w:rPr>
        <w:t xml:space="preserve"> השונים. </w:t>
      </w:r>
    </w:p>
    <w:p w:rsidR="006734B0" w:rsidRPr="008D2DC1" w:rsidP="008D2DC1" w14:paraId="6CC12EAF" w14:textId="77777777">
      <w:pPr>
        <w:pStyle w:val="7310"/>
        <w:rPr>
          <w:rtl/>
        </w:rPr>
      </w:pPr>
      <w:r w:rsidRPr="008D2DC1">
        <w:rPr>
          <w:rFonts w:hint="eastAsia"/>
          <w:rtl/>
        </w:rPr>
        <w:t>על</w:t>
      </w:r>
      <w:r w:rsidRPr="008D2DC1">
        <w:rPr>
          <w:rtl/>
        </w:rPr>
        <w:t xml:space="preserve"> </w:t>
      </w:r>
      <w:r w:rsidRPr="008D2DC1">
        <w:rPr>
          <w:rFonts w:hint="eastAsia"/>
          <w:rtl/>
        </w:rPr>
        <w:t>רמ</w:t>
      </w:r>
      <w:r w:rsidRPr="008D2DC1">
        <w:rPr>
          <w:rtl/>
        </w:rPr>
        <w:t>"י</w:t>
      </w:r>
      <w:r w:rsidRPr="008D2DC1">
        <w:rPr>
          <w:rtl/>
        </w:rPr>
        <w:t xml:space="preserve">, </w:t>
      </w:r>
      <w:r w:rsidRPr="008D2DC1">
        <w:rPr>
          <w:rFonts w:hint="eastAsia"/>
          <w:rtl/>
        </w:rPr>
        <w:t>המשרד</w:t>
      </w:r>
      <w:r w:rsidRPr="008D2DC1">
        <w:rPr>
          <w:rtl/>
        </w:rPr>
        <w:t xml:space="preserve"> </w:t>
      </w:r>
      <w:r w:rsidRPr="008D2DC1">
        <w:rPr>
          <w:rFonts w:hint="eastAsia"/>
          <w:rtl/>
        </w:rPr>
        <w:t>להג</w:t>
      </w:r>
      <w:r w:rsidRPr="008D2DC1">
        <w:rPr>
          <w:rtl/>
        </w:rPr>
        <w:t>"ס</w:t>
      </w:r>
      <w:r w:rsidRPr="008D2DC1">
        <w:rPr>
          <w:rtl/>
        </w:rPr>
        <w:t xml:space="preserve"> </w:t>
      </w:r>
      <w:r w:rsidRPr="008D2DC1">
        <w:rPr>
          <w:rFonts w:hint="eastAsia"/>
          <w:rtl/>
        </w:rPr>
        <w:t>והמועצה</w:t>
      </w:r>
      <w:r w:rsidRPr="008D2DC1">
        <w:rPr>
          <w:rtl/>
        </w:rPr>
        <w:t xml:space="preserve"> </w:t>
      </w:r>
      <w:r w:rsidRPr="008D2DC1">
        <w:rPr>
          <w:rFonts w:hint="eastAsia"/>
          <w:rtl/>
        </w:rPr>
        <w:t>האזורית</w:t>
      </w:r>
      <w:r w:rsidRPr="008D2DC1">
        <w:rPr>
          <w:rtl/>
        </w:rPr>
        <w:t xml:space="preserve"> </w:t>
      </w:r>
      <w:r w:rsidRPr="008D2DC1">
        <w:rPr>
          <w:rFonts w:hint="eastAsia"/>
          <w:rtl/>
        </w:rPr>
        <w:t>תמר</w:t>
      </w:r>
      <w:r w:rsidRPr="008D2DC1">
        <w:rPr>
          <w:rtl/>
        </w:rPr>
        <w:t xml:space="preserve"> </w:t>
      </w:r>
      <w:r w:rsidRPr="008D2DC1">
        <w:rPr>
          <w:rFonts w:hint="eastAsia"/>
          <w:rtl/>
        </w:rPr>
        <w:t>ל</w:t>
      </w:r>
      <w:r w:rsidRPr="008D2DC1">
        <w:rPr>
          <w:rFonts w:hint="cs"/>
          <w:rtl/>
        </w:rPr>
        <w:t xml:space="preserve">שתף </w:t>
      </w:r>
      <w:r w:rsidRPr="008D2DC1">
        <w:rPr>
          <w:rFonts w:hint="eastAsia"/>
          <w:rtl/>
        </w:rPr>
        <w:t>ביניהן</w:t>
      </w:r>
      <w:r w:rsidRPr="008D2DC1">
        <w:rPr>
          <w:rFonts w:hint="cs"/>
          <w:rtl/>
        </w:rPr>
        <w:t>,</w:t>
      </w:r>
      <w:r w:rsidRPr="008D2DC1">
        <w:rPr>
          <w:rtl/>
        </w:rPr>
        <w:t xml:space="preserve"> </w:t>
      </w:r>
      <w:r w:rsidRPr="008D2DC1">
        <w:rPr>
          <w:rFonts w:hint="cs"/>
          <w:rtl/>
        </w:rPr>
        <w:t xml:space="preserve">בהתאם להוראות הדין, תוך הקפדה על הגנת המידע ושמירה על הפרטיות כנדרש, </w:t>
      </w:r>
      <w:r w:rsidRPr="008D2DC1">
        <w:rPr>
          <w:rFonts w:hint="eastAsia"/>
          <w:rtl/>
        </w:rPr>
        <w:t>את</w:t>
      </w:r>
      <w:r w:rsidRPr="008D2DC1">
        <w:rPr>
          <w:rtl/>
        </w:rPr>
        <w:t xml:space="preserve"> </w:t>
      </w:r>
      <w:r w:rsidRPr="008D2DC1">
        <w:rPr>
          <w:rFonts w:hint="eastAsia"/>
          <w:rtl/>
        </w:rPr>
        <w:t>המידע</w:t>
      </w:r>
      <w:r w:rsidRPr="008D2DC1">
        <w:rPr>
          <w:rtl/>
        </w:rPr>
        <w:t xml:space="preserve"> </w:t>
      </w:r>
      <w:r w:rsidRPr="008D2DC1">
        <w:rPr>
          <w:rFonts w:hint="eastAsia"/>
          <w:rtl/>
        </w:rPr>
        <w:t>שאספו</w:t>
      </w:r>
      <w:r w:rsidRPr="008D2DC1">
        <w:rPr>
          <w:rFonts w:hint="cs"/>
          <w:rtl/>
        </w:rPr>
        <w:t xml:space="preserve"> </w:t>
      </w:r>
      <w:r w:rsidRPr="008D2DC1">
        <w:rPr>
          <w:rFonts w:hint="eastAsia"/>
          <w:rtl/>
        </w:rPr>
        <w:t>כדי</w:t>
      </w:r>
      <w:r w:rsidRPr="008D2DC1">
        <w:rPr>
          <w:rtl/>
        </w:rPr>
        <w:t xml:space="preserve"> </w:t>
      </w:r>
      <w:r w:rsidRPr="008D2DC1">
        <w:rPr>
          <w:rFonts w:hint="eastAsia"/>
          <w:rtl/>
        </w:rPr>
        <w:t>לוודא</w:t>
      </w:r>
      <w:r w:rsidRPr="008D2DC1">
        <w:rPr>
          <w:rtl/>
        </w:rPr>
        <w:t xml:space="preserve"> </w:t>
      </w:r>
      <w:r w:rsidRPr="008D2DC1">
        <w:rPr>
          <w:rFonts w:hint="eastAsia"/>
          <w:rtl/>
        </w:rPr>
        <w:t>שביד</w:t>
      </w:r>
      <w:r w:rsidRPr="008D2DC1">
        <w:rPr>
          <w:rFonts w:hint="cs"/>
          <w:rtl/>
        </w:rPr>
        <w:t xml:space="preserve">י כל אחד מהגופים האמורים תהיה </w:t>
      </w:r>
      <w:r w:rsidRPr="008D2DC1">
        <w:rPr>
          <w:rFonts w:hint="eastAsia"/>
          <w:rtl/>
        </w:rPr>
        <w:t>תמונה</w:t>
      </w:r>
      <w:r w:rsidRPr="008D2DC1">
        <w:rPr>
          <w:rtl/>
        </w:rPr>
        <w:t xml:space="preserve"> </w:t>
      </w:r>
      <w:r w:rsidRPr="008D2DC1">
        <w:rPr>
          <w:rFonts w:hint="eastAsia"/>
          <w:rtl/>
        </w:rPr>
        <w:t>מלאה</w:t>
      </w:r>
      <w:r w:rsidRPr="008D2DC1">
        <w:rPr>
          <w:rtl/>
        </w:rPr>
        <w:t xml:space="preserve"> </w:t>
      </w:r>
      <w:r w:rsidRPr="008D2DC1">
        <w:rPr>
          <w:rFonts w:hint="eastAsia"/>
          <w:rtl/>
        </w:rPr>
        <w:t>של</w:t>
      </w:r>
      <w:r w:rsidRPr="008D2DC1">
        <w:rPr>
          <w:rtl/>
        </w:rPr>
        <w:t xml:space="preserve"> </w:t>
      </w:r>
      <w:r w:rsidRPr="008D2DC1">
        <w:rPr>
          <w:rFonts w:hint="eastAsia"/>
          <w:rtl/>
        </w:rPr>
        <w:t>השימושים</w:t>
      </w:r>
      <w:r w:rsidRPr="008D2DC1">
        <w:rPr>
          <w:rtl/>
        </w:rPr>
        <w:t xml:space="preserve"> </w:t>
      </w:r>
      <w:r w:rsidRPr="008D2DC1">
        <w:rPr>
          <w:rFonts w:hint="eastAsia"/>
          <w:rtl/>
        </w:rPr>
        <w:t>והפעילויות</w:t>
      </w:r>
      <w:r w:rsidRPr="008D2DC1">
        <w:rPr>
          <w:rtl/>
        </w:rPr>
        <w:t xml:space="preserve"> </w:t>
      </w:r>
      <w:r w:rsidRPr="008D2DC1">
        <w:rPr>
          <w:rFonts w:hint="eastAsia"/>
          <w:rtl/>
        </w:rPr>
        <w:t>המתבצעות</w:t>
      </w:r>
      <w:r w:rsidRPr="008D2DC1">
        <w:rPr>
          <w:rtl/>
        </w:rPr>
        <w:t xml:space="preserve"> </w:t>
      </w:r>
      <w:r w:rsidRPr="008D2DC1">
        <w:rPr>
          <w:rFonts w:hint="eastAsia"/>
          <w:rtl/>
        </w:rPr>
        <w:t>בתחום</w:t>
      </w:r>
      <w:r w:rsidRPr="008D2DC1">
        <w:rPr>
          <w:rtl/>
        </w:rPr>
        <w:t xml:space="preserve"> </w:t>
      </w:r>
      <w:r w:rsidRPr="008D2DC1">
        <w:rPr>
          <w:rFonts w:hint="eastAsia"/>
          <w:rtl/>
        </w:rPr>
        <w:t>הזיכיון</w:t>
      </w:r>
      <w:r w:rsidRPr="008D2DC1">
        <w:rPr>
          <w:rFonts w:hint="cs"/>
          <w:rtl/>
        </w:rPr>
        <w:t xml:space="preserve">. שיתוף המידע יאפשר לגורמים אלו </w:t>
      </w:r>
      <w:r w:rsidRPr="008D2DC1">
        <w:rPr>
          <w:rFonts w:hint="eastAsia"/>
          <w:rtl/>
        </w:rPr>
        <w:t>להפעיל</w:t>
      </w:r>
      <w:r w:rsidRPr="008D2DC1">
        <w:rPr>
          <w:rtl/>
        </w:rPr>
        <w:t xml:space="preserve"> </w:t>
      </w:r>
      <w:r w:rsidRPr="008D2DC1">
        <w:rPr>
          <w:rFonts w:hint="eastAsia"/>
          <w:rtl/>
        </w:rPr>
        <w:t>את</w:t>
      </w:r>
      <w:r w:rsidRPr="008D2DC1">
        <w:rPr>
          <w:rtl/>
        </w:rPr>
        <w:t xml:space="preserve"> </w:t>
      </w:r>
      <w:r w:rsidRPr="008D2DC1">
        <w:rPr>
          <w:rFonts w:hint="eastAsia"/>
          <w:rtl/>
        </w:rPr>
        <w:t>סמכויותיהם</w:t>
      </w:r>
      <w:r w:rsidRPr="008D2DC1">
        <w:rPr>
          <w:rtl/>
        </w:rPr>
        <w:t xml:space="preserve"> </w:t>
      </w:r>
      <w:r w:rsidRPr="008D2DC1">
        <w:rPr>
          <w:rFonts w:hint="eastAsia"/>
          <w:rtl/>
        </w:rPr>
        <w:t>ב</w:t>
      </w:r>
      <w:r w:rsidRPr="008D2DC1">
        <w:rPr>
          <w:rFonts w:hint="cs"/>
          <w:rtl/>
        </w:rPr>
        <w:t>תחום הזיכיון באופן מלא ומיטבי</w:t>
      </w:r>
      <w:r w:rsidRPr="008D2DC1">
        <w:rPr>
          <w:rtl/>
        </w:rPr>
        <w:t>.</w:t>
      </w:r>
      <w:r w:rsidRPr="008D2DC1">
        <w:rPr>
          <w:rFonts w:hint="cs"/>
          <w:rtl/>
        </w:rPr>
        <w:t xml:space="preserve"> בראייה צופה פני עתיד, מוצע כי במסגרת עבודת המטה לקראת גיבוש הזיכיון העתידי ייבחנו החסמים המשפטיים הקיימים המגבילים העברת מידע בין </w:t>
      </w:r>
      <w:r w:rsidRPr="008D2DC1">
        <w:rPr>
          <w:rFonts w:hint="cs"/>
          <w:rtl/>
        </w:rPr>
        <w:t>המאסדרים</w:t>
      </w:r>
      <w:r w:rsidRPr="008D2DC1">
        <w:rPr>
          <w:rFonts w:hint="cs"/>
          <w:rtl/>
        </w:rPr>
        <w:t>, ובמידת הצורך משרד האוצר, כמשרד האחראי לחוק הזיכיון, י</w:t>
      </w:r>
      <w:r w:rsidRPr="008D2DC1">
        <w:rPr>
          <w:rFonts w:hint="eastAsia"/>
          <w:rtl/>
        </w:rPr>
        <w:t>י</w:t>
      </w:r>
      <w:r w:rsidRPr="008D2DC1">
        <w:rPr>
          <w:rFonts w:hint="cs"/>
          <w:rtl/>
        </w:rPr>
        <w:t xml:space="preserve">בחן ביצוע תיקון חקיקה באופן המאזן בין האינטרסים המוגנים של מוסר המידע ובעלי עניין נוספים לבין האינטרס הציבורי </w:t>
      </w:r>
      <w:r w:rsidRPr="008D2DC1">
        <w:rPr>
          <w:rFonts w:hint="eastAsia"/>
          <w:rtl/>
        </w:rPr>
        <w:t>ש</w:t>
      </w:r>
      <w:r w:rsidRPr="008D2DC1">
        <w:rPr>
          <w:rFonts w:hint="cs"/>
          <w:rtl/>
        </w:rPr>
        <w:t xml:space="preserve">בשיתוף מידע בין </w:t>
      </w:r>
      <w:r w:rsidRPr="008D2DC1">
        <w:rPr>
          <w:rFonts w:hint="cs"/>
          <w:rtl/>
        </w:rPr>
        <w:t>המאסדרים</w:t>
      </w:r>
      <w:r w:rsidRPr="008D2DC1">
        <w:rPr>
          <w:rFonts w:hint="cs"/>
          <w:rtl/>
        </w:rPr>
        <w:t xml:space="preserve"> השונים. </w:t>
      </w:r>
    </w:p>
    <w:p w:rsidR="006734B0" w:rsidRPr="008D2DC1" w:rsidP="008D2DC1" w14:paraId="4A28E044" w14:textId="77777777">
      <w:pPr>
        <w:pStyle w:val="733155"/>
        <w:ind w:left="424" w:hanging="424"/>
        <w:rPr>
          <w:rtl/>
        </w:rPr>
      </w:pPr>
      <w:r w:rsidRPr="008D2DC1">
        <w:rPr>
          <w:rFonts w:hint="cs"/>
          <w:rtl/>
        </w:rPr>
        <w:t xml:space="preserve">2. הטיפול בדליפות מים מבריכות האידוי של </w:t>
      </w:r>
      <w:r w:rsidRPr="008D2DC1">
        <w:rPr>
          <w:rFonts w:hint="cs"/>
          <w:rtl/>
        </w:rPr>
        <w:t>מי"ה</w:t>
      </w:r>
      <w:r w:rsidRPr="008D2DC1">
        <w:rPr>
          <w:rFonts w:hint="cs"/>
          <w:rtl/>
        </w:rPr>
        <w:t xml:space="preserve"> </w:t>
      </w:r>
    </w:p>
    <w:p w:rsidR="006734B0" w:rsidP="008D2DC1" w14:paraId="1D3071BD" w14:textId="77777777">
      <w:pPr>
        <w:pStyle w:val="7317"/>
        <w:rPr>
          <w:rtl/>
        </w:rPr>
      </w:pPr>
      <w:r>
        <w:rPr>
          <w:rFonts w:hint="cs"/>
          <w:rtl/>
        </w:rPr>
        <w:t>מי"ה</w:t>
      </w:r>
      <w:r>
        <w:rPr>
          <w:rFonts w:hint="cs"/>
          <w:rtl/>
        </w:rPr>
        <w:t xml:space="preserve"> מפיקה מים מהאגן הצפוני של ים המלח ומעבירה את המים, באמצעות תעלת הזנה חיצונית לבריכות האידוי הממוקמות מדרום, לצורך פעילותה התעשייתית. בריכת האידוי הגדולה ביותר </w:t>
      </w:r>
      <w:r w:rsidRPr="0007541C">
        <w:rPr>
          <w:rFonts w:hint="eastAsia"/>
          <w:rtl/>
        </w:rPr>
        <w:t>היא</w:t>
      </w:r>
      <w:r w:rsidRPr="0007541C">
        <w:rPr>
          <w:rtl/>
        </w:rPr>
        <w:t xml:space="preserve"> </w:t>
      </w:r>
      <w:r w:rsidRPr="0007541C">
        <w:rPr>
          <w:rFonts w:hint="eastAsia"/>
          <w:rtl/>
        </w:rPr>
        <w:t>בריכה</w:t>
      </w:r>
      <w:r w:rsidRPr="0007541C">
        <w:rPr>
          <w:rtl/>
        </w:rPr>
        <w:t xml:space="preserve"> 5. </w:t>
      </w:r>
      <w:r w:rsidRPr="0007541C">
        <w:rPr>
          <w:rFonts w:hint="eastAsia"/>
          <w:rtl/>
        </w:rPr>
        <w:t>שטחה</w:t>
      </w:r>
      <w:r w:rsidRPr="0007541C">
        <w:rPr>
          <w:rtl/>
        </w:rPr>
        <w:t xml:space="preserve"> </w:t>
      </w:r>
      <w:r w:rsidRPr="0007541C">
        <w:rPr>
          <w:rFonts w:hint="eastAsia"/>
          <w:rtl/>
        </w:rPr>
        <w:t>הוא</w:t>
      </w:r>
      <w:r w:rsidRPr="0007541C">
        <w:rPr>
          <w:rtl/>
        </w:rPr>
        <w:t xml:space="preserve"> </w:t>
      </w:r>
      <w:r w:rsidRPr="0007541C">
        <w:rPr>
          <w:rFonts w:hint="eastAsia"/>
          <w:rtl/>
        </w:rPr>
        <w:t>כ</w:t>
      </w:r>
      <w:r w:rsidRPr="0007541C">
        <w:rPr>
          <w:rtl/>
        </w:rPr>
        <w:t xml:space="preserve">-80 </w:t>
      </w:r>
      <w:r w:rsidRPr="0007541C">
        <w:rPr>
          <w:rFonts w:hint="eastAsia"/>
          <w:rtl/>
        </w:rPr>
        <w:t>קמ</w:t>
      </w:r>
      <w:r w:rsidRPr="0007541C">
        <w:rPr>
          <w:rtl/>
        </w:rPr>
        <w:t xml:space="preserve">"ר, </w:t>
      </w:r>
      <w:r w:rsidRPr="0007541C">
        <w:rPr>
          <w:rFonts w:hint="eastAsia"/>
          <w:rtl/>
        </w:rPr>
        <w:t>כמחצית</w:t>
      </w:r>
      <w:r w:rsidRPr="0007541C">
        <w:rPr>
          <w:rtl/>
        </w:rPr>
        <w:t xml:space="preserve"> </w:t>
      </w:r>
      <w:r w:rsidRPr="0007541C">
        <w:rPr>
          <w:rFonts w:hint="eastAsia"/>
          <w:rtl/>
        </w:rPr>
        <w:t>משטח</w:t>
      </w:r>
      <w:r w:rsidRPr="0007541C">
        <w:rPr>
          <w:rtl/>
        </w:rPr>
        <w:t xml:space="preserve"> </w:t>
      </w:r>
      <w:r w:rsidRPr="0007541C">
        <w:rPr>
          <w:rFonts w:hint="eastAsia"/>
          <w:rtl/>
        </w:rPr>
        <w:t>הכינרת</w:t>
      </w:r>
      <w:r w:rsidRPr="0007541C">
        <w:rPr>
          <w:rtl/>
        </w:rPr>
        <w:t xml:space="preserve">, והיא </w:t>
      </w:r>
      <w:r w:rsidRPr="0007541C">
        <w:rPr>
          <w:rFonts w:hint="eastAsia"/>
          <w:rtl/>
        </w:rPr>
        <w:t>הקרובה</w:t>
      </w:r>
      <w:r w:rsidRPr="0007541C">
        <w:rPr>
          <w:rtl/>
        </w:rPr>
        <w:t xml:space="preserve"> ביותר לאגן הטבעי של ים המלח </w:t>
      </w:r>
      <w:r w:rsidRPr="0007541C">
        <w:rPr>
          <w:rFonts w:hint="eastAsia"/>
          <w:rtl/>
        </w:rPr>
        <w:t>ו</w:t>
      </w:r>
      <w:r w:rsidRPr="00914133">
        <w:rPr>
          <w:rFonts w:hint="eastAsia"/>
          <w:rtl/>
        </w:rPr>
        <w:t>נמצאת</w:t>
      </w:r>
      <w:r>
        <w:rPr>
          <w:rFonts w:hint="cs"/>
          <w:rtl/>
        </w:rPr>
        <w:t xml:space="preserve"> בחלק הצפוני של בריכות האידוי.</w:t>
      </w:r>
      <w:r w:rsidRPr="008D2DC1">
        <w:rPr>
          <w:rFonts w:hint="cs"/>
          <w:rtl/>
        </w:rPr>
        <w:t xml:space="preserve"> </w:t>
      </w:r>
    </w:p>
    <w:p w:rsidR="006734B0" w:rsidRPr="008D2DC1" w:rsidP="008D2DC1" w14:paraId="66881BC0" w14:textId="77777777">
      <w:pPr>
        <w:pStyle w:val="7310"/>
        <w:rPr>
          <w:rtl/>
        </w:rPr>
      </w:pPr>
      <w:r w:rsidRPr="008D2DC1">
        <w:rPr>
          <w:rFonts w:hint="cs"/>
          <w:rtl/>
        </w:rPr>
        <w:t>לפחות משנת 2004 ו</w:t>
      </w:r>
      <w:r w:rsidRPr="008D2DC1">
        <w:rPr>
          <w:rFonts w:hint="eastAsia"/>
          <w:rtl/>
        </w:rPr>
        <w:t>זה</w:t>
      </w:r>
      <w:r w:rsidRPr="008D2DC1">
        <w:rPr>
          <w:rtl/>
        </w:rPr>
        <w:t xml:space="preserve"> שנים מתקיימת מבריכה 5 דליפה של מים, הנאמדת, נכון למועד הביקורת, </w:t>
      </w:r>
      <w:r w:rsidRPr="008D2DC1">
        <w:rPr>
          <w:rFonts w:hint="eastAsia"/>
          <w:rtl/>
        </w:rPr>
        <w:t>בכ</w:t>
      </w:r>
      <w:r w:rsidRPr="008D2DC1">
        <w:rPr>
          <w:rtl/>
        </w:rPr>
        <w:t xml:space="preserve">-100 </w:t>
      </w:r>
      <w:r w:rsidRPr="008D2DC1">
        <w:rPr>
          <w:rFonts w:hint="eastAsia"/>
          <w:rtl/>
        </w:rPr>
        <w:t>מלמ</w:t>
      </w:r>
      <w:r w:rsidRPr="008D2DC1">
        <w:rPr>
          <w:rtl/>
        </w:rPr>
        <w:t>"ק</w:t>
      </w:r>
      <w:r w:rsidRPr="008D2DC1">
        <w:rPr>
          <w:rtl/>
        </w:rPr>
        <w:t xml:space="preserve"> </w:t>
      </w:r>
      <w:r w:rsidRPr="008D2DC1">
        <w:rPr>
          <w:rFonts w:hint="eastAsia"/>
          <w:rtl/>
        </w:rPr>
        <w:t>בשנה</w:t>
      </w:r>
      <w:r w:rsidRPr="008D2DC1">
        <w:rPr>
          <w:rtl/>
        </w:rPr>
        <w:t xml:space="preserve">, </w:t>
      </w:r>
      <w:r w:rsidRPr="008D2DC1">
        <w:rPr>
          <w:rFonts w:hint="eastAsia"/>
          <w:rtl/>
        </w:rPr>
        <w:t>שהם</w:t>
      </w:r>
      <w:r w:rsidRPr="008D2DC1">
        <w:rPr>
          <w:rtl/>
        </w:rPr>
        <w:t xml:space="preserve"> </w:t>
      </w:r>
      <w:r w:rsidRPr="008D2DC1">
        <w:rPr>
          <w:rFonts w:hint="eastAsia"/>
          <w:rtl/>
        </w:rPr>
        <w:t>כרבע</w:t>
      </w:r>
      <w:r w:rsidRPr="008D2DC1">
        <w:rPr>
          <w:rtl/>
        </w:rPr>
        <w:t xml:space="preserve"> </w:t>
      </w:r>
      <w:r w:rsidRPr="008D2DC1">
        <w:rPr>
          <w:rFonts w:hint="eastAsia"/>
          <w:rtl/>
        </w:rPr>
        <w:t>מכמות</w:t>
      </w:r>
      <w:r w:rsidRPr="008D2DC1">
        <w:rPr>
          <w:rtl/>
        </w:rPr>
        <w:t xml:space="preserve"> </w:t>
      </w:r>
      <w:r w:rsidRPr="008D2DC1">
        <w:rPr>
          <w:rFonts w:hint="eastAsia"/>
          <w:rtl/>
        </w:rPr>
        <w:t>המים</w:t>
      </w:r>
      <w:r w:rsidRPr="008D2DC1">
        <w:rPr>
          <w:rtl/>
        </w:rPr>
        <w:t xml:space="preserve"> </w:t>
      </w:r>
      <w:r w:rsidRPr="008D2DC1">
        <w:rPr>
          <w:rFonts w:hint="eastAsia"/>
          <w:rtl/>
        </w:rPr>
        <w:t>השנתית</w:t>
      </w:r>
      <w:r w:rsidRPr="008D2DC1">
        <w:rPr>
          <w:rtl/>
        </w:rPr>
        <w:t xml:space="preserve"> </w:t>
      </w:r>
      <w:r w:rsidRPr="008D2DC1">
        <w:rPr>
          <w:rFonts w:hint="eastAsia"/>
          <w:rtl/>
        </w:rPr>
        <w:t>שמי</w:t>
      </w:r>
      <w:r w:rsidRPr="008D2DC1">
        <w:rPr>
          <w:rtl/>
        </w:rPr>
        <w:t>"ה</w:t>
      </w:r>
      <w:r w:rsidRPr="008D2DC1">
        <w:rPr>
          <w:rtl/>
        </w:rPr>
        <w:t xml:space="preserve"> </w:t>
      </w:r>
      <w:r w:rsidRPr="008D2DC1">
        <w:rPr>
          <w:rFonts w:hint="eastAsia"/>
          <w:rtl/>
        </w:rPr>
        <w:t>שואבת</w:t>
      </w:r>
      <w:r w:rsidRPr="008D2DC1">
        <w:rPr>
          <w:rtl/>
        </w:rPr>
        <w:t xml:space="preserve"> </w:t>
      </w:r>
      <w:r w:rsidRPr="008D2DC1">
        <w:rPr>
          <w:rFonts w:hint="eastAsia"/>
          <w:rtl/>
        </w:rPr>
        <w:t>מים</w:t>
      </w:r>
      <w:r w:rsidRPr="008D2DC1">
        <w:rPr>
          <w:rtl/>
        </w:rPr>
        <w:t xml:space="preserve"> </w:t>
      </w:r>
      <w:r w:rsidRPr="008D2DC1">
        <w:rPr>
          <w:rFonts w:hint="eastAsia"/>
          <w:rtl/>
        </w:rPr>
        <w:t>המלח</w:t>
      </w:r>
      <w:r w:rsidRPr="008D2DC1">
        <w:rPr>
          <w:rtl/>
        </w:rPr>
        <w:t xml:space="preserve">. </w:t>
      </w:r>
      <w:r w:rsidRPr="008D2DC1">
        <w:rPr>
          <w:rFonts w:hint="eastAsia"/>
          <w:rtl/>
        </w:rPr>
        <w:t>בעבר</w:t>
      </w:r>
      <w:r w:rsidRPr="008D2DC1">
        <w:rPr>
          <w:rtl/>
        </w:rPr>
        <w:t xml:space="preserve"> </w:t>
      </w:r>
      <w:r w:rsidRPr="008D2DC1">
        <w:rPr>
          <w:rFonts w:hint="eastAsia"/>
          <w:rtl/>
        </w:rPr>
        <w:t>נעשה</w:t>
      </w:r>
      <w:r w:rsidRPr="008D2DC1">
        <w:rPr>
          <w:rtl/>
        </w:rPr>
        <w:t xml:space="preserve"> </w:t>
      </w:r>
      <w:r w:rsidRPr="008D2DC1">
        <w:rPr>
          <w:rFonts w:hint="eastAsia"/>
          <w:rtl/>
        </w:rPr>
        <w:t>ניסיון</w:t>
      </w:r>
      <w:r w:rsidRPr="008D2DC1">
        <w:rPr>
          <w:rtl/>
        </w:rPr>
        <w:t xml:space="preserve"> </w:t>
      </w:r>
      <w:r w:rsidRPr="008D2DC1">
        <w:rPr>
          <w:rFonts w:hint="eastAsia"/>
          <w:rtl/>
        </w:rPr>
        <w:t>לעצור</w:t>
      </w:r>
      <w:r w:rsidRPr="008D2DC1">
        <w:rPr>
          <w:rtl/>
        </w:rPr>
        <w:t xml:space="preserve"> </w:t>
      </w:r>
      <w:r w:rsidRPr="008D2DC1">
        <w:rPr>
          <w:rFonts w:hint="eastAsia"/>
          <w:rtl/>
        </w:rPr>
        <w:t>את</w:t>
      </w:r>
      <w:r w:rsidRPr="008D2DC1">
        <w:rPr>
          <w:rtl/>
        </w:rPr>
        <w:t xml:space="preserve"> </w:t>
      </w:r>
      <w:r w:rsidRPr="008D2DC1">
        <w:rPr>
          <w:rFonts w:hint="eastAsia"/>
          <w:rtl/>
        </w:rPr>
        <w:t>הדליפות</w:t>
      </w:r>
      <w:r w:rsidRPr="008D2DC1">
        <w:rPr>
          <w:rtl/>
        </w:rPr>
        <w:t xml:space="preserve">, </w:t>
      </w:r>
      <w:r w:rsidRPr="008D2DC1">
        <w:rPr>
          <w:rFonts w:hint="eastAsia"/>
          <w:rtl/>
        </w:rPr>
        <w:t>ומי</w:t>
      </w:r>
      <w:r w:rsidRPr="008D2DC1">
        <w:rPr>
          <w:rtl/>
        </w:rPr>
        <w:t>"ה</w:t>
      </w:r>
      <w:r w:rsidRPr="008D2DC1">
        <w:rPr>
          <w:rtl/>
        </w:rPr>
        <w:t xml:space="preserve"> </w:t>
      </w:r>
      <w:r w:rsidRPr="008D2DC1">
        <w:rPr>
          <w:rFonts w:hint="eastAsia"/>
          <w:rtl/>
        </w:rPr>
        <w:t>בנתה</w:t>
      </w:r>
      <w:r w:rsidRPr="008D2DC1">
        <w:rPr>
          <w:rtl/>
        </w:rPr>
        <w:t xml:space="preserve"> </w:t>
      </w:r>
      <w:r w:rsidRPr="008D2DC1">
        <w:rPr>
          <w:rFonts w:hint="eastAsia"/>
          <w:rtl/>
        </w:rPr>
        <w:t>בשנת</w:t>
      </w:r>
      <w:r w:rsidRPr="008D2DC1">
        <w:rPr>
          <w:rtl/>
        </w:rPr>
        <w:t xml:space="preserve"> 2013 </w:t>
      </w:r>
      <w:r w:rsidRPr="008D2DC1">
        <w:rPr>
          <w:rFonts w:hint="eastAsia"/>
          <w:rtl/>
        </w:rPr>
        <w:t>חציץ</w:t>
      </w:r>
      <w:r w:rsidRPr="008D2DC1">
        <w:rPr>
          <w:rtl/>
        </w:rPr>
        <w:t xml:space="preserve"> (קיר </w:t>
      </w:r>
      <w:r w:rsidRPr="008D2DC1">
        <w:rPr>
          <w:rFonts w:hint="eastAsia"/>
          <w:rtl/>
        </w:rPr>
        <w:t>שיגומים</w:t>
      </w:r>
      <w:r w:rsidRPr="008D2DC1">
        <w:rPr>
          <w:rtl/>
        </w:rPr>
        <w:t xml:space="preserve">) </w:t>
      </w:r>
      <w:r w:rsidRPr="008D2DC1">
        <w:rPr>
          <w:rFonts w:hint="eastAsia"/>
          <w:rtl/>
        </w:rPr>
        <w:t>כדי</w:t>
      </w:r>
      <w:r w:rsidRPr="008D2DC1">
        <w:rPr>
          <w:rtl/>
        </w:rPr>
        <w:t xml:space="preserve"> </w:t>
      </w:r>
      <w:r w:rsidRPr="008D2DC1">
        <w:rPr>
          <w:rFonts w:hint="eastAsia"/>
          <w:rtl/>
        </w:rPr>
        <w:t>לתת</w:t>
      </w:r>
      <w:r w:rsidRPr="008D2DC1">
        <w:rPr>
          <w:rtl/>
        </w:rPr>
        <w:t xml:space="preserve"> </w:t>
      </w:r>
      <w:r w:rsidRPr="008D2DC1">
        <w:rPr>
          <w:rFonts w:hint="eastAsia"/>
          <w:rtl/>
        </w:rPr>
        <w:t>מענה</w:t>
      </w:r>
      <w:r w:rsidRPr="008D2DC1">
        <w:rPr>
          <w:rtl/>
        </w:rPr>
        <w:t xml:space="preserve"> </w:t>
      </w:r>
      <w:r w:rsidRPr="008D2DC1">
        <w:rPr>
          <w:rFonts w:hint="eastAsia"/>
          <w:rtl/>
        </w:rPr>
        <w:t>לבעיה</w:t>
      </w:r>
      <w:r w:rsidRPr="008D2DC1">
        <w:rPr>
          <w:rtl/>
        </w:rPr>
        <w:t xml:space="preserve">, </w:t>
      </w:r>
      <w:r w:rsidRPr="008D2DC1">
        <w:rPr>
          <w:rFonts w:hint="eastAsia"/>
          <w:rtl/>
        </w:rPr>
        <w:t>אולם</w:t>
      </w:r>
      <w:r w:rsidRPr="008D2DC1">
        <w:rPr>
          <w:rtl/>
        </w:rPr>
        <w:t xml:space="preserve"> </w:t>
      </w:r>
      <w:r w:rsidRPr="008D2DC1">
        <w:rPr>
          <w:rFonts w:hint="eastAsia"/>
          <w:rtl/>
        </w:rPr>
        <w:t>הניסיון</w:t>
      </w:r>
      <w:r w:rsidRPr="008D2DC1">
        <w:rPr>
          <w:rtl/>
        </w:rPr>
        <w:t xml:space="preserve"> </w:t>
      </w:r>
      <w:r w:rsidRPr="008D2DC1">
        <w:rPr>
          <w:rFonts w:hint="eastAsia"/>
          <w:rtl/>
        </w:rPr>
        <w:t>לא</w:t>
      </w:r>
      <w:r w:rsidRPr="008D2DC1">
        <w:rPr>
          <w:rtl/>
        </w:rPr>
        <w:t xml:space="preserve"> </w:t>
      </w:r>
      <w:r w:rsidRPr="008D2DC1">
        <w:rPr>
          <w:rFonts w:hint="eastAsia"/>
          <w:rtl/>
        </w:rPr>
        <w:t>צלח</w:t>
      </w:r>
      <w:r w:rsidRPr="008D2DC1">
        <w:rPr>
          <w:rtl/>
        </w:rPr>
        <w:t xml:space="preserve"> </w:t>
      </w:r>
      <w:r w:rsidRPr="008D2DC1">
        <w:rPr>
          <w:rFonts w:hint="eastAsia"/>
          <w:rtl/>
        </w:rPr>
        <w:t>והדליפות</w:t>
      </w:r>
      <w:r w:rsidRPr="008D2DC1">
        <w:rPr>
          <w:rtl/>
        </w:rPr>
        <w:t xml:space="preserve"> </w:t>
      </w:r>
      <w:r w:rsidRPr="008D2DC1">
        <w:rPr>
          <w:rFonts w:hint="eastAsia"/>
          <w:rtl/>
        </w:rPr>
        <w:t>המשיכו</w:t>
      </w:r>
      <w:r w:rsidRPr="008D2DC1">
        <w:rPr>
          <w:rtl/>
        </w:rPr>
        <w:t xml:space="preserve">, </w:t>
      </w:r>
      <w:r w:rsidRPr="008D2DC1">
        <w:rPr>
          <w:rFonts w:hint="eastAsia"/>
          <w:rtl/>
        </w:rPr>
        <w:t>והן</w:t>
      </w:r>
      <w:r w:rsidRPr="008D2DC1">
        <w:rPr>
          <w:rtl/>
        </w:rPr>
        <w:t xml:space="preserve"> </w:t>
      </w:r>
      <w:r w:rsidRPr="008D2DC1">
        <w:rPr>
          <w:rFonts w:hint="eastAsia"/>
          <w:rtl/>
        </w:rPr>
        <w:t>אף</w:t>
      </w:r>
      <w:r w:rsidRPr="008D2DC1">
        <w:rPr>
          <w:rtl/>
        </w:rPr>
        <w:t xml:space="preserve"> </w:t>
      </w:r>
      <w:r w:rsidRPr="008D2DC1">
        <w:rPr>
          <w:rFonts w:hint="eastAsia"/>
          <w:rtl/>
        </w:rPr>
        <w:t>גברו</w:t>
      </w:r>
      <w:r w:rsidRPr="008D2DC1">
        <w:rPr>
          <w:rtl/>
        </w:rPr>
        <w:t xml:space="preserve"> </w:t>
      </w:r>
      <w:r w:rsidRPr="008D2DC1">
        <w:rPr>
          <w:rFonts w:hint="eastAsia"/>
          <w:rtl/>
        </w:rPr>
        <w:t>בשנים</w:t>
      </w:r>
      <w:r w:rsidRPr="008D2DC1">
        <w:rPr>
          <w:rtl/>
        </w:rPr>
        <w:t xml:space="preserve"> </w:t>
      </w:r>
      <w:r w:rsidRPr="008D2DC1">
        <w:rPr>
          <w:rFonts w:hint="eastAsia"/>
          <w:rtl/>
        </w:rPr>
        <w:t>האחרונות</w:t>
      </w:r>
      <w:r w:rsidRPr="008D2DC1">
        <w:rPr>
          <w:rtl/>
        </w:rPr>
        <w:t>.</w:t>
      </w:r>
      <w:r w:rsidRPr="008D2DC1">
        <w:rPr>
          <w:rFonts w:hint="cs"/>
          <w:rtl/>
        </w:rPr>
        <w:t xml:space="preserve"> </w:t>
      </w:r>
      <w:r w:rsidRPr="008D2DC1">
        <w:rPr>
          <w:rFonts w:hint="eastAsia"/>
          <w:rtl/>
        </w:rPr>
        <w:t>כתוצאה</w:t>
      </w:r>
      <w:r w:rsidRPr="008D2DC1">
        <w:rPr>
          <w:rtl/>
        </w:rPr>
        <w:t xml:space="preserve"> מהדליפות הנרחבות וכדי לשמור על יכולת הייצור של המפעל, שואבת </w:t>
      </w:r>
      <w:r w:rsidRPr="008D2DC1">
        <w:rPr>
          <w:rtl/>
        </w:rPr>
        <w:t>מי"ה</w:t>
      </w:r>
      <w:r w:rsidRPr="008D2DC1">
        <w:rPr>
          <w:rtl/>
        </w:rPr>
        <w:t xml:space="preserve"> מים בהיקף נרחב יותר מים המלח, כך שכמות המים שתהיה בכל זמן נתון בבריכה 5 לא תיפגע. </w:t>
      </w:r>
      <w:r w:rsidRPr="008D2DC1">
        <w:rPr>
          <w:rFonts w:hint="cs"/>
          <w:rtl/>
        </w:rPr>
        <w:t xml:space="preserve">היקף המים העודפים שנשאבים מים המלח </w:t>
      </w:r>
      <w:r w:rsidRPr="008D2DC1">
        <w:rPr>
          <w:rFonts w:hint="eastAsia"/>
          <w:rtl/>
        </w:rPr>
        <w:t>בגין</w:t>
      </w:r>
      <w:r w:rsidRPr="008D2DC1">
        <w:rPr>
          <w:rFonts w:hint="cs"/>
          <w:rtl/>
        </w:rPr>
        <w:t xml:space="preserve"> הדליפה משתנה משנה לשנה ונאמד בכ-6 </w:t>
      </w:r>
      <w:r w:rsidRPr="008D2DC1">
        <w:rPr>
          <w:rFonts w:hint="cs"/>
          <w:rtl/>
        </w:rPr>
        <w:t>מלמ"ק</w:t>
      </w:r>
      <w:r w:rsidRPr="008D2DC1">
        <w:rPr>
          <w:rFonts w:hint="cs"/>
          <w:rtl/>
        </w:rPr>
        <w:t xml:space="preserve"> בשנה. </w:t>
      </w:r>
      <w:r w:rsidRPr="008D2DC1">
        <w:rPr>
          <w:rFonts w:hint="eastAsia"/>
          <w:rtl/>
        </w:rPr>
        <w:t>לשאיב</w:t>
      </w:r>
      <w:r w:rsidRPr="008D2DC1">
        <w:rPr>
          <w:rFonts w:hint="cs"/>
          <w:rtl/>
        </w:rPr>
        <w:t>ה עודפת זו</w:t>
      </w:r>
      <w:r w:rsidRPr="008D2DC1">
        <w:rPr>
          <w:rtl/>
        </w:rPr>
        <w:t xml:space="preserve"> </w:t>
      </w:r>
      <w:r w:rsidRPr="008D2DC1">
        <w:rPr>
          <w:rFonts w:hint="eastAsia"/>
          <w:rtl/>
        </w:rPr>
        <w:t>יש</w:t>
      </w:r>
      <w:r w:rsidRPr="008D2DC1">
        <w:rPr>
          <w:rtl/>
        </w:rPr>
        <w:t xml:space="preserve"> </w:t>
      </w:r>
      <w:r w:rsidRPr="008D2DC1">
        <w:rPr>
          <w:rFonts w:hint="eastAsia"/>
          <w:rtl/>
        </w:rPr>
        <w:t>השפעות</w:t>
      </w:r>
      <w:r w:rsidRPr="008D2DC1">
        <w:rPr>
          <w:rtl/>
        </w:rPr>
        <w:t xml:space="preserve"> </w:t>
      </w:r>
      <w:r w:rsidRPr="008D2DC1">
        <w:rPr>
          <w:rFonts w:hint="eastAsia"/>
          <w:rtl/>
        </w:rPr>
        <w:t>סביבתיות</w:t>
      </w:r>
      <w:r w:rsidRPr="008D2DC1">
        <w:rPr>
          <w:rtl/>
        </w:rPr>
        <w:t xml:space="preserve"> </w:t>
      </w:r>
      <w:r w:rsidRPr="008D2DC1">
        <w:rPr>
          <w:rFonts w:hint="eastAsia"/>
          <w:rtl/>
        </w:rPr>
        <w:t>נוכח</w:t>
      </w:r>
      <w:r w:rsidRPr="008D2DC1">
        <w:rPr>
          <w:rtl/>
        </w:rPr>
        <w:t xml:space="preserve"> </w:t>
      </w:r>
      <w:r w:rsidRPr="008D2DC1">
        <w:rPr>
          <w:rFonts w:hint="eastAsia"/>
          <w:rtl/>
        </w:rPr>
        <w:t>האנרגייה</w:t>
      </w:r>
      <w:r w:rsidRPr="008D2DC1">
        <w:rPr>
          <w:rtl/>
        </w:rPr>
        <w:t xml:space="preserve"> </w:t>
      </w:r>
      <w:r w:rsidRPr="008D2DC1">
        <w:rPr>
          <w:rFonts w:hint="eastAsia"/>
          <w:rtl/>
        </w:rPr>
        <w:t>הרבה</w:t>
      </w:r>
      <w:r w:rsidRPr="008D2DC1">
        <w:rPr>
          <w:rtl/>
        </w:rPr>
        <w:t xml:space="preserve"> </w:t>
      </w:r>
      <w:r w:rsidRPr="008D2DC1">
        <w:rPr>
          <w:rFonts w:hint="eastAsia"/>
          <w:rtl/>
        </w:rPr>
        <w:t>המושקעת</w:t>
      </w:r>
      <w:r w:rsidRPr="008D2DC1">
        <w:rPr>
          <w:rtl/>
        </w:rPr>
        <w:t xml:space="preserve"> </w:t>
      </w:r>
      <w:r w:rsidRPr="008D2DC1">
        <w:rPr>
          <w:rFonts w:hint="eastAsia"/>
          <w:rtl/>
        </w:rPr>
        <w:t>בשאיבה</w:t>
      </w:r>
      <w:r w:rsidRPr="008D2DC1">
        <w:rPr>
          <w:rFonts w:hint="cs"/>
          <w:rtl/>
        </w:rPr>
        <w:t xml:space="preserve">. נוסף על כך, לדליפות מבריכה 5 </w:t>
      </w:r>
      <w:r w:rsidRPr="008D2DC1">
        <w:rPr>
          <w:rFonts w:hint="eastAsia"/>
          <w:rtl/>
        </w:rPr>
        <w:t>עלולות</w:t>
      </w:r>
      <w:r w:rsidRPr="008D2DC1">
        <w:rPr>
          <w:rtl/>
        </w:rPr>
        <w:t xml:space="preserve"> </w:t>
      </w:r>
      <w:r w:rsidRPr="008D2DC1">
        <w:rPr>
          <w:rFonts w:hint="eastAsia"/>
          <w:rtl/>
        </w:rPr>
        <w:t>להיות</w:t>
      </w:r>
      <w:r w:rsidRPr="008D2DC1">
        <w:rPr>
          <w:rtl/>
        </w:rPr>
        <w:t xml:space="preserve"> השפעות נוספות</w:t>
      </w:r>
      <w:r w:rsidRPr="008D2DC1">
        <w:rPr>
          <w:rFonts w:hint="cs"/>
          <w:rtl/>
        </w:rPr>
        <w:t xml:space="preserve"> דוגמת שינוי פני השטח </w:t>
      </w:r>
      <w:r w:rsidRPr="008D2DC1">
        <w:rPr>
          <w:rFonts w:hint="eastAsia"/>
          <w:rtl/>
        </w:rPr>
        <w:t>ו</w:t>
      </w:r>
      <w:r w:rsidRPr="008D2DC1">
        <w:rPr>
          <w:rFonts w:hint="cs"/>
          <w:rtl/>
        </w:rPr>
        <w:t>פגיעה ביציבות ההנדסית של הבריכה</w:t>
      </w:r>
      <w:r w:rsidRPr="008D2DC1">
        <w:rPr>
          <w:rtl/>
        </w:rPr>
        <w:t xml:space="preserve">. </w:t>
      </w:r>
    </w:p>
    <w:p w:rsidR="006734B0" w:rsidRPr="008D2DC1" w:rsidP="008D2DC1" w14:paraId="0E9D8884" w14:textId="77777777">
      <w:pPr>
        <w:pStyle w:val="7317"/>
        <w:rPr>
          <w:rtl/>
        </w:rPr>
      </w:pPr>
      <w:r w:rsidRPr="00485FC1">
        <w:rPr>
          <w:rFonts w:hint="cs"/>
          <w:rtl/>
        </w:rPr>
        <w:t xml:space="preserve">במהלך השנים האחרונות </w:t>
      </w:r>
      <w:r w:rsidRPr="00FE69C3">
        <w:rPr>
          <w:rFonts w:hint="cs"/>
          <w:rtl/>
        </w:rPr>
        <w:t xml:space="preserve">עלו </w:t>
      </w:r>
      <w:r w:rsidRPr="00FE69C3">
        <w:rPr>
          <w:rFonts w:hint="eastAsia"/>
          <w:rtl/>
        </w:rPr>
        <w:t>כמה</w:t>
      </w:r>
      <w:r w:rsidRPr="00FE69C3">
        <w:rPr>
          <w:rFonts w:hint="cs"/>
          <w:rtl/>
        </w:rPr>
        <w:t xml:space="preserve"> פתרונות</w:t>
      </w:r>
      <w:r w:rsidRPr="00485FC1">
        <w:rPr>
          <w:rFonts w:hint="cs"/>
          <w:rtl/>
        </w:rPr>
        <w:t xml:space="preserve"> אפשריים להתמודדות עם הדליפה, ובכללם הקמת תחנת שאיבה ל</w:t>
      </w:r>
      <w:r>
        <w:rPr>
          <w:rFonts w:hint="cs"/>
          <w:rtl/>
        </w:rPr>
        <w:t>מים שדלפו</w:t>
      </w:r>
      <w:r w:rsidRPr="00485FC1">
        <w:rPr>
          <w:rFonts w:hint="cs"/>
          <w:rtl/>
        </w:rPr>
        <w:t xml:space="preserve">, ביצוע קידוחי מים לצמצום זרימת מים מליחים מכיוון מערב, הסטת נחל יעלים </w:t>
      </w:r>
      <w:r w:rsidRPr="005806C3">
        <w:rPr>
          <w:rFonts w:hint="cs"/>
          <w:rtl/>
        </w:rPr>
        <w:t xml:space="preserve">וקטימת שטח הבריכה בנקודה </w:t>
      </w:r>
      <w:r w:rsidRPr="005806C3">
        <w:rPr>
          <w:rFonts w:hint="eastAsia"/>
          <w:rtl/>
        </w:rPr>
        <w:t>ש</w:t>
      </w:r>
      <w:r w:rsidRPr="005806C3">
        <w:rPr>
          <w:rFonts w:hint="cs"/>
          <w:rtl/>
        </w:rPr>
        <w:t xml:space="preserve">בה משוער כי החלחול מתקיים. לכל אחד מהפתרונות </w:t>
      </w:r>
      <w:r w:rsidRPr="005806C3">
        <w:rPr>
          <w:rFonts w:hint="eastAsia"/>
          <w:rtl/>
        </w:rPr>
        <w:t>השפעות</w:t>
      </w:r>
      <w:r w:rsidRPr="005806C3">
        <w:rPr>
          <w:rFonts w:hint="cs"/>
          <w:rtl/>
        </w:rPr>
        <w:t xml:space="preserve"> על הסביבה (</w:t>
      </w:r>
      <w:r w:rsidRPr="005806C3">
        <w:rPr>
          <w:rFonts w:hint="eastAsia"/>
          <w:rtl/>
        </w:rPr>
        <w:t>על</w:t>
      </w:r>
      <w:r w:rsidRPr="005806C3">
        <w:rPr>
          <w:rFonts w:hint="cs"/>
          <w:rtl/>
        </w:rPr>
        <w:t xml:space="preserve"> צריכת </w:t>
      </w:r>
      <w:r w:rsidRPr="005806C3">
        <w:rPr>
          <w:rFonts w:hint="eastAsia"/>
          <w:rtl/>
        </w:rPr>
        <w:t>ה</w:t>
      </w:r>
      <w:r w:rsidRPr="005806C3">
        <w:rPr>
          <w:rFonts w:hint="cs"/>
          <w:rtl/>
        </w:rPr>
        <w:t>אנרגייה</w:t>
      </w:r>
      <w:r w:rsidRPr="005806C3">
        <w:rPr>
          <w:rFonts w:hint="cs"/>
          <w:rtl/>
        </w:rPr>
        <w:t xml:space="preserve">, על מערכות ניקוז והתחתרות של נחלים, </w:t>
      </w:r>
      <w:r w:rsidRPr="005806C3">
        <w:rPr>
          <w:rFonts w:hint="eastAsia"/>
          <w:rtl/>
        </w:rPr>
        <w:t>על</w:t>
      </w:r>
      <w:r w:rsidRPr="005806C3">
        <w:rPr>
          <w:rFonts w:hint="cs"/>
          <w:rtl/>
        </w:rPr>
        <w:t xml:space="preserve"> צריכת מים, השפעה </w:t>
      </w:r>
      <w:r w:rsidRPr="005806C3">
        <w:rPr>
          <w:rFonts w:hint="eastAsia"/>
          <w:rtl/>
        </w:rPr>
        <w:t>על</w:t>
      </w:r>
      <w:r w:rsidRPr="005806C3">
        <w:rPr>
          <w:rtl/>
        </w:rPr>
        <w:t xml:space="preserve"> </w:t>
      </w:r>
      <w:r w:rsidRPr="005806C3">
        <w:rPr>
          <w:rFonts w:hint="eastAsia"/>
          <w:rtl/>
        </w:rPr>
        <w:t>הנוף</w:t>
      </w:r>
      <w:r w:rsidRPr="005806C3">
        <w:rPr>
          <w:rFonts w:hint="cs"/>
          <w:rtl/>
        </w:rPr>
        <w:t xml:space="preserve"> ועוד),</w:t>
      </w:r>
      <w:r w:rsidRPr="00485FC1">
        <w:rPr>
          <w:rFonts w:hint="cs"/>
          <w:rtl/>
        </w:rPr>
        <w:t xml:space="preserve"> </w:t>
      </w:r>
      <w:r w:rsidRPr="00FE69C3">
        <w:rPr>
          <w:rFonts w:hint="eastAsia"/>
          <w:rtl/>
        </w:rPr>
        <w:t>השפעות</w:t>
      </w:r>
      <w:r w:rsidRPr="00FE69C3">
        <w:rPr>
          <w:rFonts w:hint="cs"/>
          <w:rtl/>
        </w:rPr>
        <w:t xml:space="preserve"> הנדסיות על </w:t>
      </w:r>
      <w:r w:rsidRPr="00FE69C3">
        <w:rPr>
          <w:rFonts w:hint="eastAsia"/>
          <w:rtl/>
        </w:rPr>
        <w:t>ה</w:t>
      </w:r>
      <w:r w:rsidRPr="00FE69C3">
        <w:rPr>
          <w:rFonts w:hint="cs"/>
          <w:rtl/>
        </w:rPr>
        <w:t xml:space="preserve">יציבות </w:t>
      </w:r>
      <w:r w:rsidRPr="00FE69C3">
        <w:rPr>
          <w:rFonts w:hint="eastAsia"/>
          <w:rtl/>
        </w:rPr>
        <w:t>של</w:t>
      </w:r>
      <w:r w:rsidRPr="00FE69C3">
        <w:rPr>
          <w:rFonts w:hint="cs"/>
          <w:rtl/>
        </w:rPr>
        <w:t xml:space="preserve"> בריכות האידוי ו</w:t>
      </w:r>
      <w:r w:rsidRPr="00FE69C3">
        <w:rPr>
          <w:rFonts w:hint="eastAsia"/>
          <w:rtl/>
        </w:rPr>
        <w:t>של</w:t>
      </w:r>
      <w:r w:rsidRPr="00FE69C3">
        <w:rPr>
          <w:rFonts w:hint="cs"/>
          <w:rtl/>
        </w:rPr>
        <w:t xml:space="preserve"> תשתיות סמוכות והשפעה אפשרית על קצב הייצור של</w:t>
      </w:r>
      <w:r w:rsidRPr="00485FC1">
        <w:rPr>
          <w:rFonts w:hint="cs"/>
          <w:rtl/>
        </w:rPr>
        <w:t xml:space="preserve"> </w:t>
      </w:r>
      <w:r w:rsidRPr="00485FC1">
        <w:rPr>
          <w:rFonts w:hint="cs"/>
          <w:rtl/>
        </w:rPr>
        <w:t>מי"ה</w:t>
      </w:r>
      <w:r w:rsidRPr="00485FC1">
        <w:rPr>
          <w:rFonts w:hint="cs"/>
          <w:rtl/>
        </w:rPr>
        <w:t xml:space="preserve">, וכל אחד מהפתרונות כרוך בהשקעה כספית גבוהה. </w:t>
      </w:r>
    </w:p>
    <w:p w:rsidR="006734B0" w:rsidRPr="008D2DC1" w:rsidP="008D2DC1" w14:paraId="4C8AFBC8" w14:textId="3B9838B0">
      <w:pPr>
        <w:pStyle w:val="7317"/>
        <w:rPr>
          <w:rtl/>
        </w:rPr>
      </w:pPr>
      <w:r w:rsidRPr="00485FC1">
        <w:rPr>
          <w:rFonts w:hint="cs"/>
          <w:rtl/>
        </w:rPr>
        <w:t xml:space="preserve">רשות המים היא הגוף האמון על ניהולו, תפעולו </w:t>
      </w:r>
      <w:r w:rsidRPr="00485FC1">
        <w:rPr>
          <w:rFonts w:hint="cs"/>
          <w:rtl/>
        </w:rPr>
        <w:t>ואסדרתו</w:t>
      </w:r>
      <w:r w:rsidRPr="00485FC1">
        <w:rPr>
          <w:rFonts w:hint="cs"/>
          <w:rtl/>
        </w:rPr>
        <w:t xml:space="preserve"> של</w:t>
      </w:r>
      <w:r>
        <w:rPr>
          <w:rFonts w:hint="cs"/>
          <w:rtl/>
        </w:rPr>
        <w:t xml:space="preserve"> </w:t>
      </w:r>
      <w:r w:rsidRPr="00FE69C3">
        <w:rPr>
          <w:rFonts w:hint="cs"/>
          <w:rtl/>
        </w:rPr>
        <w:t>משק המים והביוב בישראל, ובכלל זאת על ניהול מקורות המים ושמירה עליהם</w:t>
      </w:r>
      <w:r w:rsidR="00E57DD9">
        <w:rPr>
          <w:rFonts w:hint="cs"/>
          <w:rtl/>
          <w:lang w:val="ru-RU"/>
        </w:rPr>
        <w:t>.</w:t>
      </w:r>
      <w:r w:rsidRPr="00FE69C3">
        <w:rPr>
          <w:rFonts w:hint="cs"/>
          <w:rtl/>
        </w:rPr>
        <w:t xml:space="preserve"> רישיון ההפקה הוא כלי רגולטורי </w:t>
      </w:r>
      <w:r w:rsidRPr="00FE69C3">
        <w:rPr>
          <w:rFonts w:hint="cs"/>
          <w:rtl/>
        </w:rPr>
        <w:t>משמעותי</w:t>
      </w:r>
      <w:r w:rsidRPr="00FE69C3">
        <w:rPr>
          <w:rtl/>
        </w:rPr>
        <w:t>,</w:t>
      </w:r>
      <w:r w:rsidRPr="00FE69C3">
        <w:rPr>
          <w:rFonts w:hint="cs"/>
          <w:rtl/>
        </w:rPr>
        <w:t xml:space="preserve"> ולפי חוק המים, התשי"ט-1959 (להלן</w:t>
      </w:r>
      <w:r w:rsidR="00E57DD9">
        <w:rPr>
          <w:rFonts w:hint="cs"/>
          <w:rtl/>
        </w:rPr>
        <w:t xml:space="preserve"> </w:t>
      </w:r>
      <w:r w:rsidRPr="00FE69C3">
        <w:rPr>
          <w:rFonts w:hint="cs"/>
          <w:rtl/>
        </w:rPr>
        <w:t xml:space="preserve">- חוק המים), מנהל רשות המים רשאי לקבוע במסגרתו כל תנאי הנראה לו דרוש להבטיח יעילות בהפקה ולמנוע </w:t>
      </w:r>
      <w:r w:rsidRPr="00FE69C3">
        <w:rPr>
          <w:rFonts w:hint="eastAsia"/>
          <w:rtl/>
        </w:rPr>
        <w:t>את</w:t>
      </w:r>
      <w:r w:rsidRPr="00FE69C3">
        <w:rPr>
          <w:rFonts w:hint="cs"/>
          <w:rtl/>
        </w:rPr>
        <w:t xml:space="preserve"> דלדולם של מקורות</w:t>
      </w:r>
      <w:r w:rsidRPr="00915A06">
        <w:rPr>
          <w:rFonts w:hint="cs"/>
          <w:rtl/>
        </w:rPr>
        <w:t xml:space="preserve"> מים</w:t>
      </w:r>
      <w:r w:rsidRPr="00915A06">
        <w:rPr>
          <w:rFonts w:hint="cs"/>
        </w:rPr>
        <w:t>.</w:t>
      </w:r>
      <w:r>
        <w:rPr>
          <w:rFonts w:hint="cs"/>
          <w:rtl/>
        </w:rPr>
        <w:t xml:space="preserve"> במשך שנים נמנעה רשות המים מאכיפת חוק המים, בעניין רישוי הפקת המים, ובמקום זאת בחרה בביצוע אסדרה </w:t>
      </w:r>
      <w:r>
        <w:rPr>
          <w:rFonts w:hint="cs"/>
          <w:rtl/>
        </w:rPr>
        <w:t>מינהלית</w:t>
      </w:r>
      <w:r>
        <w:rPr>
          <w:rFonts w:hint="cs"/>
          <w:rtl/>
        </w:rPr>
        <w:t xml:space="preserve"> בדרך של מתן הנחיות </w:t>
      </w:r>
      <w:r>
        <w:rPr>
          <w:rFonts w:hint="cs"/>
          <w:rtl/>
        </w:rPr>
        <w:t>למי"ה</w:t>
      </w:r>
      <w:r>
        <w:rPr>
          <w:rFonts w:hint="cs"/>
          <w:rtl/>
        </w:rPr>
        <w:t xml:space="preserve"> שלא במסגרת רישיון הפקה</w:t>
      </w:r>
      <w:r>
        <w:rPr>
          <w:vertAlign w:val="superscript"/>
          <w:rtl/>
        </w:rPr>
        <w:footnoteReference w:id="88"/>
      </w:r>
      <w:r>
        <w:rPr>
          <w:rFonts w:hint="cs"/>
          <w:rtl/>
        </w:rPr>
        <w:t xml:space="preserve">. באוגוסט 2019 קבע </w:t>
      </w:r>
      <w:r w:rsidRPr="0097449C">
        <w:rPr>
          <w:rFonts w:hint="cs"/>
          <w:rtl/>
        </w:rPr>
        <w:t>בית הדין לענייני</w:t>
      </w:r>
      <w:r>
        <w:rPr>
          <w:rFonts w:hint="cs"/>
          <w:rtl/>
        </w:rPr>
        <w:t xml:space="preserve"> מים</w:t>
      </w:r>
      <w:r>
        <w:rPr>
          <w:vertAlign w:val="superscript"/>
          <w:rtl/>
        </w:rPr>
        <w:footnoteReference w:id="89"/>
      </w:r>
      <w:r>
        <w:rPr>
          <w:rFonts w:hint="cs"/>
          <w:rtl/>
        </w:rPr>
        <w:t xml:space="preserve"> כי חוק המים אינו מקנה לרשות המים סמכות לקבוע תנאים להפקת מים שלא במסגרת רישיון הפקה, וכי </w:t>
      </w:r>
      <w:r>
        <w:rPr>
          <w:rFonts w:hint="cs"/>
          <w:rtl/>
        </w:rPr>
        <w:t>מי"ה</w:t>
      </w:r>
      <w:r>
        <w:rPr>
          <w:rFonts w:hint="cs"/>
          <w:rtl/>
        </w:rPr>
        <w:t xml:space="preserve"> לא תוכל להמשיך ולהפיק מים, דהיינו להזרים מים מהאגן הצפוני לאגן הדרומי ולבריכות האידוי, אלא אם כן תקבל רישיון הפקה על פי חוק המים ותפעל על פי תנאיו. </w:t>
      </w:r>
      <w:r w:rsidRPr="00FE69C3">
        <w:rPr>
          <w:rFonts w:hint="cs"/>
          <w:rtl/>
        </w:rPr>
        <w:t xml:space="preserve">המשרד </w:t>
      </w:r>
      <w:r w:rsidRPr="00FE69C3">
        <w:rPr>
          <w:rFonts w:hint="cs"/>
          <w:rtl/>
        </w:rPr>
        <w:t>להג"ס</w:t>
      </w:r>
      <w:r w:rsidRPr="00FE69C3">
        <w:rPr>
          <w:rFonts w:hint="cs"/>
          <w:rtl/>
        </w:rPr>
        <w:t xml:space="preserve"> הוא הגורם המאסדר שבסמכותו לקבוע תנאים סביבתיים ברישיון העסק של </w:t>
      </w:r>
      <w:r w:rsidRPr="00FE69C3">
        <w:rPr>
          <w:rFonts w:hint="cs"/>
          <w:rtl/>
        </w:rPr>
        <w:t>מי"ה</w:t>
      </w:r>
      <w:r w:rsidRPr="00FE69C3">
        <w:rPr>
          <w:rtl/>
        </w:rPr>
        <w:t>,</w:t>
      </w:r>
      <w:r w:rsidRPr="00FE69C3">
        <w:rPr>
          <w:rFonts w:hint="cs"/>
          <w:rtl/>
        </w:rPr>
        <w:t xml:space="preserve"> בין השאר גם בכל הנוגע לתפעול בריכות האידוי המשמשות לפעילותה.</w:t>
      </w:r>
    </w:p>
    <w:p w:rsidR="006734B0" w:rsidRPr="008D2DC1" w:rsidP="008D2DC1" w14:paraId="0AE9FA9B" w14:textId="77777777">
      <w:pPr>
        <w:pStyle w:val="7120"/>
        <w:numPr>
          <w:ilvl w:val="0"/>
          <w:numId w:val="25"/>
        </w:numPr>
        <w:ind w:left="1077" w:hanging="397"/>
        <w:rPr>
          <w:b/>
          <w:rtl/>
        </w:rPr>
      </w:pPr>
      <w:r w:rsidRPr="008D2DC1">
        <w:rPr>
          <w:rFonts w:hint="cs"/>
          <w:b/>
          <w:rtl/>
        </w:rPr>
        <w:t xml:space="preserve">בביקורת </w:t>
      </w:r>
      <w:r w:rsidRPr="008D2DC1">
        <w:rPr>
          <w:b/>
          <w:rtl/>
        </w:rPr>
        <w:t xml:space="preserve">נמצא כי בשנת 2019 הוסדר רישיון ההפקה של מי ים המלח, </w:t>
      </w:r>
      <w:r w:rsidRPr="008D2DC1">
        <w:rPr>
          <w:rFonts w:hint="eastAsia"/>
          <w:b/>
          <w:rtl/>
        </w:rPr>
        <w:t>ורק</w:t>
      </w:r>
      <w:r w:rsidRPr="008D2DC1">
        <w:rPr>
          <w:b/>
          <w:rtl/>
        </w:rPr>
        <w:t xml:space="preserve"> במסגרת העבודה על הרישיון </w:t>
      </w:r>
      <w:r w:rsidRPr="008D2DC1">
        <w:rPr>
          <w:rFonts w:hint="eastAsia"/>
          <w:b/>
          <w:rtl/>
        </w:rPr>
        <w:t>רשות</w:t>
      </w:r>
      <w:r w:rsidRPr="008D2DC1">
        <w:rPr>
          <w:b/>
          <w:rtl/>
        </w:rPr>
        <w:t xml:space="preserve"> המים החלה </w:t>
      </w:r>
      <w:r w:rsidRPr="008D2DC1">
        <w:rPr>
          <w:rFonts w:hint="eastAsia"/>
          <w:b/>
          <w:rtl/>
        </w:rPr>
        <w:t>להתעמק</w:t>
      </w:r>
      <w:r w:rsidRPr="008D2DC1">
        <w:rPr>
          <w:b/>
          <w:rtl/>
        </w:rPr>
        <w:t xml:space="preserve"> </w:t>
      </w:r>
      <w:r w:rsidRPr="008D2DC1">
        <w:rPr>
          <w:rFonts w:hint="eastAsia"/>
          <w:b/>
          <w:rtl/>
        </w:rPr>
        <w:t>ב</w:t>
      </w:r>
      <w:r w:rsidRPr="008D2DC1">
        <w:rPr>
          <w:rFonts w:hint="cs"/>
          <w:b/>
          <w:rtl/>
        </w:rPr>
        <w:t>סוגיית הדליפות המים</w:t>
      </w:r>
      <w:r w:rsidRPr="008D2DC1">
        <w:rPr>
          <w:b/>
          <w:rtl/>
        </w:rPr>
        <w:t>. לצד זאת, רשות המים מסרה למשרד מבקר המדינה כי לפי הנתונים שבידיה הדלף חוזר, רובו ככולו, לאגן הצפוני</w:t>
      </w:r>
      <w:r w:rsidRPr="008D2DC1">
        <w:rPr>
          <w:rFonts w:hint="cs"/>
          <w:b/>
          <w:rtl/>
        </w:rPr>
        <w:t xml:space="preserve"> של ים המלח</w:t>
      </w:r>
      <w:r w:rsidRPr="008D2DC1">
        <w:rPr>
          <w:b/>
          <w:rtl/>
        </w:rPr>
        <w:t xml:space="preserve"> </w:t>
      </w:r>
      <w:r w:rsidRPr="008D2DC1">
        <w:rPr>
          <w:rFonts w:hint="eastAsia"/>
          <w:b/>
          <w:rtl/>
        </w:rPr>
        <w:t>ולפיכך</w:t>
      </w:r>
      <w:r w:rsidRPr="008D2DC1">
        <w:rPr>
          <w:b/>
          <w:rtl/>
        </w:rPr>
        <w:t xml:space="preserve"> אינו פוגע במאזן משאבי המים בים המלח. הרשות הסבירה כי </w:t>
      </w:r>
      <w:r w:rsidRPr="008D2DC1">
        <w:rPr>
          <w:rFonts w:hint="eastAsia"/>
          <w:b/>
          <w:rtl/>
        </w:rPr>
        <w:t>מסיבה</w:t>
      </w:r>
      <w:r w:rsidRPr="008D2DC1">
        <w:rPr>
          <w:b/>
          <w:rtl/>
        </w:rPr>
        <w:t xml:space="preserve"> </w:t>
      </w:r>
      <w:r w:rsidRPr="008D2DC1">
        <w:rPr>
          <w:rFonts w:hint="eastAsia"/>
          <w:b/>
          <w:rtl/>
        </w:rPr>
        <w:t>זו</w:t>
      </w:r>
      <w:r w:rsidRPr="008D2DC1">
        <w:rPr>
          <w:b/>
          <w:rtl/>
        </w:rPr>
        <w:t xml:space="preserve">, ומאחר שהיא מופקדת על ניהול מקורות המים, הטיפול בדליפה, </w:t>
      </w:r>
      <w:r w:rsidRPr="008D2DC1">
        <w:rPr>
          <w:rFonts w:hint="eastAsia"/>
          <w:b/>
          <w:rtl/>
        </w:rPr>
        <w:t>שיש</w:t>
      </w:r>
      <w:r w:rsidRPr="008D2DC1">
        <w:rPr>
          <w:b/>
          <w:rtl/>
        </w:rPr>
        <w:t xml:space="preserve"> </w:t>
      </w:r>
      <w:r w:rsidRPr="008D2DC1">
        <w:rPr>
          <w:rFonts w:hint="eastAsia"/>
          <w:b/>
          <w:rtl/>
        </w:rPr>
        <w:t>לו</w:t>
      </w:r>
      <w:r w:rsidRPr="008D2DC1">
        <w:rPr>
          <w:rFonts w:hint="cs"/>
          <w:b/>
          <w:rtl/>
        </w:rPr>
        <w:t xml:space="preserve"> </w:t>
      </w:r>
      <w:r w:rsidRPr="008D2DC1">
        <w:rPr>
          <w:b/>
          <w:rtl/>
        </w:rPr>
        <w:t xml:space="preserve">היבטים סביבתיים, הנדסיים ואחרים, אינו בתחום </w:t>
      </w:r>
      <w:r w:rsidRPr="008D2DC1">
        <w:rPr>
          <w:rFonts w:hint="cs"/>
          <w:b/>
          <w:rtl/>
        </w:rPr>
        <w:t>אחריותה</w:t>
      </w:r>
      <w:r w:rsidRPr="008D2DC1">
        <w:rPr>
          <w:b/>
          <w:rtl/>
        </w:rPr>
        <w:t xml:space="preserve">. </w:t>
      </w:r>
    </w:p>
    <w:p w:rsidR="006734B0" w:rsidRPr="008D2DC1" w:rsidP="008D2DC1" w14:paraId="4D3FC2B5" w14:textId="77777777">
      <w:pPr>
        <w:pStyle w:val="7120"/>
        <w:numPr>
          <w:ilvl w:val="0"/>
          <w:numId w:val="25"/>
        </w:numPr>
        <w:ind w:left="1077" w:hanging="397"/>
        <w:rPr>
          <w:b/>
          <w:rtl/>
        </w:rPr>
      </w:pPr>
      <w:r w:rsidRPr="008D2DC1">
        <w:rPr>
          <w:rFonts w:hint="eastAsia"/>
          <w:b/>
          <w:rtl/>
        </w:rPr>
        <w:t>נמצא</w:t>
      </w:r>
      <w:r w:rsidRPr="008D2DC1">
        <w:rPr>
          <w:b/>
          <w:rtl/>
        </w:rPr>
        <w:t xml:space="preserve"> כי </w:t>
      </w:r>
      <w:r w:rsidRPr="008D2DC1">
        <w:rPr>
          <w:rFonts w:hint="eastAsia"/>
          <w:b/>
          <w:rtl/>
        </w:rPr>
        <w:t>עמדת</w:t>
      </w:r>
      <w:r w:rsidRPr="008D2DC1">
        <w:rPr>
          <w:b/>
          <w:rtl/>
        </w:rPr>
        <w:t xml:space="preserve"> רשות המים </w:t>
      </w:r>
      <w:r w:rsidRPr="008D2DC1">
        <w:rPr>
          <w:rFonts w:hint="eastAsia"/>
          <w:b/>
          <w:rtl/>
        </w:rPr>
        <w:t>מתבססת</w:t>
      </w:r>
      <w:r w:rsidRPr="008D2DC1">
        <w:rPr>
          <w:b/>
          <w:rtl/>
        </w:rPr>
        <w:t xml:space="preserve"> </w:t>
      </w:r>
      <w:r w:rsidRPr="008D2DC1">
        <w:rPr>
          <w:rFonts w:hint="eastAsia"/>
          <w:b/>
          <w:rtl/>
        </w:rPr>
        <w:t>על</w:t>
      </w:r>
      <w:r w:rsidRPr="008D2DC1">
        <w:rPr>
          <w:b/>
          <w:rtl/>
        </w:rPr>
        <w:t xml:space="preserve"> </w:t>
      </w:r>
      <w:r w:rsidRPr="008D2DC1">
        <w:rPr>
          <w:rFonts w:hint="eastAsia"/>
          <w:b/>
          <w:rtl/>
        </w:rPr>
        <w:t>מחקר</w:t>
      </w:r>
      <w:r w:rsidRPr="008D2DC1">
        <w:rPr>
          <w:b/>
          <w:rtl/>
        </w:rPr>
        <w:t xml:space="preserve"> </w:t>
      </w:r>
      <w:r w:rsidRPr="008D2DC1">
        <w:rPr>
          <w:rFonts w:hint="cs"/>
          <w:b/>
          <w:rtl/>
        </w:rPr>
        <w:t>ש</w:t>
      </w:r>
      <w:r w:rsidRPr="008D2DC1">
        <w:rPr>
          <w:rFonts w:hint="eastAsia"/>
          <w:b/>
          <w:rtl/>
        </w:rPr>
        <w:t>מימנה</w:t>
      </w:r>
      <w:r w:rsidRPr="008D2DC1">
        <w:rPr>
          <w:b/>
          <w:rtl/>
        </w:rPr>
        <w:t xml:space="preserve"> </w:t>
      </w:r>
      <w:r w:rsidRPr="008D2DC1">
        <w:rPr>
          <w:rFonts w:hint="eastAsia"/>
          <w:b/>
          <w:rtl/>
        </w:rPr>
        <w:t>מי</w:t>
      </w:r>
      <w:r w:rsidRPr="008D2DC1">
        <w:rPr>
          <w:b/>
          <w:rtl/>
        </w:rPr>
        <w:t>"ה</w:t>
      </w:r>
      <w:r w:rsidRPr="008D2DC1">
        <w:rPr>
          <w:b/>
          <w:rtl/>
        </w:rPr>
        <w:t xml:space="preserve">, </w:t>
      </w:r>
      <w:r w:rsidRPr="008D2DC1">
        <w:rPr>
          <w:rFonts w:hint="eastAsia"/>
          <w:b/>
          <w:rtl/>
        </w:rPr>
        <w:t>שהתבצע</w:t>
      </w:r>
      <w:r w:rsidRPr="008D2DC1">
        <w:rPr>
          <w:b/>
          <w:rtl/>
        </w:rPr>
        <w:t xml:space="preserve"> </w:t>
      </w:r>
      <w:r w:rsidRPr="008D2DC1">
        <w:rPr>
          <w:rFonts w:hint="eastAsia"/>
          <w:b/>
          <w:rtl/>
        </w:rPr>
        <w:t>על</w:t>
      </w:r>
      <w:r w:rsidRPr="008D2DC1">
        <w:rPr>
          <w:b/>
          <w:rtl/>
        </w:rPr>
        <w:t xml:space="preserve"> </w:t>
      </w:r>
      <w:r w:rsidRPr="008D2DC1">
        <w:rPr>
          <w:rFonts w:hint="eastAsia"/>
          <w:b/>
          <w:rtl/>
        </w:rPr>
        <w:t>בסיס</w:t>
      </w:r>
      <w:r w:rsidRPr="008D2DC1">
        <w:rPr>
          <w:b/>
          <w:rtl/>
        </w:rPr>
        <w:t xml:space="preserve"> </w:t>
      </w:r>
      <w:r w:rsidRPr="008D2DC1">
        <w:rPr>
          <w:rFonts w:hint="eastAsia"/>
          <w:b/>
          <w:rtl/>
        </w:rPr>
        <w:t>מדידות</w:t>
      </w:r>
      <w:r w:rsidRPr="008D2DC1">
        <w:rPr>
          <w:b/>
          <w:rtl/>
        </w:rPr>
        <w:t xml:space="preserve"> </w:t>
      </w:r>
      <w:r w:rsidRPr="008D2DC1">
        <w:rPr>
          <w:rFonts w:hint="eastAsia"/>
          <w:b/>
          <w:rtl/>
        </w:rPr>
        <w:t>מים</w:t>
      </w:r>
      <w:r w:rsidRPr="008D2DC1">
        <w:rPr>
          <w:b/>
          <w:rtl/>
        </w:rPr>
        <w:t xml:space="preserve"> </w:t>
      </w:r>
      <w:r w:rsidRPr="008D2DC1">
        <w:rPr>
          <w:rFonts w:hint="eastAsia"/>
          <w:b/>
          <w:rtl/>
        </w:rPr>
        <w:t>שביצעה</w:t>
      </w:r>
      <w:r w:rsidRPr="008D2DC1">
        <w:rPr>
          <w:b/>
          <w:rtl/>
        </w:rPr>
        <w:t xml:space="preserve"> </w:t>
      </w:r>
      <w:r w:rsidRPr="008D2DC1">
        <w:rPr>
          <w:rFonts w:hint="eastAsia"/>
          <w:b/>
          <w:rtl/>
        </w:rPr>
        <w:t>מי</w:t>
      </w:r>
      <w:r w:rsidRPr="008D2DC1">
        <w:rPr>
          <w:b/>
          <w:rtl/>
        </w:rPr>
        <w:t>"ה</w:t>
      </w:r>
      <w:r w:rsidRPr="008D2DC1">
        <w:rPr>
          <w:b/>
          <w:rtl/>
        </w:rPr>
        <w:t xml:space="preserve"> </w:t>
      </w:r>
      <w:r w:rsidRPr="008D2DC1">
        <w:rPr>
          <w:rFonts w:hint="cs"/>
          <w:b/>
          <w:rtl/>
        </w:rPr>
        <w:t>באמצעות מומחה מטעמה</w:t>
      </w:r>
      <w:r w:rsidRPr="008D2DC1">
        <w:rPr>
          <w:b/>
          <w:rtl/>
        </w:rPr>
        <w:t xml:space="preserve">, </w:t>
      </w:r>
      <w:r w:rsidRPr="008D2DC1">
        <w:rPr>
          <w:rFonts w:hint="eastAsia"/>
          <w:b/>
          <w:rtl/>
        </w:rPr>
        <w:t>ו</w:t>
      </w:r>
      <w:r w:rsidRPr="008D2DC1">
        <w:rPr>
          <w:b/>
          <w:rtl/>
        </w:rPr>
        <w:t xml:space="preserve">כי </w:t>
      </w:r>
      <w:r w:rsidRPr="008D2DC1">
        <w:rPr>
          <w:rFonts w:hint="eastAsia"/>
          <w:b/>
          <w:rtl/>
        </w:rPr>
        <w:t>קיימים</w:t>
      </w:r>
      <w:r w:rsidRPr="008D2DC1">
        <w:rPr>
          <w:b/>
          <w:rtl/>
        </w:rPr>
        <w:t xml:space="preserve"> </w:t>
      </w:r>
      <w:r w:rsidRPr="008D2DC1">
        <w:rPr>
          <w:rFonts w:hint="eastAsia"/>
          <w:b/>
          <w:rtl/>
        </w:rPr>
        <w:t>כמה</w:t>
      </w:r>
      <w:r w:rsidRPr="008D2DC1">
        <w:rPr>
          <w:b/>
          <w:rtl/>
        </w:rPr>
        <w:t xml:space="preserve"> </w:t>
      </w:r>
      <w:r w:rsidRPr="008D2DC1">
        <w:rPr>
          <w:rFonts w:hint="eastAsia"/>
          <w:b/>
          <w:rtl/>
        </w:rPr>
        <w:t>מומחים</w:t>
      </w:r>
      <w:r w:rsidRPr="008D2DC1">
        <w:rPr>
          <w:b/>
          <w:rtl/>
        </w:rPr>
        <w:t xml:space="preserve"> </w:t>
      </w:r>
      <w:r w:rsidRPr="008D2DC1">
        <w:rPr>
          <w:rFonts w:hint="eastAsia"/>
          <w:b/>
          <w:rtl/>
        </w:rPr>
        <w:t>בעלי</w:t>
      </w:r>
      <w:r w:rsidRPr="008D2DC1">
        <w:rPr>
          <w:b/>
          <w:rtl/>
        </w:rPr>
        <w:t xml:space="preserve"> </w:t>
      </w:r>
      <w:r w:rsidRPr="008D2DC1">
        <w:rPr>
          <w:rFonts w:hint="eastAsia"/>
          <w:b/>
          <w:rtl/>
        </w:rPr>
        <w:t>שם</w:t>
      </w:r>
      <w:r w:rsidRPr="008D2DC1">
        <w:rPr>
          <w:b/>
          <w:rtl/>
        </w:rPr>
        <w:t xml:space="preserve"> בנושא אשר אינם מקבלים את מסקנת המאמר ו</w:t>
      </w:r>
      <w:r w:rsidRPr="008D2DC1">
        <w:rPr>
          <w:rFonts w:hint="eastAsia"/>
          <w:b/>
          <w:rtl/>
        </w:rPr>
        <w:t>מטילים</w:t>
      </w:r>
      <w:r w:rsidRPr="008D2DC1">
        <w:rPr>
          <w:b/>
          <w:rtl/>
        </w:rPr>
        <w:t xml:space="preserve"> </w:t>
      </w:r>
      <w:r w:rsidRPr="008D2DC1">
        <w:rPr>
          <w:rFonts w:hint="eastAsia"/>
          <w:b/>
          <w:rtl/>
        </w:rPr>
        <w:t>ספק</w:t>
      </w:r>
      <w:r w:rsidRPr="008D2DC1">
        <w:rPr>
          <w:b/>
          <w:rtl/>
        </w:rPr>
        <w:t xml:space="preserve"> </w:t>
      </w:r>
      <w:r w:rsidRPr="008D2DC1">
        <w:rPr>
          <w:rFonts w:hint="eastAsia"/>
          <w:b/>
          <w:rtl/>
        </w:rPr>
        <w:t>בכך</w:t>
      </w:r>
      <w:r w:rsidRPr="008D2DC1">
        <w:rPr>
          <w:b/>
          <w:rtl/>
        </w:rPr>
        <w:t xml:space="preserve"> </w:t>
      </w:r>
      <w:r w:rsidRPr="008D2DC1">
        <w:rPr>
          <w:rFonts w:hint="eastAsia"/>
          <w:b/>
          <w:rtl/>
        </w:rPr>
        <w:t>שכל</w:t>
      </w:r>
      <w:r w:rsidRPr="008D2DC1">
        <w:rPr>
          <w:b/>
          <w:rtl/>
        </w:rPr>
        <w:t xml:space="preserve"> </w:t>
      </w:r>
      <w:r w:rsidRPr="008D2DC1">
        <w:rPr>
          <w:rFonts w:hint="eastAsia"/>
          <w:b/>
          <w:rtl/>
        </w:rPr>
        <w:t>המים</w:t>
      </w:r>
      <w:r w:rsidRPr="008D2DC1">
        <w:rPr>
          <w:b/>
          <w:rtl/>
        </w:rPr>
        <w:t xml:space="preserve"> הדולפים חוזרים לאגן הצפוני</w:t>
      </w:r>
      <w:r w:rsidRPr="008D2DC1">
        <w:rPr>
          <w:rFonts w:hint="cs"/>
          <w:b/>
          <w:rtl/>
        </w:rPr>
        <w:t xml:space="preserve"> ואשר </w:t>
      </w:r>
      <w:r w:rsidRPr="008D2DC1">
        <w:rPr>
          <w:rFonts w:hint="eastAsia"/>
          <w:b/>
          <w:rtl/>
        </w:rPr>
        <w:t>הציגו</w:t>
      </w:r>
      <w:r w:rsidRPr="008D2DC1">
        <w:rPr>
          <w:rFonts w:hint="cs"/>
          <w:b/>
          <w:rtl/>
        </w:rPr>
        <w:t xml:space="preserve"> לרשות המים </w:t>
      </w:r>
      <w:r w:rsidRPr="008D2DC1">
        <w:rPr>
          <w:rFonts w:hint="eastAsia"/>
          <w:b/>
          <w:rtl/>
        </w:rPr>
        <w:t>את</w:t>
      </w:r>
      <w:r w:rsidRPr="008D2DC1">
        <w:rPr>
          <w:b/>
          <w:rtl/>
        </w:rPr>
        <w:t xml:space="preserve"> </w:t>
      </w:r>
      <w:r w:rsidRPr="008D2DC1">
        <w:rPr>
          <w:rFonts w:hint="eastAsia"/>
          <w:b/>
          <w:rtl/>
        </w:rPr>
        <w:t>עמדתם</w:t>
      </w:r>
      <w:r w:rsidRPr="008D2DC1">
        <w:rPr>
          <w:rFonts w:hint="cs"/>
          <w:b/>
          <w:rtl/>
        </w:rPr>
        <w:t xml:space="preserve"> בנושא</w:t>
      </w:r>
      <w:r w:rsidRPr="008D2DC1">
        <w:rPr>
          <w:b/>
          <w:rtl/>
        </w:rPr>
        <w:t xml:space="preserve">. </w:t>
      </w:r>
      <w:r w:rsidRPr="008D2DC1">
        <w:rPr>
          <w:rFonts w:hint="cs"/>
          <w:b/>
          <w:rtl/>
        </w:rPr>
        <w:t xml:space="preserve">רשות המים מסרה לצוות הביקורת כי המחקר והמודל הנומרי </w:t>
      </w:r>
      <w:r w:rsidRPr="008D2DC1">
        <w:rPr>
          <w:rFonts w:hint="eastAsia"/>
          <w:b/>
          <w:rtl/>
        </w:rPr>
        <w:t>ש</w:t>
      </w:r>
      <w:r w:rsidRPr="008D2DC1">
        <w:rPr>
          <w:rFonts w:hint="cs"/>
          <w:b/>
          <w:rtl/>
        </w:rPr>
        <w:t>בבסיסו עברו ביקורת ברשות המים</w:t>
      </w:r>
      <w:r w:rsidRPr="008D2DC1">
        <w:rPr>
          <w:b/>
          <w:rtl/>
        </w:rPr>
        <w:t>,</w:t>
      </w:r>
      <w:r w:rsidRPr="008D2DC1">
        <w:rPr>
          <w:rFonts w:hint="cs"/>
          <w:b/>
          <w:rtl/>
        </w:rPr>
        <w:t xml:space="preserve"> וכן כי הם עברו ביקורת </w:t>
      </w:r>
      <w:r w:rsidRPr="008D2DC1">
        <w:rPr>
          <w:rFonts w:hint="eastAsia"/>
          <w:b/>
          <w:rtl/>
        </w:rPr>
        <w:t>בין</w:t>
      </w:r>
      <w:r w:rsidRPr="008D2DC1">
        <w:rPr>
          <w:b/>
          <w:rtl/>
        </w:rPr>
        <w:t>-לאומית</w:t>
      </w:r>
      <w:r w:rsidRPr="008D2DC1">
        <w:rPr>
          <w:rFonts w:hint="cs"/>
          <w:b/>
          <w:rtl/>
        </w:rPr>
        <w:t xml:space="preserve"> במסגרת פרסום בכתב עת מדעי </w:t>
      </w:r>
      <w:r w:rsidRPr="008D2DC1">
        <w:rPr>
          <w:rFonts w:hint="eastAsia"/>
          <w:b/>
          <w:rtl/>
        </w:rPr>
        <w:t>בין</w:t>
      </w:r>
      <w:r w:rsidRPr="008D2DC1">
        <w:rPr>
          <w:b/>
          <w:rtl/>
        </w:rPr>
        <w:t>-לאומי.</w:t>
      </w:r>
      <w:r w:rsidRPr="008D2DC1">
        <w:rPr>
          <w:rFonts w:hint="cs"/>
          <w:b/>
          <w:rtl/>
        </w:rPr>
        <w:t xml:space="preserve"> </w:t>
      </w:r>
    </w:p>
    <w:p w:rsidR="006734B0" w:rsidRPr="008D2DC1" w:rsidP="008C362D" w14:paraId="221D6EA6" w14:textId="1EE91745">
      <w:pPr>
        <w:pStyle w:val="7311"/>
        <w:ind w:left="1077"/>
        <w:rPr>
          <w:rtl/>
        </w:rPr>
      </w:pPr>
      <w:r w:rsidRPr="00E57DD9">
        <w:rPr>
          <w:rtl/>
        </w:rPr>
        <w:t>ות"ל</w:t>
      </w:r>
      <w:r>
        <w:rPr>
          <w:rFonts w:hint="cs"/>
          <w:rtl/>
        </w:rPr>
        <w:t xml:space="preserve"> </w:t>
      </w:r>
      <w:r w:rsidRPr="008D2DC1">
        <w:rPr>
          <w:rFonts w:hint="cs"/>
          <w:rtl/>
        </w:rPr>
        <w:t xml:space="preserve">מסרה בתשובתה למשרד מבקר המדינה מספטמבר 2024 כי </w:t>
      </w:r>
      <w:r w:rsidRPr="008D2DC1">
        <w:rPr>
          <w:rFonts w:hint="eastAsia"/>
          <w:rtl/>
        </w:rPr>
        <w:t>הנתונים</w:t>
      </w:r>
      <w:r w:rsidRPr="008D2DC1">
        <w:rPr>
          <w:rtl/>
        </w:rPr>
        <w:t xml:space="preserve"> </w:t>
      </w:r>
      <w:r w:rsidRPr="008D2DC1">
        <w:rPr>
          <w:rFonts w:hint="eastAsia"/>
          <w:rtl/>
        </w:rPr>
        <w:t>על</w:t>
      </w:r>
      <w:r w:rsidRPr="008D2DC1">
        <w:rPr>
          <w:rFonts w:hint="cs"/>
          <w:rtl/>
        </w:rPr>
        <w:t xml:space="preserve"> היקף הדליפות מבוסס</w:t>
      </w:r>
      <w:r w:rsidRPr="008D2DC1">
        <w:rPr>
          <w:rFonts w:hint="eastAsia"/>
          <w:rtl/>
        </w:rPr>
        <w:t>ים</w:t>
      </w:r>
      <w:r w:rsidRPr="008D2DC1">
        <w:rPr>
          <w:rFonts w:hint="cs"/>
          <w:rtl/>
        </w:rPr>
        <w:t xml:space="preserve"> בלעדית על דיווח של </w:t>
      </w:r>
      <w:r w:rsidRPr="008D2DC1">
        <w:rPr>
          <w:rFonts w:hint="cs"/>
          <w:rtl/>
        </w:rPr>
        <w:t>מי"ה</w:t>
      </w:r>
      <w:r w:rsidRPr="008D2DC1">
        <w:rPr>
          <w:rFonts w:hint="cs"/>
          <w:rtl/>
        </w:rPr>
        <w:t xml:space="preserve">, המסתמך לדבריה על מאזן מים פנימי המבוצע על ידה ועל נתוניה ואינו נתון לביקורת חיצונית. </w:t>
      </w:r>
    </w:p>
    <w:p w:rsidR="006734B0" w:rsidRPr="008D2DC1" w:rsidP="008D2DC1" w14:paraId="5E2AA86D" w14:textId="77777777">
      <w:pPr>
        <w:pStyle w:val="7120"/>
        <w:numPr>
          <w:ilvl w:val="0"/>
          <w:numId w:val="25"/>
        </w:numPr>
        <w:ind w:left="1077" w:hanging="397"/>
        <w:rPr>
          <w:b/>
        </w:rPr>
      </w:pPr>
      <w:r w:rsidRPr="008D2DC1">
        <w:rPr>
          <w:rFonts w:hint="cs"/>
          <w:b/>
          <w:rtl/>
        </w:rPr>
        <w:t xml:space="preserve">בביקורת נמצא כי לא קיימת כיום התייחסות לדליפות מבריכה 5 במסגרת התנאים ברישיון העסק שנתן המשרד </w:t>
      </w:r>
      <w:r w:rsidRPr="008D2DC1">
        <w:rPr>
          <w:rFonts w:hint="cs"/>
          <w:b/>
          <w:rtl/>
        </w:rPr>
        <w:t>להג"ס</w:t>
      </w:r>
      <w:r w:rsidRPr="008D2DC1">
        <w:rPr>
          <w:rFonts w:hint="cs"/>
          <w:b/>
          <w:rtl/>
        </w:rPr>
        <w:t xml:space="preserve"> למפעלים, וכי המשרד החל רק לאחרונה לבחון את </w:t>
      </w:r>
      <w:r w:rsidRPr="008D2DC1">
        <w:rPr>
          <w:rFonts w:hint="cs"/>
          <w:b/>
          <w:rtl/>
        </w:rPr>
        <w:t>הסוגיה</w:t>
      </w:r>
      <w:r w:rsidRPr="008D2DC1">
        <w:rPr>
          <w:rFonts w:hint="cs"/>
          <w:b/>
          <w:rtl/>
        </w:rPr>
        <w:t xml:space="preserve"> והוא מגבש טיוטת תנאים בנושא. </w:t>
      </w:r>
    </w:p>
    <w:p w:rsidR="006734B0" w:rsidRPr="00BA6306" w:rsidP="008D2DC1" w14:paraId="258C3A70" w14:textId="77777777">
      <w:pPr>
        <w:pStyle w:val="7317"/>
        <w:rPr>
          <w:rtl/>
        </w:rPr>
      </w:pPr>
      <w:r>
        <w:rPr>
          <w:rFonts w:hint="cs"/>
          <w:rtl/>
        </w:rPr>
        <w:t>מי"ה</w:t>
      </w:r>
      <w:r>
        <w:rPr>
          <w:rFonts w:hint="cs"/>
          <w:rtl/>
        </w:rPr>
        <w:t xml:space="preserve"> מסרה בתשובתה למשרד מבקר המדינה כי המים </w:t>
      </w:r>
      <w:r w:rsidRPr="005806C3">
        <w:rPr>
          <w:rFonts w:hint="cs"/>
          <w:rtl/>
        </w:rPr>
        <w:t xml:space="preserve">שדולפים מהבריכה אינם מים </w:t>
      </w:r>
      <w:r w:rsidRPr="005806C3">
        <w:rPr>
          <w:rFonts w:hint="eastAsia"/>
          <w:rtl/>
        </w:rPr>
        <w:t>שאובדים</w:t>
      </w:r>
      <w:r w:rsidRPr="005806C3">
        <w:rPr>
          <w:rFonts w:hint="cs"/>
          <w:rtl/>
        </w:rPr>
        <w:t xml:space="preserve">, שכן הם </w:t>
      </w:r>
      <w:r w:rsidRPr="005806C3">
        <w:rPr>
          <w:rFonts w:hint="eastAsia"/>
          <w:rtl/>
        </w:rPr>
        <w:t>חוזרים</w:t>
      </w:r>
      <w:r w:rsidRPr="005806C3">
        <w:rPr>
          <w:rFonts w:hint="cs"/>
          <w:rtl/>
        </w:rPr>
        <w:t xml:space="preserve"> לאגן הצפוני; כי </w:t>
      </w:r>
      <w:r w:rsidRPr="005806C3">
        <w:rPr>
          <w:rFonts w:hint="cs"/>
          <w:rtl/>
        </w:rPr>
        <w:t>מי"ה</w:t>
      </w:r>
      <w:r w:rsidRPr="005806C3">
        <w:rPr>
          <w:rFonts w:hint="cs"/>
          <w:rtl/>
        </w:rPr>
        <w:t xml:space="preserve"> נאלצת להשקיע </w:t>
      </w:r>
      <w:r w:rsidRPr="005806C3">
        <w:rPr>
          <w:rFonts w:hint="cs"/>
          <w:rtl/>
        </w:rPr>
        <w:t>אנרגי</w:t>
      </w:r>
      <w:r w:rsidRPr="005806C3">
        <w:rPr>
          <w:rFonts w:hint="eastAsia"/>
          <w:rtl/>
        </w:rPr>
        <w:t>י</w:t>
      </w:r>
      <w:r w:rsidRPr="005806C3">
        <w:rPr>
          <w:rFonts w:hint="cs"/>
          <w:rtl/>
        </w:rPr>
        <w:t>ה</w:t>
      </w:r>
      <w:r w:rsidRPr="005806C3">
        <w:rPr>
          <w:rFonts w:hint="cs"/>
          <w:rtl/>
        </w:rPr>
        <w:t xml:space="preserve"> נוספת ו</w:t>
      </w:r>
      <w:r w:rsidRPr="005806C3">
        <w:rPr>
          <w:rFonts w:hint="eastAsia"/>
          <w:rtl/>
        </w:rPr>
        <w:t>אף</w:t>
      </w:r>
      <w:r w:rsidRPr="005806C3">
        <w:rPr>
          <w:rFonts w:hint="cs"/>
          <w:rtl/>
        </w:rPr>
        <w:t xml:space="preserve"> </w:t>
      </w:r>
      <w:r w:rsidRPr="005806C3">
        <w:rPr>
          <w:rFonts w:hint="cs"/>
          <w:rtl/>
        </w:rPr>
        <w:t>כפולה בשאיבת מים אלו</w:t>
      </w:r>
      <w:r w:rsidRPr="005806C3">
        <w:rPr>
          <w:rtl/>
        </w:rPr>
        <w:t>; ו</w:t>
      </w:r>
      <w:r w:rsidRPr="005806C3">
        <w:rPr>
          <w:rFonts w:hint="eastAsia"/>
          <w:rtl/>
        </w:rPr>
        <w:t>כי</w:t>
      </w:r>
      <w:r w:rsidRPr="005806C3">
        <w:rPr>
          <w:rFonts w:hint="cs"/>
          <w:rtl/>
        </w:rPr>
        <w:t xml:space="preserve"> כמות המים ששואבת </w:t>
      </w:r>
      <w:r w:rsidRPr="005806C3">
        <w:rPr>
          <w:rFonts w:hint="cs"/>
          <w:rtl/>
        </w:rPr>
        <w:t>מי"ה</w:t>
      </w:r>
      <w:r w:rsidRPr="005806C3">
        <w:rPr>
          <w:rFonts w:hint="cs"/>
          <w:rtl/>
        </w:rPr>
        <w:t xml:space="preserve"> גדלה אך מאזן המ</w:t>
      </w:r>
      <w:r w:rsidRPr="00094B37">
        <w:rPr>
          <w:rFonts w:hint="cs"/>
          <w:rtl/>
        </w:rPr>
        <w:t xml:space="preserve">ים "נטו" בים המלח </w:t>
      </w:r>
      <w:r w:rsidRPr="00BA6306">
        <w:rPr>
          <w:rFonts w:hint="cs"/>
          <w:rtl/>
        </w:rPr>
        <w:t xml:space="preserve">אינו משתנה. </w:t>
      </w:r>
    </w:p>
    <w:p w:rsidR="006734B0" w:rsidRPr="008D2DC1" w:rsidP="008D2DC1" w14:paraId="0FAA9031" w14:textId="77777777">
      <w:pPr>
        <w:pStyle w:val="7310"/>
        <w:rPr>
          <w:rtl/>
        </w:rPr>
      </w:pPr>
      <w:r w:rsidRPr="008D2DC1">
        <w:rPr>
          <w:rFonts w:hint="cs"/>
          <w:rtl/>
        </w:rPr>
        <w:t xml:space="preserve">דליפת המים מבריכת אידוי של </w:t>
      </w:r>
      <w:r w:rsidRPr="008D2DC1">
        <w:rPr>
          <w:rFonts w:hint="cs"/>
          <w:rtl/>
        </w:rPr>
        <w:t>מי"ה</w:t>
      </w:r>
      <w:r w:rsidRPr="008D2DC1">
        <w:rPr>
          <w:rFonts w:hint="cs"/>
          <w:rtl/>
        </w:rPr>
        <w:t xml:space="preserve"> היא סוגיה מורכבת, הנוגעת להיבטים רבים, </w:t>
      </w:r>
      <w:r w:rsidRPr="008D2DC1">
        <w:rPr>
          <w:rFonts w:hint="eastAsia"/>
          <w:rtl/>
        </w:rPr>
        <w:t>ו</w:t>
      </w:r>
      <w:r w:rsidRPr="008D2DC1">
        <w:rPr>
          <w:rFonts w:hint="cs"/>
          <w:rtl/>
        </w:rPr>
        <w:t xml:space="preserve">כל אחד מהפתרונות המוצעים עשוי להשפיע על הסביבה וכרוך בעלויות לא מבוטלות. בביקורת נמצא כי כרבע מכמות המים </w:t>
      </w:r>
      <w:r w:rsidRPr="008D2DC1">
        <w:rPr>
          <w:rFonts w:hint="cs"/>
          <w:rtl/>
        </w:rPr>
        <w:t>שמי"ה</w:t>
      </w:r>
      <w:r w:rsidRPr="008D2DC1">
        <w:rPr>
          <w:rFonts w:hint="cs"/>
          <w:rtl/>
        </w:rPr>
        <w:t xml:space="preserve"> שואבת מדי שנה מים המלח (כ-100 </w:t>
      </w:r>
      <w:r w:rsidRPr="008D2DC1">
        <w:rPr>
          <w:rFonts w:hint="cs"/>
          <w:rtl/>
        </w:rPr>
        <w:t>מלמ"ק</w:t>
      </w:r>
      <w:r w:rsidRPr="008D2DC1">
        <w:rPr>
          <w:rFonts w:hint="cs"/>
          <w:rtl/>
        </w:rPr>
        <w:t xml:space="preserve">) דולף מבריכה 5 בלי שהדבר נבחן באופן רוחבי על ידי כלל </w:t>
      </w:r>
      <w:r w:rsidRPr="008D2DC1">
        <w:rPr>
          <w:rFonts w:hint="cs"/>
          <w:rtl/>
        </w:rPr>
        <w:t>המאסדרים</w:t>
      </w:r>
      <w:r w:rsidRPr="008D2DC1">
        <w:rPr>
          <w:rFonts w:hint="cs"/>
          <w:rtl/>
        </w:rPr>
        <w:t xml:space="preserve"> הנוגעים בדבר; בלי שהמשרד </w:t>
      </w:r>
      <w:r w:rsidRPr="008D2DC1">
        <w:rPr>
          <w:rFonts w:hint="cs"/>
          <w:rtl/>
        </w:rPr>
        <w:t>להג"ס</w:t>
      </w:r>
      <w:r w:rsidRPr="008D2DC1">
        <w:rPr>
          <w:rFonts w:hint="cs"/>
          <w:rtl/>
        </w:rPr>
        <w:t xml:space="preserve"> פעל בנושא וקבע תנאים ברישיון עסק כדי למנוע או לצמצם דליפה זו; ותוך שרשות המים סבורה כי אין זה מתפקידה לנקוט פעולות בנושא. הפועל היוצא מהיעדר הבחינה הרוחבית ומהיעדר התיאום הוא אי-מתן מענה רגולטורי לדליפת המים המשמעותית האמורה. </w:t>
      </w:r>
    </w:p>
    <w:p w:rsidR="006734B0" w:rsidRPr="008D2DC1" w:rsidP="008D2DC1" w14:paraId="1D6A4F71" w14:textId="77777777">
      <w:pPr>
        <w:pStyle w:val="7310"/>
        <w:rPr>
          <w:rtl/>
        </w:rPr>
      </w:pPr>
      <w:r w:rsidRPr="008D2DC1">
        <w:rPr>
          <w:rFonts w:hint="cs"/>
          <w:rtl/>
        </w:rPr>
        <w:t xml:space="preserve">לדעת משרד מבקר המדינה טיפול בסוגיה מצריך ראייה רחבה של הדברים ובחינת ההשפעות של כל חלופה. מצב </w:t>
      </w:r>
      <w:r w:rsidRPr="008D2DC1">
        <w:rPr>
          <w:rFonts w:hint="eastAsia"/>
          <w:rtl/>
        </w:rPr>
        <w:t>שבו</w:t>
      </w:r>
      <w:r w:rsidRPr="008D2DC1">
        <w:rPr>
          <w:rtl/>
        </w:rPr>
        <w:t xml:space="preserve"> </w:t>
      </w:r>
      <w:r w:rsidRPr="008D2DC1">
        <w:rPr>
          <w:rFonts w:hint="eastAsia"/>
          <w:rtl/>
        </w:rPr>
        <w:t>כל</w:t>
      </w:r>
      <w:r w:rsidRPr="008D2DC1">
        <w:rPr>
          <w:rtl/>
        </w:rPr>
        <w:t xml:space="preserve"> מאסדר בוחן את המקרה </w:t>
      </w:r>
      <w:r w:rsidRPr="008D2DC1">
        <w:rPr>
          <w:rFonts w:hint="eastAsia"/>
          <w:rtl/>
        </w:rPr>
        <w:t>באופן</w:t>
      </w:r>
      <w:r w:rsidRPr="008D2DC1">
        <w:rPr>
          <w:rtl/>
        </w:rPr>
        <w:t xml:space="preserve"> </w:t>
      </w:r>
      <w:r w:rsidRPr="008D2DC1">
        <w:rPr>
          <w:rFonts w:hint="eastAsia"/>
          <w:rtl/>
        </w:rPr>
        <w:t>צר</w:t>
      </w:r>
      <w:r w:rsidRPr="008D2DC1">
        <w:rPr>
          <w:rtl/>
        </w:rPr>
        <w:t xml:space="preserve">, </w:t>
      </w:r>
      <w:r w:rsidRPr="008D2DC1">
        <w:rPr>
          <w:rFonts w:hint="eastAsia"/>
          <w:rtl/>
        </w:rPr>
        <w:t>רק</w:t>
      </w:r>
      <w:r w:rsidRPr="008D2DC1">
        <w:rPr>
          <w:rtl/>
        </w:rPr>
        <w:t xml:space="preserve"> </w:t>
      </w:r>
      <w:r w:rsidRPr="008D2DC1">
        <w:rPr>
          <w:rFonts w:hint="eastAsia"/>
          <w:rtl/>
        </w:rPr>
        <w:t>דרך</w:t>
      </w:r>
      <w:r w:rsidRPr="008D2DC1">
        <w:rPr>
          <w:rtl/>
        </w:rPr>
        <w:t xml:space="preserve"> </w:t>
      </w:r>
      <w:r w:rsidRPr="008D2DC1">
        <w:rPr>
          <w:rFonts w:hint="eastAsia"/>
          <w:rtl/>
        </w:rPr>
        <w:t>הסמכויות</w:t>
      </w:r>
      <w:r w:rsidRPr="008D2DC1">
        <w:rPr>
          <w:rtl/>
        </w:rPr>
        <w:t xml:space="preserve"> </w:t>
      </w:r>
      <w:r w:rsidRPr="008D2DC1">
        <w:rPr>
          <w:rFonts w:hint="eastAsia"/>
          <w:rtl/>
        </w:rPr>
        <w:t>המוקנות</w:t>
      </w:r>
      <w:r w:rsidRPr="008D2DC1">
        <w:rPr>
          <w:rtl/>
        </w:rPr>
        <w:t xml:space="preserve"> לו </w:t>
      </w:r>
      <w:r w:rsidRPr="008D2DC1">
        <w:rPr>
          <w:rFonts w:hint="eastAsia"/>
          <w:rtl/>
        </w:rPr>
        <w:t>בחוק</w:t>
      </w:r>
      <w:r w:rsidRPr="008D2DC1">
        <w:rPr>
          <w:rtl/>
        </w:rPr>
        <w:t xml:space="preserve"> </w:t>
      </w:r>
      <w:r w:rsidRPr="008D2DC1">
        <w:rPr>
          <w:rFonts w:hint="eastAsia"/>
          <w:rtl/>
        </w:rPr>
        <w:t>והאינטרסים</w:t>
      </w:r>
      <w:r w:rsidRPr="008D2DC1">
        <w:rPr>
          <w:rtl/>
        </w:rPr>
        <w:t xml:space="preserve"> </w:t>
      </w:r>
      <w:r w:rsidRPr="008D2DC1">
        <w:rPr>
          <w:rFonts w:hint="eastAsia"/>
          <w:rtl/>
        </w:rPr>
        <w:t>שעליהם</w:t>
      </w:r>
      <w:r w:rsidRPr="008D2DC1">
        <w:rPr>
          <w:rtl/>
        </w:rPr>
        <w:t xml:space="preserve"> </w:t>
      </w:r>
      <w:r w:rsidRPr="008D2DC1">
        <w:rPr>
          <w:rFonts w:hint="eastAsia"/>
          <w:rtl/>
        </w:rPr>
        <w:t>הוא</w:t>
      </w:r>
      <w:r w:rsidRPr="008D2DC1">
        <w:rPr>
          <w:rtl/>
        </w:rPr>
        <w:t xml:space="preserve"> </w:t>
      </w:r>
      <w:r w:rsidRPr="008D2DC1">
        <w:rPr>
          <w:rFonts w:hint="eastAsia"/>
          <w:rtl/>
        </w:rPr>
        <w:t>מופקד</w:t>
      </w:r>
      <w:r w:rsidRPr="008D2DC1">
        <w:rPr>
          <w:rtl/>
        </w:rPr>
        <w:t xml:space="preserve">, </w:t>
      </w:r>
      <w:r w:rsidRPr="008D2DC1">
        <w:rPr>
          <w:rFonts w:hint="eastAsia"/>
          <w:rtl/>
        </w:rPr>
        <w:t>הוא</w:t>
      </w:r>
      <w:r w:rsidRPr="008D2DC1">
        <w:rPr>
          <w:rtl/>
        </w:rPr>
        <w:t xml:space="preserve"> </w:t>
      </w:r>
      <w:r w:rsidRPr="008D2DC1">
        <w:rPr>
          <w:rFonts w:hint="eastAsia"/>
          <w:rtl/>
        </w:rPr>
        <w:t>מצב</w:t>
      </w:r>
      <w:r w:rsidRPr="008D2DC1">
        <w:rPr>
          <w:rtl/>
        </w:rPr>
        <w:t xml:space="preserve"> </w:t>
      </w:r>
      <w:r w:rsidRPr="008D2DC1">
        <w:rPr>
          <w:rFonts w:hint="eastAsia"/>
          <w:rtl/>
        </w:rPr>
        <w:t>שאינו</w:t>
      </w:r>
      <w:r w:rsidRPr="008D2DC1">
        <w:rPr>
          <w:rFonts w:hint="cs"/>
          <w:rtl/>
        </w:rPr>
        <w:t xml:space="preserve"> רצוי, </w:t>
      </w:r>
      <w:r w:rsidRPr="008D2DC1">
        <w:rPr>
          <w:rFonts w:hint="eastAsia"/>
          <w:rtl/>
        </w:rPr>
        <w:t>ו</w:t>
      </w:r>
      <w:r w:rsidRPr="008D2DC1">
        <w:rPr>
          <w:rFonts w:hint="cs"/>
          <w:rtl/>
        </w:rPr>
        <w:t xml:space="preserve">יש לתקנו. </w:t>
      </w:r>
    </w:p>
    <w:p w:rsidR="006734B0" w:rsidRPr="00D7678D" w:rsidP="008D2DC1" w14:paraId="127658E7" w14:textId="183CE470">
      <w:pPr>
        <w:pStyle w:val="7317"/>
        <w:rPr>
          <w:rtl/>
        </w:rPr>
      </w:pPr>
      <w:r>
        <w:rPr>
          <w:rFonts w:hint="cs"/>
          <w:rtl/>
        </w:rPr>
        <w:t xml:space="preserve">יצוין כי </w:t>
      </w:r>
      <w:r w:rsidRPr="006F16E8">
        <w:rPr>
          <w:rFonts w:hint="cs"/>
          <w:rtl/>
        </w:rPr>
        <w:t>מתשובת רשות המים</w:t>
      </w:r>
      <w:r>
        <w:rPr>
          <w:rFonts w:hint="cs"/>
          <w:rtl/>
        </w:rPr>
        <w:t xml:space="preserve"> למשרד מבקר המדינה עולה כי היא נכונה להעמיד את הידע המקצועי שבידה לרשותם של </w:t>
      </w:r>
      <w:r>
        <w:rPr>
          <w:rFonts w:hint="cs"/>
          <w:rtl/>
        </w:rPr>
        <w:t>המאסדרים</w:t>
      </w:r>
      <w:r>
        <w:rPr>
          <w:rFonts w:hint="cs"/>
          <w:rtl/>
        </w:rPr>
        <w:t xml:space="preserve"> </w:t>
      </w:r>
      <w:r w:rsidRPr="00221B87">
        <w:rPr>
          <w:rFonts w:hint="cs"/>
          <w:rtl/>
        </w:rPr>
        <w:t>הרלוונט</w:t>
      </w:r>
      <w:r w:rsidRPr="00221B87">
        <w:rPr>
          <w:rFonts w:hint="eastAsia"/>
          <w:rtl/>
        </w:rPr>
        <w:t>י</w:t>
      </w:r>
      <w:r w:rsidRPr="00B90A0B">
        <w:rPr>
          <w:rFonts w:hint="cs"/>
          <w:rtl/>
        </w:rPr>
        <w:t xml:space="preserve">ים ובמידת הצורך גם תבחן את כלי הרגולציה שבידה </w:t>
      </w:r>
      <w:r w:rsidRPr="00961BC0">
        <w:rPr>
          <w:rFonts w:hint="eastAsia"/>
          <w:rtl/>
        </w:rPr>
        <w:t>ו</w:t>
      </w:r>
      <w:r w:rsidRPr="008D7E9F">
        <w:rPr>
          <w:rFonts w:hint="eastAsia"/>
          <w:rtl/>
        </w:rPr>
        <w:t>את</w:t>
      </w:r>
      <w:r w:rsidRPr="008D7E9F">
        <w:rPr>
          <w:rFonts w:hint="cs"/>
          <w:rtl/>
        </w:rPr>
        <w:t xml:space="preserve"> </w:t>
      </w:r>
      <w:r w:rsidRPr="00E57DD9" w:rsidR="00E57DD9">
        <w:rPr>
          <w:rtl/>
        </w:rPr>
        <w:t>יכולתה</w:t>
      </w:r>
      <w:r w:rsidRPr="008D7E9F">
        <w:rPr>
          <w:rFonts w:hint="cs"/>
          <w:rtl/>
        </w:rPr>
        <w:t xml:space="preserve"> לסייע לפעולות שבסמכות גופי</w:t>
      </w:r>
      <w:r>
        <w:rPr>
          <w:rFonts w:hint="cs"/>
          <w:rtl/>
        </w:rPr>
        <w:t xml:space="preserve">ם אחרים. </w:t>
      </w:r>
    </w:p>
    <w:p w:rsidR="006734B0" w:rsidRPr="008D2DC1" w:rsidP="008D2DC1" w14:paraId="613D47E5" w14:textId="77777777">
      <w:pPr>
        <w:pStyle w:val="7310"/>
        <w:rPr>
          <w:rtl/>
        </w:rPr>
      </w:pPr>
      <w:r w:rsidRPr="008D2DC1">
        <w:rPr>
          <w:rFonts w:hint="cs"/>
          <w:rtl/>
        </w:rPr>
        <w:t xml:space="preserve">מוצע כי כלל הגופים הנוגעים בדבר, </w:t>
      </w:r>
      <w:r w:rsidRPr="008D2DC1">
        <w:rPr>
          <w:rFonts w:hint="eastAsia"/>
          <w:rtl/>
        </w:rPr>
        <w:t>ו</w:t>
      </w:r>
      <w:r w:rsidRPr="008D2DC1">
        <w:rPr>
          <w:rFonts w:hint="cs"/>
          <w:rtl/>
        </w:rPr>
        <w:t xml:space="preserve">בהם המשרד </w:t>
      </w:r>
      <w:r w:rsidRPr="008D2DC1">
        <w:rPr>
          <w:rFonts w:hint="cs"/>
          <w:rtl/>
        </w:rPr>
        <w:t>להג"ס</w:t>
      </w:r>
      <w:r w:rsidRPr="008D2DC1">
        <w:rPr>
          <w:rFonts w:hint="cs"/>
          <w:rtl/>
        </w:rPr>
        <w:t xml:space="preserve"> ורשות המים, יפעלו בהקדם במסגרת "שולחן עגול" לגיבוש פתרונות </w:t>
      </w:r>
      <w:r w:rsidRPr="008D2DC1">
        <w:rPr>
          <w:rFonts w:hint="eastAsia"/>
          <w:rtl/>
        </w:rPr>
        <w:t>של</w:t>
      </w:r>
      <w:r w:rsidRPr="008D2DC1">
        <w:rPr>
          <w:rtl/>
        </w:rPr>
        <w:t xml:space="preserve"> </w:t>
      </w:r>
      <w:r w:rsidRPr="008D2DC1">
        <w:rPr>
          <w:rFonts w:hint="eastAsia"/>
          <w:rtl/>
        </w:rPr>
        <w:t>סוגיית</w:t>
      </w:r>
      <w:r w:rsidRPr="008D2DC1">
        <w:rPr>
          <w:rFonts w:hint="cs"/>
          <w:rtl/>
        </w:rPr>
        <w:t xml:space="preserve"> דליפות המים מהבריכה התעשייתית של </w:t>
      </w:r>
      <w:r w:rsidRPr="008D2DC1">
        <w:rPr>
          <w:rFonts w:hint="cs"/>
          <w:rtl/>
        </w:rPr>
        <w:t>מי"ה</w:t>
      </w:r>
      <w:r w:rsidRPr="008D2DC1">
        <w:rPr>
          <w:rFonts w:hint="cs"/>
          <w:rtl/>
        </w:rPr>
        <w:t xml:space="preserve">. </w:t>
      </w:r>
    </w:p>
    <w:p w:rsidR="006734B0" w:rsidRPr="008D2DC1" w:rsidP="008D2DC1" w14:paraId="06FBFBF4" w14:textId="77777777">
      <w:pPr>
        <w:pStyle w:val="7310"/>
        <w:rPr>
          <w:rtl/>
        </w:rPr>
      </w:pPr>
      <w:r w:rsidRPr="008D2DC1">
        <w:rPr>
          <w:rFonts w:hint="cs"/>
          <w:rtl/>
        </w:rPr>
        <w:t>לדעת משרד מבקר המדינה</w:t>
      </w:r>
      <w:r w:rsidRPr="008D2DC1">
        <w:rPr>
          <w:rtl/>
        </w:rPr>
        <w:t>,</w:t>
      </w:r>
      <w:r w:rsidRPr="008D2DC1">
        <w:rPr>
          <w:rFonts w:hint="cs"/>
          <w:rtl/>
        </w:rPr>
        <w:t xml:space="preserve"> מן הראוי כי במסגרת </w:t>
      </w:r>
      <w:r w:rsidRPr="008D2DC1">
        <w:rPr>
          <w:rtl/>
        </w:rPr>
        <w:t>"</w:t>
      </w:r>
      <w:r w:rsidRPr="008D2DC1">
        <w:rPr>
          <w:rFonts w:hint="cs"/>
          <w:rtl/>
        </w:rPr>
        <w:t>השולחן העגול</w:t>
      </w:r>
      <w:r w:rsidRPr="008D2DC1">
        <w:rPr>
          <w:rtl/>
        </w:rPr>
        <w:t>"</w:t>
      </w:r>
      <w:r w:rsidRPr="008D2DC1">
        <w:rPr>
          <w:rFonts w:hint="cs"/>
          <w:rtl/>
        </w:rPr>
        <w:t xml:space="preserve"> תישקל האפשרות לבצע בחינה עצמאית לגבי השאלה של חזרת המים הדולפים מהבריכה אל האגן הצפוני, כך שההחלטות שיתקבלו לא יהיו מבוססות </w:t>
      </w:r>
      <w:r w:rsidRPr="008D2DC1">
        <w:rPr>
          <w:rFonts w:hint="eastAsia"/>
          <w:rtl/>
        </w:rPr>
        <w:t>רק</w:t>
      </w:r>
      <w:r w:rsidRPr="008D2DC1">
        <w:rPr>
          <w:rFonts w:hint="cs"/>
          <w:rtl/>
        </w:rPr>
        <w:t xml:space="preserve"> על מחקר שביצע הגוף המפוקח. ירידת מפלס ים המלח היא תופעה מדאיגה </w:t>
      </w:r>
      <w:r w:rsidRPr="008D2DC1">
        <w:rPr>
          <w:rFonts w:hint="eastAsia"/>
          <w:rtl/>
        </w:rPr>
        <w:t>בעלת</w:t>
      </w:r>
      <w:r w:rsidRPr="008D2DC1">
        <w:rPr>
          <w:rFonts w:hint="cs"/>
          <w:rtl/>
        </w:rPr>
        <w:t xml:space="preserve"> השפעות סביבתיות, חברתיות וכלכליות עצומות. לפיכך </w:t>
      </w:r>
      <w:r w:rsidRPr="008D2DC1">
        <w:rPr>
          <w:rtl/>
        </w:rPr>
        <w:t xml:space="preserve">קיימת </w:t>
      </w:r>
      <w:r w:rsidRPr="008D2DC1">
        <w:rPr>
          <w:rFonts w:hint="eastAsia"/>
          <w:rtl/>
        </w:rPr>
        <w:t>חשיבות</w:t>
      </w:r>
      <w:r w:rsidRPr="008D2DC1">
        <w:rPr>
          <w:rtl/>
        </w:rPr>
        <w:t xml:space="preserve"> </w:t>
      </w:r>
      <w:r w:rsidRPr="008D2DC1">
        <w:rPr>
          <w:rFonts w:hint="eastAsia"/>
          <w:rtl/>
        </w:rPr>
        <w:t>ציבורית</w:t>
      </w:r>
      <w:r w:rsidRPr="008D2DC1">
        <w:rPr>
          <w:rFonts w:hint="cs"/>
          <w:rtl/>
        </w:rPr>
        <w:t xml:space="preserve"> </w:t>
      </w:r>
      <w:r w:rsidRPr="008D2DC1">
        <w:rPr>
          <w:rFonts w:hint="eastAsia"/>
          <w:rtl/>
        </w:rPr>
        <w:t>לכך</w:t>
      </w:r>
      <w:r w:rsidRPr="008D2DC1">
        <w:rPr>
          <w:rtl/>
        </w:rPr>
        <w:t xml:space="preserve"> </w:t>
      </w:r>
      <w:r w:rsidRPr="008D2DC1">
        <w:rPr>
          <w:rFonts w:hint="eastAsia"/>
          <w:rtl/>
        </w:rPr>
        <w:t>ש</w:t>
      </w:r>
      <w:r w:rsidRPr="008D2DC1">
        <w:rPr>
          <w:rFonts w:hint="cs"/>
          <w:rtl/>
        </w:rPr>
        <w:t xml:space="preserve">אמירה </w:t>
      </w:r>
      <w:r w:rsidRPr="008D2DC1">
        <w:rPr>
          <w:rFonts w:hint="eastAsia"/>
          <w:rtl/>
        </w:rPr>
        <w:t>ו</w:t>
      </w:r>
      <w:r w:rsidRPr="008D2DC1">
        <w:rPr>
          <w:rFonts w:hint="cs"/>
          <w:rtl/>
        </w:rPr>
        <w:t xml:space="preserve">לפיה מאזן המים בים המלח לא נפגע מהדליפה תהיה מבוססת על מחקר עצמאי ובלתי תלוי. </w:t>
      </w:r>
    </w:p>
    <w:p w:rsidR="006734B0" w:rsidRPr="003A1F08" w:rsidP="008D2DC1" w14:paraId="0BFD785D" w14:textId="77777777">
      <w:pPr>
        <w:pStyle w:val="7317"/>
        <w:rPr>
          <w:rtl/>
        </w:rPr>
      </w:pPr>
      <w:r>
        <w:rPr>
          <w:rFonts w:hint="cs"/>
          <w:rtl/>
        </w:rPr>
        <w:t xml:space="preserve">רשות המים מסרה בתשובה משלימה למשרד מבקר המדינה כי ממצאי הבחינה ביחס לדליפת המים עומדים על בסיס מקצועי איתן וכי עריכת עבודת מחקר עצמאית מטעם רשות המים כרוכה בהוצאה כספית המוערכת בכמה מאות אלפי שקלים. </w:t>
      </w:r>
    </w:p>
    <w:p w:rsidR="006734B0" w:rsidP="008D2DC1" w14:paraId="15FF4E85" w14:textId="77777777">
      <w:pPr>
        <w:pStyle w:val="7310"/>
        <w:rPr>
          <w:rtl/>
        </w:rPr>
      </w:pPr>
      <w:r w:rsidRPr="005806C3">
        <w:rPr>
          <w:rFonts w:hint="eastAsia"/>
          <w:rtl/>
        </w:rPr>
        <w:t>בשולי</w:t>
      </w:r>
      <w:r w:rsidRPr="005806C3">
        <w:rPr>
          <w:rtl/>
        </w:rPr>
        <w:t xml:space="preserve"> הדברים </w:t>
      </w:r>
      <w:r w:rsidRPr="005806C3">
        <w:rPr>
          <w:rFonts w:hint="eastAsia"/>
          <w:rtl/>
        </w:rPr>
        <w:t>יצוין</w:t>
      </w:r>
      <w:r w:rsidRPr="005806C3">
        <w:rPr>
          <w:rtl/>
        </w:rPr>
        <w:t xml:space="preserve"> כי במסגרת המלצות </w:t>
      </w:r>
      <w:r w:rsidRPr="005806C3">
        <w:rPr>
          <w:rFonts w:hint="eastAsia"/>
          <w:rtl/>
        </w:rPr>
        <w:t>הצוות</w:t>
      </w:r>
      <w:r>
        <w:rPr>
          <w:rFonts w:hint="cs"/>
          <w:rtl/>
        </w:rPr>
        <w:t xml:space="preserve"> הבין-משרדי</w:t>
      </w:r>
      <w:r w:rsidRPr="005806C3">
        <w:rPr>
          <w:rtl/>
        </w:rPr>
        <w:t xml:space="preserve"> ל</w:t>
      </w:r>
      <w:r>
        <w:rPr>
          <w:rFonts w:hint="cs"/>
          <w:rtl/>
        </w:rPr>
        <w:t xml:space="preserve">היערכות לתום תקופת הזיכיון </w:t>
      </w:r>
      <w:r w:rsidRPr="005806C3">
        <w:rPr>
          <w:rFonts w:hint="eastAsia"/>
          <w:rtl/>
        </w:rPr>
        <w:t>כלולה</w:t>
      </w:r>
      <w:r w:rsidRPr="005806C3">
        <w:rPr>
          <w:rtl/>
        </w:rPr>
        <w:t xml:space="preserve"> המלצה </w:t>
      </w:r>
      <w:r w:rsidRPr="005806C3">
        <w:rPr>
          <w:rFonts w:hint="eastAsia"/>
          <w:rtl/>
        </w:rPr>
        <w:t>לקבוע</w:t>
      </w:r>
      <w:r w:rsidRPr="005806C3">
        <w:rPr>
          <w:rtl/>
        </w:rPr>
        <w:t xml:space="preserve"> </w:t>
      </w:r>
      <w:r>
        <w:rPr>
          <w:rFonts w:hint="cs"/>
          <w:rtl/>
        </w:rPr>
        <w:t xml:space="preserve">בזיכיון העתידי </w:t>
      </w:r>
      <w:r w:rsidRPr="005806C3">
        <w:rPr>
          <w:rtl/>
        </w:rPr>
        <w:t xml:space="preserve">תשלום על שאיבת מי ים המלח, </w:t>
      </w:r>
      <w:r w:rsidRPr="005806C3">
        <w:rPr>
          <w:rFonts w:hint="eastAsia"/>
          <w:rtl/>
        </w:rPr>
        <w:t>כדי</w:t>
      </w:r>
      <w:r w:rsidRPr="005806C3">
        <w:rPr>
          <w:rtl/>
        </w:rPr>
        <w:t xml:space="preserve"> לבטא את העלויות הסביבתיות הכרוכות בשימוש במים וכ</w:t>
      </w:r>
      <w:r w:rsidRPr="005806C3">
        <w:rPr>
          <w:rFonts w:hint="eastAsia"/>
          <w:rtl/>
        </w:rPr>
        <w:t>די</w:t>
      </w:r>
      <w:r w:rsidRPr="005806C3">
        <w:rPr>
          <w:rtl/>
        </w:rPr>
        <w:t xml:space="preserve"> לתמרץ את הזכיין העתידי להתייעל באופן שבו הוא משתמש במי ים המלח. </w:t>
      </w:r>
    </w:p>
    <w:p w:rsidR="006734B0" w:rsidRPr="008D2DC1" w:rsidP="008D2DC1" w14:paraId="7E7409C5" w14:textId="77777777">
      <w:pPr>
        <w:pStyle w:val="7310"/>
        <w:rPr>
          <w:rtl/>
        </w:rPr>
      </w:pPr>
      <w:r w:rsidRPr="008D2DC1">
        <w:rPr>
          <w:rFonts w:hint="eastAsia"/>
          <w:rtl/>
        </w:rPr>
        <w:t>מתשובת</w:t>
      </w:r>
      <w:r w:rsidRPr="008D2DC1">
        <w:rPr>
          <w:rtl/>
        </w:rPr>
        <w:t xml:space="preserve"> רשות המים עולה כי גם הרשות סבורה כי הסדרה כלכלית של </w:t>
      </w:r>
      <w:r w:rsidRPr="008D2DC1">
        <w:rPr>
          <w:rFonts w:hint="eastAsia"/>
          <w:rtl/>
        </w:rPr>
        <w:t>ניצול</w:t>
      </w:r>
      <w:r w:rsidRPr="008D2DC1">
        <w:rPr>
          <w:rtl/>
        </w:rPr>
        <w:t xml:space="preserve"> המחצבים ממי ים המלח היא רצויה ותייצר תמריצים מתאימים לשימוש מושכל במשאב זה. </w:t>
      </w:r>
    </w:p>
    <w:p w:rsidR="006734B0" w:rsidP="008D2DC1" w14:paraId="764B402B" w14:textId="77777777">
      <w:pPr>
        <w:pStyle w:val="733155"/>
        <w:ind w:left="424" w:hanging="424"/>
        <w:rPr>
          <w:rtl/>
        </w:rPr>
      </w:pPr>
      <w:r>
        <w:rPr>
          <w:rFonts w:hint="cs"/>
          <w:rtl/>
        </w:rPr>
        <w:t>3. מידע לגבי תחנת הכוח החדשה במפעל האשלג</w:t>
      </w:r>
    </w:p>
    <w:p w:rsidR="006734B0" w:rsidRPr="008D2DC1" w:rsidP="008D2DC1" w14:paraId="3FE99AF8" w14:textId="785D3A93">
      <w:pPr>
        <w:pStyle w:val="7317"/>
        <w:rPr>
          <w:rtl/>
        </w:rPr>
      </w:pPr>
      <w:r w:rsidRPr="008D2DC1">
        <w:rPr>
          <w:rFonts w:hint="cs"/>
          <w:rtl/>
        </w:rPr>
        <w:t xml:space="preserve">כאמור, בשנת 2018 החלה לפעול </w:t>
      </w:r>
      <w:r w:rsidRPr="008D2DC1">
        <w:rPr>
          <w:rFonts w:hint="cs"/>
          <w:rtl/>
        </w:rPr>
        <w:t>במי"ה</w:t>
      </w:r>
      <w:r w:rsidRPr="008D2DC1">
        <w:rPr>
          <w:rFonts w:hint="cs"/>
          <w:rtl/>
        </w:rPr>
        <w:t xml:space="preserve"> תחנת כוח חדשה המייצרת </w:t>
      </w:r>
      <w:r w:rsidRPr="008D2DC1">
        <w:rPr>
          <w:rFonts w:hint="cs"/>
          <w:rtl/>
        </w:rPr>
        <w:t>אנרגייה</w:t>
      </w:r>
      <w:r w:rsidRPr="008D2DC1">
        <w:rPr>
          <w:rFonts w:hint="cs"/>
          <w:rtl/>
        </w:rPr>
        <w:t xml:space="preserve"> חשמלית </w:t>
      </w:r>
      <w:r w:rsidRPr="008D2DC1">
        <w:rPr>
          <w:rFonts w:hint="cs"/>
          <w:rtl/>
        </w:rPr>
        <w:t>ואנרגייה</w:t>
      </w:r>
      <w:r w:rsidRPr="008D2DC1">
        <w:rPr>
          <w:rFonts w:hint="cs"/>
          <w:rtl/>
        </w:rPr>
        <w:t xml:space="preserve"> תרמית, בשטח של כ-65,562 מ"ר. כפי שצוין בפרק "האסדרה והפיקוח על השימושים </w:t>
      </w:r>
      <w:r w:rsidRPr="008D2DC1">
        <w:rPr>
          <w:rFonts w:hint="cs"/>
          <w:rtl/>
        </w:rPr>
        <w:t>שמי"ה</w:t>
      </w:r>
      <w:r w:rsidRPr="008D2DC1">
        <w:rPr>
          <w:rFonts w:hint="cs"/>
          <w:rtl/>
        </w:rPr>
        <w:t xml:space="preserve"> מבצעת </w:t>
      </w:r>
      <w:r w:rsidRPr="00E57DD9" w:rsidR="00E57DD9">
        <w:rPr>
          <w:rtl/>
        </w:rPr>
        <w:t>בשטח</w:t>
      </w:r>
      <w:r w:rsidR="00E57DD9">
        <w:rPr>
          <w:rFonts w:hint="cs"/>
          <w:rtl/>
        </w:rPr>
        <w:t xml:space="preserve"> </w:t>
      </w:r>
      <w:r w:rsidRPr="008D2DC1">
        <w:rPr>
          <w:rFonts w:hint="cs"/>
          <w:rtl/>
        </w:rPr>
        <w:t xml:space="preserve">הזיכיון" </w:t>
      </w:r>
      <w:r w:rsidR="00FE4AA0">
        <w:rPr>
          <w:rFonts w:hint="cs"/>
          <w:rtl/>
        </w:rPr>
        <w:t xml:space="preserve">לעיל, </w:t>
      </w:r>
      <w:r w:rsidRPr="008D2DC1">
        <w:rPr>
          <w:rFonts w:hint="cs"/>
          <w:rtl/>
        </w:rPr>
        <w:t xml:space="preserve">קיימת מחלוקת בין </w:t>
      </w:r>
      <w:r w:rsidRPr="008D2DC1">
        <w:rPr>
          <w:rFonts w:hint="cs"/>
          <w:rtl/>
        </w:rPr>
        <w:t>רמ"י</w:t>
      </w:r>
      <w:r w:rsidRPr="008D2DC1">
        <w:rPr>
          <w:rFonts w:hint="cs"/>
          <w:rtl/>
        </w:rPr>
        <w:t xml:space="preserve"> לבין </w:t>
      </w:r>
      <w:r w:rsidRPr="008D2DC1">
        <w:rPr>
          <w:rFonts w:hint="cs"/>
          <w:rtl/>
        </w:rPr>
        <w:t>מי"ה</w:t>
      </w:r>
      <w:r w:rsidRPr="008D2DC1">
        <w:rPr>
          <w:rFonts w:hint="cs"/>
          <w:rtl/>
        </w:rPr>
        <w:t xml:space="preserve"> בנוגע לאופן שבו יש לחשב את השומה בגין תחנת הכוח, ובפרט בנוגע לשאלה האם העברה או מכירה של חשמל למפעלים אחרים בקונצרן </w:t>
      </w:r>
      <w:r w:rsidRPr="008D2DC1">
        <w:rPr>
          <w:rFonts w:hint="cs"/>
          <w:rtl/>
        </w:rPr>
        <w:t>כי"ל</w:t>
      </w:r>
      <w:r w:rsidRPr="008D2DC1">
        <w:rPr>
          <w:rFonts w:hint="cs"/>
          <w:rtl/>
        </w:rPr>
        <w:t xml:space="preserve"> הנמצאים במישור רותם נחשבת ייצור חשמל לצורך "שימוש עצמי". </w:t>
      </w:r>
    </w:p>
    <w:p w:rsidR="006734B0" w:rsidRPr="008D2DC1" w:rsidP="008D2DC1" w14:paraId="7FEB04EA" w14:textId="77777777">
      <w:pPr>
        <w:pStyle w:val="7317"/>
        <w:rPr>
          <w:rtl/>
        </w:rPr>
      </w:pPr>
      <w:r w:rsidRPr="008D2DC1">
        <w:rPr>
          <w:rFonts w:hint="cs"/>
          <w:rtl/>
        </w:rPr>
        <w:t xml:space="preserve">במסגרת הדיונים </w:t>
      </w:r>
      <w:r w:rsidRPr="008D2DC1">
        <w:rPr>
          <w:rFonts w:hint="cs"/>
          <w:rtl/>
        </w:rPr>
        <w:t>שרמ"י</w:t>
      </w:r>
      <w:r w:rsidRPr="008D2DC1">
        <w:rPr>
          <w:rFonts w:hint="cs"/>
          <w:rtl/>
        </w:rPr>
        <w:t xml:space="preserve"> קיימה עם </w:t>
      </w:r>
      <w:r w:rsidRPr="008D2DC1">
        <w:rPr>
          <w:rFonts w:hint="cs"/>
          <w:rtl/>
        </w:rPr>
        <w:t>מי"ה</w:t>
      </w:r>
      <w:r w:rsidRPr="008D2DC1">
        <w:rPr>
          <w:rFonts w:hint="cs"/>
          <w:rtl/>
        </w:rPr>
        <w:t xml:space="preserve"> בנושא חישוב שווי השימוש בתחנת הכוח החדשה הציגה </w:t>
      </w:r>
      <w:r w:rsidRPr="008D2DC1">
        <w:rPr>
          <w:rFonts w:hint="cs"/>
          <w:rtl/>
        </w:rPr>
        <w:t>מי"ה</w:t>
      </w:r>
      <w:r w:rsidRPr="008D2DC1">
        <w:rPr>
          <w:rFonts w:hint="cs"/>
          <w:rtl/>
        </w:rPr>
        <w:t xml:space="preserve"> חוות דעת משפטית שבמסגרתה צוין בין השאר כי סוגיית מכירת החשמל לחברות אחרות בקונצרן </w:t>
      </w:r>
      <w:r w:rsidRPr="008D2DC1">
        <w:rPr>
          <w:rFonts w:hint="cs"/>
          <w:rtl/>
        </w:rPr>
        <w:t>כי"ל</w:t>
      </w:r>
      <w:r w:rsidRPr="008D2DC1">
        <w:rPr>
          <w:rFonts w:hint="cs"/>
          <w:rtl/>
        </w:rPr>
        <w:t xml:space="preserve"> נבחנה גם לצורך מיסוי בארנונה, והוסכם בין </w:t>
      </w:r>
      <w:r w:rsidRPr="008D2DC1">
        <w:rPr>
          <w:rFonts w:hint="cs"/>
          <w:rtl/>
        </w:rPr>
        <w:t>מי"ה</w:t>
      </w:r>
      <w:r w:rsidRPr="008D2DC1">
        <w:rPr>
          <w:rFonts w:hint="cs"/>
          <w:rtl/>
        </w:rPr>
        <w:t xml:space="preserve"> לבין המועצה האזורית תמר כי אספקת חשמל בתוך קונצרן </w:t>
      </w:r>
      <w:r w:rsidRPr="008D2DC1">
        <w:rPr>
          <w:rFonts w:hint="cs"/>
          <w:rtl/>
        </w:rPr>
        <w:t>כי"ל</w:t>
      </w:r>
      <w:r w:rsidRPr="008D2DC1">
        <w:rPr>
          <w:rFonts w:hint="cs"/>
          <w:rtl/>
        </w:rPr>
        <w:t xml:space="preserve">, גם מחוץ לשטח הזיכיון, נחשבת כצריכה פנימית. </w:t>
      </w:r>
    </w:p>
    <w:p w:rsidR="006734B0" w:rsidRPr="008D2DC1" w:rsidP="008D2DC1" w14:paraId="762889A1" w14:textId="77777777">
      <w:pPr>
        <w:pStyle w:val="7317"/>
        <w:rPr>
          <w:rtl/>
        </w:rPr>
      </w:pPr>
      <w:r w:rsidRPr="008D2DC1">
        <w:rPr>
          <w:rFonts w:hint="cs"/>
          <w:rtl/>
        </w:rPr>
        <w:t xml:space="preserve">מנגד, במהלך הביקורת מסרה המועצה האזורית תמר לצוות הביקורת כי לגבי החשמל שמיוצר בתחנת הכוח החדשה שלא לצורכי מפעלי ים המלח בסדום, המועצה גובה ארנונה גבוהה יותר מהארנונה שהיא גובה עבור החלק שבו מפעלים אלה משתמשים לצרכיהם. </w:t>
      </w:r>
    </w:p>
    <w:p w:rsidR="006734B0" w:rsidRPr="009A0116" w:rsidP="008D2DC1" w14:paraId="0C34D2D0" w14:textId="4E19055E">
      <w:pPr>
        <w:pStyle w:val="7310"/>
        <w:rPr>
          <w:rtl/>
        </w:rPr>
      </w:pPr>
      <w:r w:rsidRPr="009A0116">
        <w:rPr>
          <w:rFonts w:hint="eastAsia"/>
          <w:rtl/>
        </w:rPr>
        <w:t>בביקורת</w:t>
      </w:r>
      <w:r w:rsidRPr="009A0116">
        <w:rPr>
          <w:rtl/>
        </w:rPr>
        <w:t xml:space="preserve"> עלה כי </w:t>
      </w:r>
      <w:r w:rsidRPr="009A0116">
        <w:rPr>
          <w:rtl/>
        </w:rPr>
        <w:t>רמ"י</w:t>
      </w:r>
      <w:r w:rsidRPr="009A0116">
        <w:rPr>
          <w:rtl/>
        </w:rPr>
        <w:t xml:space="preserve"> לא בדקה מול המועצה האזורית תמר את המידע שמסרה לה </w:t>
      </w:r>
      <w:r w:rsidRPr="009A0116">
        <w:rPr>
          <w:rtl/>
        </w:rPr>
        <w:t>מי"ה</w:t>
      </w:r>
      <w:r w:rsidRPr="009A0116">
        <w:rPr>
          <w:rtl/>
        </w:rPr>
        <w:t xml:space="preserve"> בנוגע לאופן שבו המועצה גובה ממנה ארנונה בגין תחנת הכוח החדשה. כפי שצוין בפרק העוסק באסדרה ובפיקוח של </w:t>
      </w:r>
      <w:r w:rsidRPr="009A0116">
        <w:rPr>
          <w:rtl/>
        </w:rPr>
        <w:t>רמ"י</w:t>
      </w:r>
      <w:r w:rsidRPr="009A0116">
        <w:rPr>
          <w:rtl/>
        </w:rPr>
        <w:t xml:space="preserve"> על השימושים </w:t>
      </w:r>
      <w:r w:rsidRPr="009A0116">
        <w:rPr>
          <w:rFonts w:hint="eastAsia"/>
          <w:rtl/>
        </w:rPr>
        <w:t>שמי</w:t>
      </w:r>
      <w:r w:rsidRPr="009A0116">
        <w:rPr>
          <w:rtl/>
        </w:rPr>
        <w:t>"ה</w:t>
      </w:r>
      <w:r w:rsidRPr="009A0116">
        <w:rPr>
          <w:rtl/>
        </w:rPr>
        <w:t xml:space="preserve"> מבצעת </w:t>
      </w:r>
      <w:r w:rsidRPr="00E57DD9" w:rsidR="00E57DD9">
        <w:rPr>
          <w:rtl/>
        </w:rPr>
        <w:t>בשטח</w:t>
      </w:r>
      <w:r w:rsidR="00E57DD9">
        <w:rPr>
          <w:rFonts w:hint="cs"/>
          <w:rtl/>
        </w:rPr>
        <w:t xml:space="preserve"> </w:t>
      </w:r>
      <w:r w:rsidRPr="009A0116">
        <w:rPr>
          <w:rtl/>
        </w:rPr>
        <w:t xml:space="preserve">הזיכיון, </w:t>
      </w:r>
      <w:r w:rsidRPr="009A0116">
        <w:rPr>
          <w:rtl/>
        </w:rPr>
        <w:t>רמ"י</w:t>
      </w:r>
      <w:r w:rsidRPr="009A0116">
        <w:rPr>
          <w:rtl/>
        </w:rPr>
        <w:t xml:space="preserve"> טרם הסדירה את התשלום בגין תחנת הכוח החדשה. ואולם, יוצא אפוא שמידע שמסרה </w:t>
      </w:r>
      <w:r w:rsidRPr="009A0116">
        <w:rPr>
          <w:rtl/>
        </w:rPr>
        <w:t>מי"ה</w:t>
      </w:r>
      <w:r w:rsidRPr="009A0116">
        <w:rPr>
          <w:rtl/>
        </w:rPr>
        <w:t xml:space="preserve"> במסגרת דיון </w:t>
      </w:r>
      <w:r w:rsidRPr="009A0116">
        <w:rPr>
          <w:rFonts w:hint="eastAsia"/>
          <w:rtl/>
        </w:rPr>
        <w:t>עם</w:t>
      </w:r>
      <w:r w:rsidRPr="009A0116">
        <w:rPr>
          <w:rtl/>
        </w:rPr>
        <w:t xml:space="preserve"> </w:t>
      </w:r>
      <w:r w:rsidRPr="009A0116">
        <w:rPr>
          <w:rtl/>
        </w:rPr>
        <w:t>רמ"י</w:t>
      </w:r>
      <w:r w:rsidRPr="009A0116">
        <w:rPr>
          <w:rtl/>
        </w:rPr>
        <w:t xml:space="preserve"> על ההסדר מול המועצה האזורית תמר, ואשר המועצה האזורית תמר טוענת כי אינו מדויק - לא נבחן. מדובר במידע חשוב לגבי אופן סיווג מכירת החשמל למפעלים אחרים בקונצרן, שיש בו כדי להשפיע על קבלת ההחלטות של </w:t>
      </w:r>
      <w:r w:rsidRPr="009A0116">
        <w:rPr>
          <w:rtl/>
        </w:rPr>
        <w:t>רמ"י</w:t>
      </w:r>
      <w:r w:rsidRPr="009A0116">
        <w:rPr>
          <w:rtl/>
        </w:rPr>
        <w:t xml:space="preserve"> לגבי </w:t>
      </w:r>
      <w:r w:rsidRPr="009A0116">
        <w:rPr>
          <w:rFonts w:hint="eastAsia"/>
          <w:rtl/>
        </w:rPr>
        <w:t>התשלום</w:t>
      </w:r>
      <w:r w:rsidRPr="009A0116">
        <w:rPr>
          <w:rtl/>
        </w:rPr>
        <w:t xml:space="preserve"> </w:t>
      </w:r>
      <w:r w:rsidRPr="009A0116">
        <w:rPr>
          <w:rFonts w:hint="eastAsia"/>
          <w:rtl/>
        </w:rPr>
        <w:t>שייגבה</w:t>
      </w:r>
      <w:r w:rsidRPr="009A0116">
        <w:rPr>
          <w:rtl/>
        </w:rPr>
        <w:t xml:space="preserve"> </w:t>
      </w:r>
      <w:r w:rsidRPr="009A0116">
        <w:rPr>
          <w:rFonts w:hint="eastAsia"/>
          <w:rtl/>
        </w:rPr>
        <w:t>מ</w:t>
      </w:r>
      <w:r w:rsidRPr="009A0116">
        <w:rPr>
          <w:rtl/>
        </w:rPr>
        <w:t>מי"ה</w:t>
      </w:r>
      <w:r w:rsidRPr="009A0116">
        <w:rPr>
          <w:rtl/>
        </w:rPr>
        <w:t xml:space="preserve"> בגין תחנת הכוח החדשה. </w:t>
      </w:r>
    </w:p>
    <w:p w:rsidR="006734B0" w:rsidP="008D2DC1" w14:paraId="618829A3" w14:textId="77777777">
      <w:pPr>
        <w:pStyle w:val="7317"/>
        <w:rPr>
          <w:rtl/>
        </w:rPr>
      </w:pPr>
      <w:r w:rsidRPr="008D2DC1">
        <w:rPr>
          <w:rFonts w:hint="cs"/>
          <w:rtl/>
        </w:rPr>
        <w:t>מי"ה</w:t>
      </w:r>
      <w:r w:rsidRPr="008D2DC1">
        <w:rPr>
          <w:rFonts w:hint="cs"/>
          <w:rtl/>
        </w:rPr>
        <w:t xml:space="preserve"> מסרה בתשובתה למשרד מבקר המדינה כי אופן הצגת הדברים על ידה </w:t>
      </w:r>
      <w:r w:rsidRPr="008D2DC1">
        <w:rPr>
          <w:rFonts w:hint="cs"/>
          <w:rtl/>
        </w:rPr>
        <w:t>לרמ"י</w:t>
      </w:r>
      <w:r w:rsidRPr="008D2DC1">
        <w:rPr>
          <w:rFonts w:hint="cs"/>
          <w:rtl/>
        </w:rPr>
        <w:t xml:space="preserve"> הוא נכון ותואם במדויק את ההסכם בין </w:t>
      </w:r>
      <w:r w:rsidRPr="008D2DC1">
        <w:rPr>
          <w:rFonts w:hint="cs"/>
          <w:rtl/>
        </w:rPr>
        <w:t>מי"ה</w:t>
      </w:r>
      <w:r w:rsidRPr="008D2DC1">
        <w:rPr>
          <w:rFonts w:hint="cs"/>
          <w:rtl/>
        </w:rPr>
        <w:t xml:space="preserve"> לבין המועצה האזורית תמר, </w:t>
      </w:r>
      <w:r w:rsidRPr="008D2DC1">
        <w:rPr>
          <w:rFonts w:hint="eastAsia"/>
          <w:rtl/>
        </w:rPr>
        <w:t>ש</w:t>
      </w:r>
      <w:r w:rsidRPr="008D2DC1">
        <w:rPr>
          <w:rFonts w:hint="cs"/>
          <w:rtl/>
        </w:rPr>
        <w:t xml:space="preserve">לפיו כל אספקה למפעלי </w:t>
      </w:r>
      <w:r w:rsidRPr="008D2DC1">
        <w:rPr>
          <w:rFonts w:hint="cs"/>
          <w:rtl/>
        </w:rPr>
        <w:t>כי"ל</w:t>
      </w:r>
      <w:r w:rsidRPr="008D2DC1">
        <w:rPr>
          <w:rFonts w:hint="cs"/>
          <w:rtl/>
        </w:rPr>
        <w:t xml:space="preserve"> נחשבת צריכה פנימית, וברור ש"מפעלי </w:t>
      </w:r>
      <w:r w:rsidRPr="008D2DC1">
        <w:rPr>
          <w:rFonts w:hint="cs"/>
          <w:rtl/>
        </w:rPr>
        <w:t>כי"ל</w:t>
      </w:r>
      <w:r w:rsidRPr="008D2DC1">
        <w:rPr>
          <w:rFonts w:hint="cs"/>
          <w:rtl/>
        </w:rPr>
        <w:t xml:space="preserve">" כוללים גם מפעלים של הקונצרן מחוץ לשטח סדום; עוד מסרה </w:t>
      </w:r>
      <w:r w:rsidRPr="008D2DC1">
        <w:rPr>
          <w:rFonts w:hint="cs"/>
          <w:rtl/>
        </w:rPr>
        <w:t>מי"ה</w:t>
      </w:r>
      <w:r w:rsidRPr="008D2DC1">
        <w:rPr>
          <w:rFonts w:hint="cs"/>
          <w:rtl/>
        </w:rPr>
        <w:t xml:space="preserve"> כי תשלום הארנונה נעשה בפועל על פי דיווחים שמציגה </w:t>
      </w:r>
      <w:r w:rsidRPr="008D2DC1">
        <w:rPr>
          <w:rFonts w:hint="cs"/>
          <w:rtl/>
        </w:rPr>
        <w:t>מי"ה</w:t>
      </w:r>
      <w:r w:rsidRPr="008D2DC1">
        <w:rPr>
          <w:rFonts w:hint="cs"/>
          <w:rtl/>
        </w:rPr>
        <w:t xml:space="preserve"> למועצה האזורית תמר</w:t>
      </w:r>
      <w:r w:rsidRPr="008D2DC1">
        <w:rPr>
          <w:rtl/>
        </w:rPr>
        <w:t>,</w:t>
      </w:r>
      <w:r w:rsidRPr="008D2DC1">
        <w:rPr>
          <w:rFonts w:hint="cs"/>
          <w:rtl/>
        </w:rPr>
        <w:t xml:space="preserve"> וכי היקף הצריכה החיצונית לצורך דיווחים אלה כלל תמיד רק צדדים שלישיים מחוץ לקונצרן </w:t>
      </w:r>
      <w:r w:rsidRPr="008D2DC1">
        <w:rPr>
          <w:rFonts w:hint="cs"/>
          <w:rtl/>
        </w:rPr>
        <w:t>כי"ל</w:t>
      </w:r>
      <w:r w:rsidRPr="008D2DC1">
        <w:rPr>
          <w:rFonts w:hint="cs"/>
          <w:rtl/>
        </w:rPr>
        <w:t xml:space="preserve">. </w:t>
      </w:r>
    </w:p>
    <w:p w:rsidR="00E57DD9" w:rsidRPr="008D2DC1" w:rsidP="008D2DC1" w14:paraId="2DE6F263" w14:textId="77777777">
      <w:pPr>
        <w:pStyle w:val="7317"/>
        <w:rPr>
          <w:rtl/>
        </w:rPr>
      </w:pPr>
    </w:p>
    <w:p w:rsidR="006734B0" w:rsidRPr="008D2DC1" w:rsidP="008D2DC1" w14:paraId="32B276DA" w14:textId="77777777">
      <w:pPr>
        <w:pStyle w:val="7321"/>
        <w:rPr>
          <w:rtl/>
        </w:rPr>
      </w:pPr>
      <w:r w:rsidRPr="008D2DC1">
        <w:rPr>
          <w:rFonts w:hint="cs"/>
          <w:rtl/>
        </w:rPr>
        <w:t>✰</w:t>
      </w:r>
    </w:p>
    <w:p w:rsidR="006734B0" w:rsidRPr="008D2DC1" w:rsidP="008D2DC1" w14:paraId="03865A6C" w14:textId="0DDF2F10">
      <w:pPr>
        <w:pStyle w:val="7318"/>
        <w:rPr>
          <w:rtl/>
        </w:rPr>
      </w:pPr>
      <w:r w:rsidRPr="008D2DC1">
        <w:rPr>
          <w:rFonts w:hint="cs"/>
          <w:rtl/>
        </w:rPr>
        <w:t xml:space="preserve">חוק הזיכיון העניק </w:t>
      </w:r>
      <w:r w:rsidRPr="008D2DC1">
        <w:rPr>
          <w:rFonts w:hint="cs"/>
          <w:rtl/>
        </w:rPr>
        <w:t>למי"ה</w:t>
      </w:r>
      <w:r w:rsidRPr="008D2DC1">
        <w:rPr>
          <w:rFonts w:hint="cs"/>
          <w:rtl/>
        </w:rPr>
        <w:t xml:space="preserve">, שהיא גורם עסקי, זכויות ייחודיות לפעול בתחום שטח נרחב לצורך השאת רווחיה, תוך קביעת משטר תשלום תמלוגים למדינה. ממצאי הביקורת מעידים על פערי מידע משמעותיים בין הגורמים </w:t>
      </w:r>
      <w:r w:rsidRPr="008D2DC1">
        <w:rPr>
          <w:rFonts w:hint="cs"/>
          <w:rtl/>
        </w:rPr>
        <w:t>המאסדרים</w:t>
      </w:r>
      <w:r w:rsidRPr="008D2DC1">
        <w:rPr>
          <w:rFonts w:hint="cs"/>
          <w:rtl/>
        </w:rPr>
        <w:t xml:space="preserve"> השונים ובהם המשרד </w:t>
      </w:r>
      <w:r w:rsidRPr="008D2DC1">
        <w:rPr>
          <w:rFonts w:hint="cs"/>
          <w:rtl/>
        </w:rPr>
        <w:t>להג"ס</w:t>
      </w:r>
      <w:r w:rsidRPr="008D2DC1">
        <w:rPr>
          <w:rFonts w:hint="cs"/>
          <w:rtl/>
        </w:rPr>
        <w:t xml:space="preserve">, משרד </w:t>
      </w:r>
      <w:r w:rsidRPr="008D2DC1">
        <w:rPr>
          <w:rFonts w:hint="cs"/>
          <w:rtl/>
        </w:rPr>
        <w:t>האנרגייה</w:t>
      </w:r>
      <w:r w:rsidRPr="008D2DC1">
        <w:rPr>
          <w:rFonts w:hint="cs"/>
          <w:rtl/>
        </w:rPr>
        <w:t xml:space="preserve">, המועצה האזורית תמר </w:t>
      </w:r>
      <w:r w:rsidRPr="008D2DC1">
        <w:rPr>
          <w:rFonts w:hint="cs"/>
          <w:rtl/>
        </w:rPr>
        <w:t>ורמ"י</w:t>
      </w:r>
      <w:r w:rsidRPr="008D2DC1">
        <w:rPr>
          <w:rFonts w:hint="cs"/>
          <w:rtl/>
        </w:rPr>
        <w:t xml:space="preserve">, לגבי פעילות </w:t>
      </w:r>
      <w:r w:rsidRPr="008D2DC1">
        <w:rPr>
          <w:rFonts w:hint="cs"/>
          <w:rtl/>
        </w:rPr>
        <w:t>מי"ה</w:t>
      </w:r>
      <w:r w:rsidRPr="008D2DC1">
        <w:rPr>
          <w:rFonts w:hint="cs"/>
          <w:rtl/>
        </w:rPr>
        <w:t xml:space="preserve"> בתחום הזיכיון ועל היעדר תיאום בנושאים משותפים או משיקים </w:t>
      </w:r>
      <w:bookmarkStart w:id="61" w:name="_Hlk191205674"/>
      <w:r w:rsidRPr="008D2DC1">
        <w:rPr>
          <w:rFonts w:hint="cs"/>
          <w:rtl/>
        </w:rPr>
        <w:t xml:space="preserve">המחייבים שיתוף פעולה </w:t>
      </w:r>
      <w:r w:rsidRPr="008D2DC1">
        <w:rPr>
          <w:rFonts w:hint="eastAsia"/>
          <w:rtl/>
        </w:rPr>
        <w:t>ובחינה</w:t>
      </w:r>
      <w:r w:rsidRPr="008D2DC1">
        <w:rPr>
          <w:rtl/>
        </w:rPr>
        <w:t xml:space="preserve"> </w:t>
      </w:r>
      <w:r w:rsidRPr="008D2DC1">
        <w:rPr>
          <w:rFonts w:hint="eastAsia"/>
          <w:rtl/>
        </w:rPr>
        <w:t>כוללת</w:t>
      </w:r>
      <w:r w:rsidRPr="008D2DC1">
        <w:rPr>
          <w:rtl/>
        </w:rPr>
        <w:t xml:space="preserve"> </w:t>
      </w:r>
      <w:r w:rsidRPr="008D2DC1">
        <w:rPr>
          <w:rFonts w:hint="eastAsia"/>
          <w:rtl/>
        </w:rPr>
        <w:t>של</w:t>
      </w:r>
      <w:r w:rsidRPr="008D2DC1">
        <w:rPr>
          <w:rtl/>
        </w:rPr>
        <w:t xml:space="preserve"> </w:t>
      </w:r>
      <w:r w:rsidRPr="008D2DC1">
        <w:rPr>
          <w:rFonts w:hint="eastAsia"/>
          <w:rtl/>
        </w:rPr>
        <w:t>כמה</w:t>
      </w:r>
      <w:r w:rsidRPr="008D2DC1">
        <w:rPr>
          <w:rtl/>
        </w:rPr>
        <w:t xml:space="preserve"> </w:t>
      </w:r>
      <w:r w:rsidRPr="008D2DC1">
        <w:rPr>
          <w:rFonts w:hint="eastAsia"/>
          <w:rtl/>
        </w:rPr>
        <w:t>מאסדרים</w:t>
      </w:r>
      <w:r w:rsidRPr="008D2DC1">
        <w:rPr>
          <w:rtl/>
        </w:rPr>
        <w:t xml:space="preserve"> יחדיו</w:t>
      </w:r>
      <w:bookmarkEnd w:id="61"/>
      <w:r w:rsidRPr="008D2DC1">
        <w:rPr>
          <w:rtl/>
        </w:rPr>
        <w:t>.</w:t>
      </w:r>
      <w:r w:rsidRPr="008D2DC1">
        <w:rPr>
          <w:rFonts w:hint="cs"/>
          <w:rtl/>
        </w:rPr>
        <w:t xml:space="preserve"> פערים אלו הביאו לכך שלא אחת סמכויות שצריך היה לממש בתחום הזיכיון לא מומשו. כך לדוגמה, </w:t>
      </w:r>
      <w:r w:rsidRPr="008D2DC1">
        <w:rPr>
          <w:rFonts w:hint="cs"/>
          <w:rtl/>
        </w:rPr>
        <w:t>רמ"י</w:t>
      </w:r>
      <w:r w:rsidRPr="008D2DC1">
        <w:rPr>
          <w:rFonts w:hint="cs"/>
          <w:rtl/>
        </w:rPr>
        <w:t xml:space="preserve"> לא גבתה דמי חכירה, והמשרד </w:t>
      </w:r>
      <w:r w:rsidRPr="008D2DC1">
        <w:rPr>
          <w:rFonts w:hint="cs"/>
          <w:rtl/>
        </w:rPr>
        <w:t>להג"ס</w:t>
      </w:r>
      <w:r w:rsidRPr="008D2DC1">
        <w:rPr>
          <w:rFonts w:hint="cs"/>
          <w:rtl/>
        </w:rPr>
        <w:t xml:space="preserve"> לא קבע תנאים סביבתיים ברישיונות העסק של </w:t>
      </w:r>
      <w:r w:rsidRPr="008D2DC1">
        <w:rPr>
          <w:rFonts w:hint="cs"/>
          <w:rtl/>
        </w:rPr>
        <w:t>מי"ה</w:t>
      </w:r>
      <w:r w:rsidRPr="008D2DC1">
        <w:rPr>
          <w:rFonts w:hint="cs"/>
          <w:rtl/>
        </w:rPr>
        <w:t xml:space="preserve">, בזמן שמידע בנושא היה בידי המועצה האזורית תמר שאספה נתונים רלוונטיים ומיפתה את השטח; כמות מים משמעותית של כרבע מכמות המים </w:t>
      </w:r>
      <w:r w:rsidRPr="008D2DC1">
        <w:rPr>
          <w:rFonts w:hint="cs"/>
          <w:rtl/>
        </w:rPr>
        <w:t>שמי"ה</w:t>
      </w:r>
      <w:r w:rsidRPr="008D2DC1">
        <w:rPr>
          <w:rFonts w:hint="cs"/>
          <w:rtl/>
        </w:rPr>
        <w:t xml:space="preserve"> שואבת מים המלח דולפת מבריכת האידוי התעשייתית </w:t>
      </w:r>
      <w:r w:rsidRPr="008D2DC1">
        <w:rPr>
          <w:rFonts w:hint="eastAsia"/>
          <w:rtl/>
        </w:rPr>
        <w:t>ה</w:t>
      </w:r>
      <w:r w:rsidRPr="008D2DC1">
        <w:rPr>
          <w:rFonts w:hint="cs"/>
          <w:rtl/>
        </w:rPr>
        <w:t xml:space="preserve">גדולה </w:t>
      </w:r>
      <w:r w:rsidRPr="008D2DC1">
        <w:rPr>
          <w:rFonts w:hint="eastAsia"/>
          <w:rtl/>
        </w:rPr>
        <w:t>ביותר</w:t>
      </w:r>
      <w:r w:rsidRPr="008D2DC1">
        <w:rPr>
          <w:rFonts w:hint="cs"/>
          <w:rtl/>
        </w:rPr>
        <w:t xml:space="preserve"> שלה, דליפה </w:t>
      </w:r>
      <w:r w:rsidRPr="008D2DC1">
        <w:rPr>
          <w:rFonts w:hint="eastAsia"/>
          <w:rtl/>
        </w:rPr>
        <w:t>שיש</w:t>
      </w:r>
      <w:r w:rsidRPr="008D2DC1">
        <w:rPr>
          <w:rFonts w:hint="cs"/>
          <w:rtl/>
        </w:rPr>
        <w:t xml:space="preserve"> לה </w:t>
      </w:r>
      <w:r w:rsidRPr="008D2DC1">
        <w:rPr>
          <w:rFonts w:hint="eastAsia"/>
          <w:rtl/>
        </w:rPr>
        <w:t>השפעות</w:t>
      </w:r>
      <w:r w:rsidRPr="008D2DC1">
        <w:rPr>
          <w:rtl/>
        </w:rPr>
        <w:t xml:space="preserve"> </w:t>
      </w:r>
      <w:r w:rsidRPr="008D2DC1">
        <w:rPr>
          <w:rFonts w:hint="eastAsia"/>
          <w:rtl/>
        </w:rPr>
        <w:t>סביבתיות</w:t>
      </w:r>
      <w:r w:rsidRPr="008D2DC1">
        <w:rPr>
          <w:rtl/>
        </w:rPr>
        <w:t xml:space="preserve"> </w:t>
      </w:r>
      <w:r w:rsidRPr="008D2DC1">
        <w:rPr>
          <w:rFonts w:hint="cs"/>
          <w:rtl/>
        </w:rPr>
        <w:t xml:space="preserve">וכן עלולות להיות לה השפעות נוספות דוגמת שינוי פני השטח ופגיעה ביציבות ההנדסית של הבריכות, זאת בלי שהדבר נבחן באופן רוחבי על ידי כלל </w:t>
      </w:r>
      <w:r w:rsidRPr="008D2DC1">
        <w:rPr>
          <w:rFonts w:hint="cs"/>
          <w:rtl/>
        </w:rPr>
        <w:t>המאסדרים</w:t>
      </w:r>
      <w:r w:rsidRPr="008D2DC1">
        <w:rPr>
          <w:rFonts w:hint="cs"/>
          <w:rtl/>
        </w:rPr>
        <w:t xml:space="preserve"> הנוגעים בדבר, בלי שהמשרד </w:t>
      </w:r>
      <w:r w:rsidRPr="008D2DC1">
        <w:rPr>
          <w:rFonts w:hint="cs"/>
          <w:rtl/>
        </w:rPr>
        <w:t>להג"ס</w:t>
      </w:r>
      <w:r w:rsidRPr="008D2DC1">
        <w:rPr>
          <w:rFonts w:hint="cs"/>
          <w:rtl/>
        </w:rPr>
        <w:t xml:space="preserve"> פעל בנושא וקבע תנאים ברישיון עסק כדי למנוע או לצמצם דליפה זו, ותוך שרשות המים סבורה כי אין זה מתפקידה לנקוט פעולות בנושא; ומידע מהותי לגבי תחנת הכוח החדשה שהעבירה </w:t>
      </w:r>
      <w:r w:rsidRPr="008D2DC1">
        <w:rPr>
          <w:rFonts w:hint="cs"/>
          <w:rtl/>
        </w:rPr>
        <w:t>מי"ה</w:t>
      </w:r>
      <w:r w:rsidRPr="008D2DC1">
        <w:rPr>
          <w:rFonts w:hint="cs"/>
          <w:rtl/>
        </w:rPr>
        <w:t xml:space="preserve"> </w:t>
      </w:r>
      <w:r w:rsidRPr="008D2DC1">
        <w:rPr>
          <w:rFonts w:hint="cs"/>
          <w:rtl/>
        </w:rPr>
        <w:t>לרמ"י</w:t>
      </w:r>
      <w:r w:rsidRPr="008D2DC1">
        <w:rPr>
          <w:rFonts w:hint="cs"/>
          <w:rtl/>
        </w:rPr>
        <w:t xml:space="preserve"> </w:t>
      </w:r>
      <w:r w:rsidRPr="00E57DD9" w:rsidR="00E57DD9">
        <w:rPr>
          <w:rtl/>
        </w:rPr>
        <w:t>ביחס להסדר אליו הגיעה עם</w:t>
      </w:r>
      <w:r w:rsidRPr="008D2DC1">
        <w:rPr>
          <w:rFonts w:hint="cs"/>
          <w:rtl/>
        </w:rPr>
        <w:t xml:space="preserve"> המועצה האזורית תמר </w:t>
      </w:r>
      <w:r w:rsidRPr="008D2DC1">
        <w:rPr>
          <w:rtl/>
        </w:rPr>
        <w:t>ואשר המועצה האזורית תמר טוענת כי אינו מדויק</w:t>
      </w:r>
      <w:r w:rsidRPr="008D2DC1">
        <w:rPr>
          <w:rFonts w:hint="cs"/>
          <w:rtl/>
        </w:rPr>
        <w:t xml:space="preserve"> -</w:t>
      </w:r>
      <w:r w:rsidRPr="008D2DC1">
        <w:rPr>
          <w:rtl/>
        </w:rPr>
        <w:t xml:space="preserve"> לא נבחן</w:t>
      </w:r>
      <w:r w:rsidRPr="008D2DC1">
        <w:rPr>
          <w:rFonts w:hint="cs"/>
          <w:rtl/>
        </w:rPr>
        <w:t>. מדובר במידע חשוב לגבי סיווג מכירת החשמל ע</w:t>
      </w:r>
      <w:r w:rsidR="00382C24">
        <w:rPr>
          <w:rFonts w:hint="cs"/>
          <w:rtl/>
        </w:rPr>
        <w:t>ל ידי</w:t>
      </w:r>
      <w:r w:rsidRPr="008D2DC1">
        <w:rPr>
          <w:rFonts w:hint="cs"/>
          <w:rtl/>
        </w:rPr>
        <w:t xml:space="preserve"> </w:t>
      </w:r>
      <w:r w:rsidRPr="008D2DC1">
        <w:rPr>
          <w:rFonts w:hint="cs"/>
          <w:rtl/>
        </w:rPr>
        <w:t>מי"ה</w:t>
      </w:r>
      <w:r w:rsidRPr="008D2DC1">
        <w:rPr>
          <w:rFonts w:hint="cs"/>
          <w:rtl/>
        </w:rPr>
        <w:t xml:space="preserve"> למפעלים אחרים בקונצרן כשימוש עצמי, שיש בו כדי </w:t>
      </w:r>
      <w:r w:rsidRPr="008D2DC1">
        <w:rPr>
          <w:rtl/>
        </w:rPr>
        <w:t xml:space="preserve">להשפיע על קבלת ההחלטות של </w:t>
      </w:r>
      <w:r w:rsidRPr="008D2DC1">
        <w:rPr>
          <w:rtl/>
        </w:rPr>
        <w:t>רמ"י</w:t>
      </w:r>
      <w:r w:rsidRPr="008D2DC1">
        <w:rPr>
          <w:rtl/>
        </w:rPr>
        <w:t xml:space="preserve"> לגבי </w:t>
      </w:r>
      <w:r w:rsidRPr="008D2DC1">
        <w:rPr>
          <w:rFonts w:hint="cs"/>
          <w:rtl/>
        </w:rPr>
        <w:t xml:space="preserve">היקף התשלום שייגבה </w:t>
      </w:r>
      <w:r w:rsidRPr="008D2DC1">
        <w:rPr>
          <w:rFonts w:hint="cs"/>
          <w:rtl/>
        </w:rPr>
        <w:t>מ</w:t>
      </w:r>
      <w:r w:rsidRPr="008D2DC1">
        <w:rPr>
          <w:rtl/>
        </w:rPr>
        <w:t>מי"ה</w:t>
      </w:r>
      <w:r w:rsidRPr="008D2DC1">
        <w:rPr>
          <w:rFonts w:hint="cs"/>
          <w:rtl/>
        </w:rPr>
        <w:t xml:space="preserve"> בגין השימוש בתחנת הכוח החדשה</w:t>
      </w:r>
      <w:r w:rsidRPr="008D2DC1">
        <w:rPr>
          <w:rtl/>
        </w:rPr>
        <w:t>.</w:t>
      </w:r>
      <w:r w:rsidRPr="008D2DC1">
        <w:rPr>
          <w:rFonts w:hint="cs"/>
          <w:rtl/>
        </w:rPr>
        <w:t xml:space="preserve"> כתוצאה מכל אלה נפגעה המשילות בתחום הזיכיון, וגורמים </w:t>
      </w:r>
      <w:r w:rsidRPr="008D2DC1">
        <w:rPr>
          <w:rFonts w:hint="cs"/>
          <w:rtl/>
        </w:rPr>
        <w:t>מאסדרים</w:t>
      </w:r>
      <w:r w:rsidRPr="008D2DC1">
        <w:rPr>
          <w:rFonts w:hint="cs"/>
          <w:rtl/>
        </w:rPr>
        <w:t xml:space="preserve"> שונים לא נקטו צעדים כדי להבטיח כי הפעילות הפרטית שמבצעת </w:t>
      </w:r>
      <w:r w:rsidRPr="008D2DC1">
        <w:rPr>
          <w:rFonts w:hint="cs"/>
          <w:rtl/>
        </w:rPr>
        <w:t>מי"ה</w:t>
      </w:r>
      <w:r w:rsidRPr="008D2DC1">
        <w:rPr>
          <w:rFonts w:hint="cs"/>
          <w:rtl/>
        </w:rPr>
        <w:t xml:space="preserve"> לא תפגע באינטרסים ציבוריים חיוניים, ובהם שמירה על הסביבה. </w:t>
      </w:r>
    </w:p>
    <w:p w:rsidR="006734B0" w:rsidRPr="008D2DC1" w:rsidP="008D2DC1" w14:paraId="544790D0" w14:textId="77777777">
      <w:pPr>
        <w:pStyle w:val="7318"/>
        <w:rPr>
          <w:rtl/>
        </w:rPr>
      </w:pPr>
      <w:r w:rsidRPr="008D2DC1">
        <w:rPr>
          <w:rFonts w:hint="eastAsia"/>
          <w:rtl/>
        </w:rPr>
        <w:t>יצוין</w:t>
      </w:r>
      <w:r w:rsidRPr="008D2DC1">
        <w:rPr>
          <w:rtl/>
        </w:rPr>
        <w:t xml:space="preserve"> כי </w:t>
      </w:r>
      <w:r w:rsidRPr="008D2DC1">
        <w:rPr>
          <w:rFonts w:hint="eastAsia"/>
          <w:rtl/>
        </w:rPr>
        <w:t>בטיוטת</w:t>
      </w:r>
      <w:r w:rsidRPr="008D2DC1">
        <w:rPr>
          <w:rtl/>
        </w:rPr>
        <w:t xml:space="preserve"> מסקנות הצוות </w:t>
      </w:r>
      <w:r w:rsidRPr="008D2DC1">
        <w:rPr>
          <w:rFonts w:hint="eastAsia"/>
          <w:rtl/>
        </w:rPr>
        <w:t>הבין</w:t>
      </w:r>
      <w:r w:rsidRPr="008D2DC1">
        <w:rPr>
          <w:rtl/>
        </w:rPr>
        <w:t>-</w:t>
      </w:r>
      <w:r w:rsidRPr="008D2DC1">
        <w:rPr>
          <w:rFonts w:hint="eastAsia"/>
          <w:rtl/>
        </w:rPr>
        <w:t>משרדי</w:t>
      </w:r>
      <w:r w:rsidRPr="008D2DC1">
        <w:rPr>
          <w:rtl/>
        </w:rPr>
        <w:t xml:space="preserve"> </w:t>
      </w:r>
      <w:r w:rsidRPr="008D2DC1">
        <w:rPr>
          <w:rFonts w:hint="eastAsia"/>
          <w:rtl/>
        </w:rPr>
        <w:t>להיערכות</w:t>
      </w:r>
      <w:r w:rsidRPr="008D2DC1">
        <w:rPr>
          <w:rtl/>
        </w:rPr>
        <w:t xml:space="preserve"> </w:t>
      </w:r>
      <w:r w:rsidRPr="008D2DC1">
        <w:rPr>
          <w:rFonts w:hint="eastAsia"/>
          <w:rtl/>
        </w:rPr>
        <w:t>לתום</w:t>
      </w:r>
      <w:r w:rsidRPr="008D2DC1">
        <w:rPr>
          <w:rtl/>
        </w:rPr>
        <w:t xml:space="preserve"> </w:t>
      </w:r>
      <w:r w:rsidRPr="008D2DC1">
        <w:rPr>
          <w:rFonts w:hint="eastAsia"/>
          <w:rtl/>
        </w:rPr>
        <w:t>תקופת</w:t>
      </w:r>
      <w:r w:rsidRPr="008D2DC1">
        <w:rPr>
          <w:rtl/>
        </w:rPr>
        <w:t xml:space="preserve"> הזיכיון, שפורסמה לאחר שליחת טיוטת הביקורת למשרד האוצר ולמשרד </w:t>
      </w:r>
      <w:r w:rsidRPr="008D2DC1">
        <w:rPr>
          <w:rtl/>
        </w:rPr>
        <w:t>להג"ס</w:t>
      </w:r>
      <w:r w:rsidRPr="008D2DC1">
        <w:rPr>
          <w:rtl/>
        </w:rPr>
        <w:t xml:space="preserve">, </w:t>
      </w:r>
      <w:r w:rsidRPr="008D2DC1">
        <w:rPr>
          <w:rFonts w:hint="eastAsia"/>
          <w:rtl/>
        </w:rPr>
        <w:t>צוין</w:t>
      </w:r>
      <w:r w:rsidRPr="008D2DC1">
        <w:rPr>
          <w:rtl/>
        </w:rPr>
        <w:t xml:space="preserve"> כי "במטרה להבטיח אסדרה הרמונית ואחידות אל מול בעל הזיכיון החדש, מוצע שלצורך הזיכיון העתידי יוסדר שיתוף הפעולה בין </w:t>
      </w:r>
      <w:r w:rsidRPr="008D2DC1">
        <w:rPr>
          <w:rtl/>
        </w:rPr>
        <w:t>המאסדרים</w:t>
      </w:r>
      <w:r w:rsidRPr="008D2DC1">
        <w:rPr>
          <w:rtl/>
        </w:rPr>
        <w:t xml:space="preserve"> השונים, מבלי לפגוע בסמכויותיהם".  </w:t>
      </w:r>
    </w:p>
    <w:p w:rsidR="006734B0" w:rsidRPr="008D2DC1" w:rsidP="008D2DC1" w14:paraId="588B6283" w14:textId="77777777">
      <w:pPr>
        <w:pStyle w:val="7392"/>
        <w:rPr>
          <w:rtl/>
        </w:rPr>
      </w:pPr>
      <w:r w:rsidRPr="008D2DC1">
        <w:rPr>
          <w:rFonts w:hint="cs"/>
          <w:rtl/>
        </w:rPr>
        <w:t xml:space="preserve">משרד האוצר מסר בתשובתו למשרד מבקר המדינה כי </w:t>
      </w:r>
      <w:r w:rsidRPr="008D2DC1">
        <w:rPr>
          <w:rFonts w:hint="eastAsia"/>
          <w:rtl/>
        </w:rPr>
        <w:t>הוא</w:t>
      </w:r>
      <w:r w:rsidRPr="008D2DC1">
        <w:rPr>
          <w:rFonts w:hint="cs"/>
          <w:rtl/>
        </w:rPr>
        <w:t xml:space="preserve"> פועל במסגרת המלצות הצוות הבין-משרדי להיערכות לתום תקופת הזיכיון ל</w:t>
      </w:r>
      <w:r w:rsidRPr="008D2DC1">
        <w:rPr>
          <w:rtl/>
        </w:rPr>
        <w:t>"</w:t>
      </w:r>
      <w:r w:rsidRPr="008D2DC1">
        <w:rPr>
          <w:rFonts w:hint="cs"/>
          <w:rtl/>
        </w:rPr>
        <w:t>יישור קו</w:t>
      </w:r>
      <w:r w:rsidRPr="008D2DC1">
        <w:rPr>
          <w:rtl/>
        </w:rPr>
        <w:t>"</w:t>
      </w:r>
      <w:r w:rsidRPr="008D2DC1">
        <w:rPr>
          <w:rFonts w:hint="cs"/>
          <w:rtl/>
        </w:rPr>
        <w:t xml:space="preserve"> בין גופי הממשלה בכל הקשור לצ</w:t>
      </w:r>
      <w:r w:rsidRPr="008D2DC1">
        <w:rPr>
          <w:rFonts w:hint="eastAsia"/>
          <w:rtl/>
        </w:rPr>
        <w:t>ו</w:t>
      </w:r>
      <w:r w:rsidRPr="008D2DC1">
        <w:rPr>
          <w:rFonts w:hint="cs"/>
          <w:rtl/>
        </w:rPr>
        <w:t>רכי הזיכיון הבא</w:t>
      </w:r>
      <w:r w:rsidRPr="008D2DC1">
        <w:rPr>
          <w:rtl/>
        </w:rPr>
        <w:t>,</w:t>
      </w:r>
      <w:r w:rsidRPr="008D2DC1">
        <w:rPr>
          <w:rFonts w:hint="cs"/>
          <w:rtl/>
        </w:rPr>
        <w:t xml:space="preserve"> וכן לגבי הפעולות </w:t>
      </w:r>
      <w:r w:rsidRPr="008D2DC1">
        <w:rPr>
          <w:rFonts w:hint="eastAsia"/>
          <w:rtl/>
        </w:rPr>
        <w:t>שנדרש</w:t>
      </w:r>
      <w:r w:rsidRPr="008D2DC1">
        <w:rPr>
          <w:rtl/>
        </w:rPr>
        <w:t xml:space="preserve"> </w:t>
      </w:r>
      <w:r w:rsidRPr="008D2DC1">
        <w:rPr>
          <w:rFonts w:hint="eastAsia"/>
          <w:rtl/>
        </w:rPr>
        <w:t>לבצען</w:t>
      </w:r>
      <w:r w:rsidRPr="008D2DC1">
        <w:rPr>
          <w:rFonts w:hint="cs"/>
          <w:rtl/>
        </w:rPr>
        <w:t xml:space="preserve"> עד שנת 2030 כחלק מהיערכות זו. </w:t>
      </w:r>
    </w:p>
    <w:p w:rsidR="006734B0" w:rsidRPr="008D2DC1" w:rsidP="008D2DC1" w14:paraId="764F2B74" w14:textId="77777777">
      <w:pPr>
        <w:pStyle w:val="7392"/>
        <w:rPr>
          <w:rtl/>
        </w:rPr>
      </w:pPr>
      <w:r w:rsidRPr="008D2DC1">
        <w:rPr>
          <w:rFonts w:hint="cs"/>
          <w:rtl/>
        </w:rPr>
        <w:t>מי"ה</w:t>
      </w:r>
      <w:r w:rsidRPr="008D2DC1">
        <w:rPr>
          <w:rFonts w:hint="cs"/>
          <w:rtl/>
        </w:rPr>
        <w:t xml:space="preserve"> מסרה בתשובתה למשרד מבקר המדינה כי היא כנראה אחד הגופים שנדרשים לעבוד מול </w:t>
      </w:r>
      <w:r w:rsidRPr="008D2DC1">
        <w:rPr>
          <w:rFonts w:hint="eastAsia"/>
          <w:rtl/>
        </w:rPr>
        <w:t>המספר</w:t>
      </w:r>
      <w:r w:rsidRPr="008D2DC1">
        <w:rPr>
          <w:rtl/>
        </w:rPr>
        <w:t xml:space="preserve"> </w:t>
      </w:r>
      <w:r w:rsidRPr="008D2DC1">
        <w:rPr>
          <w:rFonts w:hint="eastAsia"/>
          <w:rtl/>
        </w:rPr>
        <w:t>הרב</w:t>
      </w:r>
      <w:r w:rsidRPr="008D2DC1">
        <w:rPr>
          <w:rtl/>
        </w:rPr>
        <w:t xml:space="preserve"> </w:t>
      </w:r>
      <w:r w:rsidRPr="008D2DC1">
        <w:rPr>
          <w:rFonts w:hint="eastAsia"/>
          <w:rtl/>
        </w:rPr>
        <w:t>ביותר</w:t>
      </w:r>
      <w:r w:rsidRPr="008D2DC1">
        <w:rPr>
          <w:rtl/>
        </w:rPr>
        <w:t xml:space="preserve"> </w:t>
      </w:r>
      <w:r w:rsidRPr="008D2DC1">
        <w:rPr>
          <w:rFonts w:hint="eastAsia"/>
          <w:rtl/>
        </w:rPr>
        <w:t>של</w:t>
      </w:r>
      <w:r w:rsidRPr="008D2DC1">
        <w:rPr>
          <w:rFonts w:hint="cs"/>
          <w:rtl/>
        </w:rPr>
        <w:t xml:space="preserve"> גורמי </w:t>
      </w:r>
      <w:r w:rsidRPr="008D2DC1">
        <w:rPr>
          <w:rFonts w:hint="eastAsia"/>
          <w:rtl/>
        </w:rPr>
        <w:t>ה</w:t>
      </w:r>
      <w:r w:rsidRPr="008D2DC1">
        <w:rPr>
          <w:rFonts w:hint="cs"/>
          <w:rtl/>
        </w:rPr>
        <w:t>רגולציה ו</w:t>
      </w:r>
      <w:r w:rsidRPr="008D2DC1">
        <w:rPr>
          <w:rFonts w:hint="eastAsia"/>
          <w:rtl/>
        </w:rPr>
        <w:t>ה</w:t>
      </w:r>
      <w:r w:rsidRPr="008D2DC1">
        <w:rPr>
          <w:rFonts w:hint="cs"/>
          <w:rtl/>
        </w:rPr>
        <w:t xml:space="preserve">פיקוח במדינה, וכי קיימים גופים ממשלתיים רבים, לרבות כאלו שאינם מצוינים בדוח, האחראים לרגולציה </w:t>
      </w:r>
      <w:r w:rsidRPr="008D2DC1">
        <w:rPr>
          <w:rFonts w:hint="eastAsia"/>
          <w:rtl/>
        </w:rPr>
        <w:t>של</w:t>
      </w:r>
      <w:r w:rsidRPr="008D2DC1">
        <w:rPr>
          <w:rFonts w:hint="cs"/>
          <w:rtl/>
        </w:rPr>
        <w:t xml:space="preserve"> </w:t>
      </w:r>
      <w:r w:rsidRPr="008D2DC1">
        <w:rPr>
          <w:rFonts w:hint="cs"/>
          <w:rtl/>
        </w:rPr>
        <w:t>מי"ה</w:t>
      </w:r>
      <w:r w:rsidRPr="008D2DC1">
        <w:rPr>
          <w:rFonts w:hint="cs"/>
          <w:rtl/>
        </w:rPr>
        <w:t xml:space="preserve"> ולפיקוח </w:t>
      </w:r>
      <w:r w:rsidRPr="008D2DC1">
        <w:rPr>
          <w:rFonts w:hint="eastAsia"/>
          <w:rtl/>
        </w:rPr>
        <w:t>עליה</w:t>
      </w:r>
      <w:r w:rsidRPr="008D2DC1">
        <w:rPr>
          <w:rFonts w:hint="cs"/>
          <w:rtl/>
        </w:rPr>
        <w:t xml:space="preserve">. גופים אלו עושים את עבודתם ללא גורם </w:t>
      </w:r>
      <w:r w:rsidRPr="008D2DC1">
        <w:rPr>
          <w:rFonts w:hint="cs"/>
          <w:rtl/>
        </w:rPr>
        <w:t>מתכלל</w:t>
      </w:r>
      <w:r w:rsidRPr="008D2DC1">
        <w:rPr>
          <w:rFonts w:hint="cs"/>
          <w:rtl/>
        </w:rPr>
        <w:t xml:space="preserve"> המרכז את כלל ההיבטים, כך </w:t>
      </w:r>
      <w:r w:rsidRPr="008D2DC1">
        <w:rPr>
          <w:rFonts w:hint="cs"/>
          <w:rtl/>
        </w:rPr>
        <w:t>שמי"ה</w:t>
      </w:r>
      <w:r w:rsidRPr="008D2DC1">
        <w:rPr>
          <w:rFonts w:hint="cs"/>
          <w:rtl/>
        </w:rPr>
        <w:t xml:space="preserve"> נדרשת לעבוד מול כל אחד מהגופים בנפרד, דבר היוצר בין השאר סרבול ועודף רגולציה, תוך כפילויות בין הגופים השונים ולעיתים אף מתן הוראות סותרות. עוד טענה </w:t>
      </w:r>
      <w:r w:rsidRPr="008D2DC1">
        <w:rPr>
          <w:rFonts w:hint="cs"/>
          <w:rtl/>
        </w:rPr>
        <w:t>מי"ה</w:t>
      </w:r>
      <w:r w:rsidRPr="008D2DC1">
        <w:rPr>
          <w:rFonts w:hint="cs"/>
          <w:rtl/>
        </w:rPr>
        <w:t xml:space="preserve"> כי ריבוי הגורמים משית עליה הוצאות ישירות בשל הימשכות תהליכים או היעדר התאמה בין תהליכים שונים שיוזמים </w:t>
      </w:r>
      <w:r w:rsidRPr="008D2DC1">
        <w:rPr>
          <w:rFonts w:hint="cs"/>
          <w:rtl/>
        </w:rPr>
        <w:t>מאסדרים</w:t>
      </w:r>
      <w:r w:rsidRPr="008D2DC1">
        <w:rPr>
          <w:rFonts w:hint="cs"/>
          <w:rtl/>
        </w:rPr>
        <w:t xml:space="preserve"> שונים, בהיקפים של עשרות מיליוני </w:t>
      </w:r>
      <w:r w:rsidRPr="008D2DC1">
        <w:rPr>
          <w:rFonts w:hint="eastAsia"/>
          <w:rtl/>
        </w:rPr>
        <w:t>ש</w:t>
      </w:r>
      <w:r w:rsidRPr="008D2DC1">
        <w:rPr>
          <w:rtl/>
        </w:rPr>
        <w:t>"ח.</w:t>
      </w:r>
      <w:r w:rsidRPr="008D2DC1">
        <w:rPr>
          <w:rFonts w:hint="cs"/>
          <w:rtl/>
        </w:rPr>
        <w:t xml:space="preserve"> </w:t>
      </w:r>
    </w:p>
    <w:p w:rsidR="006734B0" w:rsidRPr="008D2DC1" w:rsidP="008D2DC1" w14:paraId="5643089C" w14:textId="77777777">
      <w:pPr>
        <w:pStyle w:val="7318"/>
        <w:rPr>
          <w:rtl/>
        </w:rPr>
      </w:pPr>
      <w:r w:rsidRPr="008D2DC1">
        <w:rPr>
          <w:rFonts w:hint="cs"/>
          <w:rtl/>
        </w:rPr>
        <w:t xml:space="preserve">מוצע כי הגורמים </w:t>
      </w:r>
      <w:r w:rsidRPr="008D2DC1">
        <w:rPr>
          <w:rFonts w:hint="cs"/>
          <w:rtl/>
        </w:rPr>
        <w:t>המאסדרים</w:t>
      </w:r>
      <w:r w:rsidRPr="008D2DC1">
        <w:rPr>
          <w:rFonts w:hint="cs"/>
          <w:rtl/>
        </w:rPr>
        <w:t xml:space="preserve"> הפועלים בתחום הזיכיון ימסדו ביניהם נהלים לשיתוף ולהעברה של מידע, בכפוף למגבלות החוק, כדי שמידע חיוני יעבור בין הגורמים ויאפשר להם לממש את תפקידם. </w:t>
      </w:r>
    </w:p>
    <w:p w:rsidR="006734B0" w:rsidRPr="008D2DC1" w:rsidP="008D2DC1" w14:paraId="64AE3218" w14:textId="13A7D25E">
      <w:pPr>
        <w:pStyle w:val="7318"/>
        <w:rPr>
          <w:rtl/>
        </w:rPr>
      </w:pPr>
      <w:r w:rsidRPr="008D2DC1">
        <w:rPr>
          <w:rFonts w:hint="cs"/>
          <w:rtl/>
        </w:rPr>
        <w:t xml:space="preserve">מומלץ כי שר האוצר ושר הכלכלה והתעשייה, כשרים האחראים לחוק הזיכיון, בתיאום עם השרה </w:t>
      </w:r>
      <w:r w:rsidRPr="008D2DC1">
        <w:rPr>
          <w:rFonts w:hint="cs"/>
          <w:rtl/>
        </w:rPr>
        <w:t>להג"ס</w:t>
      </w:r>
      <w:r w:rsidRPr="008D2DC1">
        <w:rPr>
          <w:rFonts w:hint="cs"/>
          <w:rtl/>
        </w:rPr>
        <w:t xml:space="preserve">, יקימו גוף ממשלתי </w:t>
      </w:r>
      <w:r w:rsidRPr="008D2DC1">
        <w:rPr>
          <w:rFonts w:hint="cs"/>
          <w:rtl/>
        </w:rPr>
        <w:t>מתכלל</w:t>
      </w:r>
      <w:r w:rsidRPr="008D2DC1">
        <w:rPr>
          <w:rFonts w:hint="cs"/>
          <w:rtl/>
        </w:rPr>
        <w:t xml:space="preserve"> </w:t>
      </w:r>
      <w:r w:rsidRPr="008D2DC1">
        <w:rPr>
          <w:rFonts w:hint="eastAsia"/>
          <w:rtl/>
        </w:rPr>
        <w:t>ש</w:t>
      </w:r>
      <w:r w:rsidRPr="008D2DC1">
        <w:rPr>
          <w:rFonts w:hint="cs"/>
          <w:rtl/>
        </w:rPr>
        <w:t xml:space="preserve">בו </w:t>
      </w:r>
      <w:r w:rsidRPr="008D2DC1">
        <w:rPr>
          <w:rFonts w:hint="eastAsia"/>
          <w:rtl/>
        </w:rPr>
        <w:t>ישתתפו</w:t>
      </w:r>
      <w:r w:rsidRPr="008D2DC1">
        <w:rPr>
          <w:rFonts w:hint="cs"/>
          <w:rtl/>
        </w:rPr>
        <w:t xml:space="preserve"> נציגים של משרדי הממשלה השונים ושל המועצה </w:t>
      </w:r>
      <w:r w:rsidRPr="00E57DD9" w:rsidR="00E57DD9">
        <w:rPr>
          <w:rtl/>
        </w:rPr>
        <w:t>האזורית תמר, שתפקידו</w:t>
      </w:r>
      <w:r w:rsidR="00E57DD9">
        <w:rPr>
          <w:rFonts w:hint="cs"/>
          <w:rtl/>
        </w:rPr>
        <w:t xml:space="preserve"> </w:t>
      </w:r>
      <w:r w:rsidRPr="008D2DC1">
        <w:rPr>
          <w:rFonts w:hint="cs"/>
          <w:rtl/>
        </w:rPr>
        <w:t xml:space="preserve">יהיה לרכז את כלל הנתונים בדבר השימושים המתקיימים בתחום הזיכיון ולתאם ולטייב את פעולותיהם של </w:t>
      </w:r>
      <w:r w:rsidRPr="008D2DC1">
        <w:rPr>
          <w:rFonts w:hint="cs"/>
          <w:rtl/>
        </w:rPr>
        <w:t>המאסדרים</w:t>
      </w:r>
      <w:r w:rsidRPr="008D2DC1">
        <w:rPr>
          <w:rFonts w:hint="cs"/>
          <w:rtl/>
        </w:rPr>
        <w:t xml:space="preserve"> השונים. הקמת גוף </w:t>
      </w:r>
      <w:r w:rsidRPr="008D2DC1">
        <w:rPr>
          <w:rFonts w:hint="cs"/>
          <w:rtl/>
        </w:rPr>
        <w:t>מתכלל</w:t>
      </w:r>
      <w:r w:rsidRPr="008D2DC1">
        <w:rPr>
          <w:rFonts w:hint="cs"/>
          <w:rtl/>
        </w:rPr>
        <w:t xml:space="preserve"> שכזה יכולה אף לתרום למניעת כפילות בדרישות </w:t>
      </w:r>
      <w:r w:rsidRPr="008D2DC1">
        <w:rPr>
          <w:rFonts w:hint="cs"/>
          <w:rtl/>
        </w:rPr>
        <w:t>המאסדרים</w:t>
      </w:r>
      <w:r w:rsidRPr="008D2DC1">
        <w:rPr>
          <w:rFonts w:hint="cs"/>
          <w:rtl/>
        </w:rPr>
        <w:t xml:space="preserve"> השונים לרבות לעניין דרישת </w:t>
      </w:r>
      <w:r w:rsidRPr="008D2DC1">
        <w:rPr>
          <w:rFonts w:hint="eastAsia"/>
          <w:rtl/>
        </w:rPr>
        <w:t>נתונים</w:t>
      </w:r>
      <w:r w:rsidRPr="008D2DC1">
        <w:rPr>
          <w:rtl/>
        </w:rPr>
        <w:t xml:space="preserve"> </w:t>
      </w:r>
      <w:r w:rsidRPr="008D2DC1">
        <w:rPr>
          <w:rFonts w:hint="eastAsia"/>
          <w:rtl/>
        </w:rPr>
        <w:t>ממי</w:t>
      </w:r>
      <w:r w:rsidRPr="008D2DC1">
        <w:rPr>
          <w:rtl/>
        </w:rPr>
        <w:t>"ה</w:t>
      </w:r>
      <w:r w:rsidRPr="008D2DC1">
        <w:rPr>
          <w:rtl/>
        </w:rPr>
        <w:t xml:space="preserve">, </w:t>
      </w:r>
      <w:r w:rsidRPr="008D2DC1">
        <w:rPr>
          <w:rFonts w:hint="eastAsia"/>
          <w:rtl/>
        </w:rPr>
        <w:t>ל</w:t>
      </w:r>
      <w:r w:rsidRPr="008D2DC1">
        <w:rPr>
          <w:rFonts w:hint="cs"/>
          <w:rtl/>
        </w:rPr>
        <w:t xml:space="preserve">הביא לייעול העבודה שלהם, לסייע בהעברת מידע חיוני ולעודד שיתוף פעולה ביניהם. כל זאת כדי לשפר את הניהול והפיקוח בנוגע לנעשה בתחום הזיכיון, שהוא תחום נרחב, המתפרס על פני 652 קמ"ר בחבל ארץ ייחודי בעל חשיבות לאומית ובין-לאומית, ובו פעילויות ותשתיות רבות, שלהן השפעה ניכרת על הסביבה. </w:t>
      </w:r>
    </w:p>
    <w:p w:rsidR="008D2DC1" w14:paraId="73E67D56" w14:textId="77777777">
      <w:pPr>
        <w:bidi w:val="0"/>
        <w:spacing w:after="200" w:line="276" w:lineRule="auto"/>
        <w:rPr>
          <w:rFonts w:ascii="Tahoma" w:eastAsia="Times New Roman" w:hAnsi="Tahoma" w:cs="Tahoma"/>
          <w:bCs/>
          <w:color w:val="00305F"/>
          <w:sz w:val="31"/>
          <w:szCs w:val="31"/>
          <w:rtl/>
        </w:rPr>
      </w:pPr>
      <w:r>
        <w:rPr>
          <w:rtl/>
        </w:rPr>
        <w:br w:type="page"/>
      </w:r>
    </w:p>
    <w:p w:rsidR="006734B0" w:rsidRPr="008D2DC1" w:rsidP="008D2DC1" w14:paraId="59FB65FC" w14:textId="26F84ED3">
      <w:pPr>
        <w:pStyle w:val="7326"/>
        <w:rPr>
          <w:rtl/>
        </w:rPr>
      </w:pPr>
      <w:r>
        <w:rPr>
          <w:rFonts w:hint="cs"/>
          <w:noProof/>
          <w:rtl/>
          <w:lang w:val="he-IL"/>
        </w:rPr>
        <mc:AlternateContent>
          <mc:Choice Requires="wps">
            <w:drawing>
              <wp:anchor distT="0" distB="0" distL="114300" distR="114300" simplePos="0" relativeHeight="251660288" behindDoc="1" locked="0" layoutInCell="1" allowOverlap="1">
                <wp:simplePos x="0" y="0"/>
                <wp:positionH relativeFrom="column">
                  <wp:posOffset>-56442</wp:posOffset>
                </wp:positionH>
                <wp:positionV relativeFrom="paragraph">
                  <wp:posOffset>361861</wp:posOffset>
                </wp:positionV>
                <wp:extent cx="4791075" cy="6797124"/>
                <wp:effectExtent l="0" t="0" r="9525" b="10160"/>
                <wp:wrapNone/>
                <wp:docPr id="332364300" name="מלבן 25"/>
                <wp:cNvGraphicFramePr/>
                <a:graphic xmlns:a="http://schemas.openxmlformats.org/drawingml/2006/main">
                  <a:graphicData uri="http://schemas.microsoft.com/office/word/2010/wordprocessingShape">
                    <wps:wsp xmlns:wps="http://schemas.microsoft.com/office/word/2010/wordprocessingShape">
                      <wps:cNvSpPr/>
                      <wps:spPr>
                        <a:xfrm>
                          <a:off x="0" y="0"/>
                          <a:ext cx="4791075" cy="6797124"/>
                        </a:xfrm>
                        <a:prstGeom prst="rect">
                          <a:avLst/>
                        </a:prstGeom>
                        <a:solidFill>
                          <a:srgbClr val="CEEAF6"/>
                        </a:solidFill>
                        <a:ln>
                          <a:solidFill>
                            <a:srgbClr val="CEEAF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מלבן 25" o:spid="_x0000_s1037" style="width:377.25pt;height:535.2pt;margin-top:28.5pt;margin-left:-4.45pt;mso-height-percent:0;mso-height-relative:margin;mso-width-percent:0;mso-width-relative:margin;mso-wrap-distance-bottom:0;mso-wrap-distance-left:9pt;mso-wrap-distance-right:9pt;mso-wrap-distance-top:0;mso-wrap-style:square;position:absolute;visibility:visible;v-text-anchor:middle;z-index:-251655168" fillcolor="#ceeaf6" strokecolor="#ceeaf6" strokeweight="1.25pt"/>
            </w:pict>
          </mc:Fallback>
        </mc:AlternateContent>
      </w:r>
      <w:r w:rsidRPr="008D2DC1">
        <w:rPr>
          <w:rFonts w:hint="cs"/>
          <w:rtl/>
        </w:rPr>
        <w:t>סיכום</w:t>
      </w:r>
    </w:p>
    <w:p w:rsidR="006734B0" w:rsidRPr="002A7D9F" w:rsidP="008D2DC1" w14:paraId="1C846A56" w14:textId="62DB047A">
      <w:pPr>
        <w:pStyle w:val="7318"/>
        <w:rPr>
          <w:rtl/>
        </w:rPr>
      </w:pPr>
      <w:r w:rsidRPr="009A359B">
        <w:rPr>
          <w:rFonts w:hint="cs"/>
          <w:rtl/>
        </w:rPr>
        <w:t xml:space="preserve">ים המלח הוא </w:t>
      </w:r>
      <w:r w:rsidRPr="00620DB1" w:rsidR="00620DB1">
        <w:rPr>
          <w:rtl/>
        </w:rPr>
        <w:t xml:space="preserve">המקום </w:t>
      </w:r>
      <w:r w:rsidRPr="0004351E" w:rsidR="0004351E">
        <w:rPr>
          <w:rtl/>
        </w:rPr>
        <w:t>היבשתי</w:t>
      </w:r>
      <w:r w:rsidR="0004351E">
        <w:rPr>
          <w:rFonts w:hint="cs"/>
          <w:rtl/>
        </w:rPr>
        <w:t xml:space="preserve"> </w:t>
      </w:r>
      <w:r w:rsidRPr="00620DB1" w:rsidR="00620DB1">
        <w:rPr>
          <w:rtl/>
        </w:rPr>
        <w:t>הנמוך ביותר בעולם</w:t>
      </w:r>
      <w:r w:rsidRPr="009A359B">
        <w:rPr>
          <w:rFonts w:hint="cs"/>
          <w:rtl/>
        </w:rPr>
        <w:t xml:space="preserve">. הוא מהווה תופעת טבע ייחודית בעולם כולו ונחשב לאזור בעל תכונות מרפא ולמקום בעל ערכי טבע חשובים, נופים מרהיבים ואתרי מורשת מגוונים. ים המלח היה בעבר והוא גם כיום משאב טבע שחשיבותו למדינת ישראל ראשונה </w:t>
      </w:r>
      <w:r w:rsidRPr="00A21776">
        <w:rPr>
          <w:rFonts w:hint="cs"/>
          <w:rtl/>
        </w:rPr>
        <w:t>במעלה. לכן כל פעילות תעשייתית באזור חייבת להשתלב עם היבטים הנוגעים לשמירה על הסביבה</w:t>
      </w:r>
      <w:r w:rsidR="00E57DD9">
        <w:rPr>
          <w:rFonts w:hint="cs"/>
          <w:rtl/>
        </w:rPr>
        <w:t xml:space="preserve"> </w:t>
      </w:r>
      <w:r w:rsidRPr="00E57DD9" w:rsidR="00E57DD9">
        <w:rPr>
          <w:rtl/>
        </w:rPr>
        <w:t>והמקרקעין</w:t>
      </w:r>
      <w:r w:rsidRPr="00A21776">
        <w:rPr>
          <w:rtl/>
        </w:rPr>
        <w:t>.</w:t>
      </w:r>
      <w:r w:rsidRPr="009A359B">
        <w:rPr>
          <w:rFonts w:hint="cs"/>
          <w:rtl/>
        </w:rPr>
        <w:t xml:space="preserve"> בשנת 1961 העניקה המדינה </w:t>
      </w:r>
      <w:r w:rsidRPr="009A359B">
        <w:rPr>
          <w:rFonts w:hint="cs"/>
          <w:rtl/>
        </w:rPr>
        <w:t>למי"ה</w:t>
      </w:r>
      <w:r w:rsidRPr="009A359B">
        <w:rPr>
          <w:rFonts w:hint="cs"/>
          <w:rtl/>
        </w:rPr>
        <w:t xml:space="preserve"> זיכיון בלעדי להפקה וניצול של </w:t>
      </w:r>
      <w:r w:rsidRPr="00620DB1" w:rsidR="00620DB1">
        <w:rPr>
          <w:rtl/>
        </w:rPr>
        <w:t xml:space="preserve">המינרלים שבים המלח, </w:t>
      </w:r>
      <w:r w:rsidRPr="009A359B">
        <w:rPr>
          <w:rFonts w:hint="cs"/>
          <w:rtl/>
        </w:rPr>
        <w:t>בתמורה לתשלום תמלוגים למדינה</w:t>
      </w:r>
      <w:r>
        <w:rPr>
          <w:rFonts w:hint="cs"/>
          <w:rtl/>
        </w:rPr>
        <w:t>, אשר נכון לשנת 2023 עמד על כ-</w:t>
      </w:r>
      <w:r w:rsidRPr="007C4F1A">
        <w:rPr>
          <w:rFonts w:hint="cs"/>
          <w:rtl/>
        </w:rPr>
        <w:t>580 מיליון ש"ח</w:t>
      </w:r>
      <w:r w:rsidR="003A6265">
        <w:rPr>
          <w:rFonts w:hint="cs"/>
          <w:rtl/>
        </w:rPr>
        <w:t xml:space="preserve"> </w:t>
      </w:r>
      <w:r>
        <w:rPr>
          <w:rFonts w:hint="cs"/>
          <w:rtl/>
        </w:rPr>
        <w:t>לשנה,</w:t>
      </w:r>
      <w:r w:rsidRPr="009A359B">
        <w:rPr>
          <w:rFonts w:hint="cs"/>
          <w:rtl/>
        </w:rPr>
        <w:t xml:space="preserve"> ובכפוף למגבלות מסוימות הקבועות בחוק.</w:t>
      </w:r>
      <w:r>
        <w:rPr>
          <w:rFonts w:hint="cs"/>
          <w:rtl/>
        </w:rPr>
        <w:t xml:space="preserve"> </w:t>
      </w:r>
      <w:r w:rsidRPr="009A359B">
        <w:rPr>
          <w:rFonts w:hint="cs"/>
          <w:rtl/>
        </w:rPr>
        <w:t xml:space="preserve">תוקף </w:t>
      </w:r>
      <w:r w:rsidRPr="002A7D9F">
        <w:rPr>
          <w:rFonts w:hint="cs"/>
          <w:rtl/>
        </w:rPr>
        <w:t xml:space="preserve">הזיכיון הוא עד מרץ 2030. </w:t>
      </w:r>
    </w:p>
    <w:p w:rsidR="006734B0" w:rsidRPr="002A7D9F" w:rsidP="008D2DC1" w14:paraId="1EF02D67" w14:textId="4F6CC1D4">
      <w:pPr>
        <w:pStyle w:val="7318"/>
        <w:spacing w:after="0"/>
        <w:rPr>
          <w:color w:val="FF0000"/>
          <w:rtl/>
        </w:rPr>
      </w:pPr>
      <w:r w:rsidRPr="002A7D9F">
        <w:rPr>
          <w:rFonts w:hint="cs"/>
          <w:rtl/>
        </w:rPr>
        <w:t xml:space="preserve">הביקורת הנוכחית נועדה לבחון את האופן שבו ניהלה המדינה את זיכיון ים המלח ופיקחה על פעילות </w:t>
      </w:r>
      <w:r w:rsidRPr="002A7D9F">
        <w:rPr>
          <w:rFonts w:hint="cs"/>
          <w:rtl/>
        </w:rPr>
        <w:t>מי"ה</w:t>
      </w:r>
      <w:r w:rsidRPr="002A7D9F">
        <w:rPr>
          <w:rFonts w:hint="cs"/>
          <w:rtl/>
        </w:rPr>
        <w:t xml:space="preserve"> בתחומו, ואת האופן שבו היא שמרה על אינטרסים ציבוריים הנוגעים לתחומי הסביבה</w:t>
      </w:r>
      <w:r>
        <w:rPr>
          <w:rFonts w:hint="cs"/>
          <w:rtl/>
        </w:rPr>
        <w:t xml:space="preserve"> והמקרקעין</w:t>
      </w:r>
      <w:r w:rsidRPr="002A7D9F">
        <w:rPr>
          <w:rFonts w:hint="cs"/>
          <w:rtl/>
        </w:rPr>
        <w:t xml:space="preserve">. זאת גם כדי </w:t>
      </w:r>
      <w:r w:rsidRPr="002A7D9F">
        <w:rPr>
          <w:rFonts w:hint="cs"/>
          <w:sz w:val="24"/>
          <w:rtl/>
        </w:rPr>
        <w:t>לסייע למקבלי ההחלטות בבואם לגבש את הסדר הזיכיון העתידי</w:t>
      </w:r>
      <w:r w:rsidRPr="002A7D9F">
        <w:rPr>
          <w:rFonts w:hint="cs"/>
          <w:rtl/>
        </w:rPr>
        <w:t xml:space="preserve">. מכלול ממצאי הביקורת מלמדים על כשל רגולטורי ואכיפתי רב-מערכתי מצד הגורמים </w:t>
      </w:r>
      <w:r w:rsidRPr="002A7D9F">
        <w:rPr>
          <w:rFonts w:hint="cs"/>
          <w:rtl/>
        </w:rPr>
        <w:t>המאסדרים</w:t>
      </w:r>
      <w:r w:rsidRPr="002A7D9F">
        <w:rPr>
          <w:rFonts w:hint="cs"/>
          <w:rtl/>
        </w:rPr>
        <w:t xml:space="preserve">, ובראשם המשרד </w:t>
      </w:r>
      <w:r w:rsidRPr="002A7D9F">
        <w:rPr>
          <w:rFonts w:hint="cs"/>
          <w:rtl/>
        </w:rPr>
        <w:t>להג"ס</w:t>
      </w:r>
      <w:r w:rsidRPr="002A7D9F">
        <w:rPr>
          <w:rFonts w:hint="cs"/>
          <w:rtl/>
        </w:rPr>
        <w:t xml:space="preserve">, משרד </w:t>
      </w:r>
      <w:r w:rsidRPr="002A7D9F">
        <w:rPr>
          <w:rFonts w:hint="cs"/>
          <w:rtl/>
        </w:rPr>
        <w:t>האנרגייה</w:t>
      </w:r>
      <w:r w:rsidRPr="002A7D9F">
        <w:rPr>
          <w:rFonts w:hint="cs"/>
          <w:rtl/>
        </w:rPr>
        <w:t xml:space="preserve">, </w:t>
      </w:r>
      <w:r w:rsidRPr="002A7D9F">
        <w:rPr>
          <w:rFonts w:hint="cs"/>
          <w:rtl/>
        </w:rPr>
        <w:t>רמ"י</w:t>
      </w:r>
      <w:r w:rsidRPr="002A7D9F">
        <w:rPr>
          <w:rFonts w:hint="cs"/>
          <w:rtl/>
        </w:rPr>
        <w:t xml:space="preserve"> ומשרד האוצר</w:t>
      </w:r>
      <w:r>
        <w:rPr>
          <w:rFonts w:hint="cs"/>
          <w:rtl/>
        </w:rPr>
        <w:t xml:space="preserve"> </w:t>
      </w:r>
      <w:r w:rsidRPr="002A7D9F">
        <w:rPr>
          <w:rFonts w:hint="cs"/>
          <w:rtl/>
        </w:rPr>
        <w:t xml:space="preserve">בארבעה תחומים עיקריים הנוגעים לליבת הפעילות שמקיימת </w:t>
      </w:r>
      <w:r w:rsidRPr="002A7D9F">
        <w:rPr>
          <w:rFonts w:hint="cs"/>
          <w:rtl/>
        </w:rPr>
        <w:t>מי"ה</w:t>
      </w:r>
      <w:r w:rsidRPr="002A7D9F">
        <w:rPr>
          <w:rFonts w:hint="cs"/>
          <w:rtl/>
        </w:rPr>
        <w:t xml:space="preserve"> בשטח הזיכיון:</w:t>
      </w:r>
    </w:p>
    <w:p w:rsidR="006734B0" w:rsidRPr="008D2DC1" w:rsidP="008D2DC1" w14:paraId="7F0A78D1" w14:textId="300E0CC8">
      <w:pPr>
        <w:pStyle w:val="710"/>
        <w:numPr>
          <w:ilvl w:val="0"/>
          <w:numId w:val="18"/>
        </w:numPr>
        <w:ind w:left="624" w:hanging="397"/>
      </w:pPr>
      <w:r w:rsidRPr="008D2DC1">
        <w:rPr>
          <w:bCs/>
          <w:rtl/>
        </w:rPr>
        <w:t>רישוי עסקים</w:t>
      </w:r>
      <w:r w:rsidRPr="008D2DC1">
        <w:rPr>
          <w:rFonts w:hint="cs"/>
          <w:bCs/>
          <w:rtl/>
        </w:rPr>
        <w:t>:</w:t>
      </w:r>
      <w:r w:rsidRPr="008D2DC1">
        <w:rPr>
          <w:rtl/>
        </w:rPr>
        <w:t xml:space="preserve"> </w:t>
      </w:r>
      <w:r w:rsidRPr="008D2DC1">
        <w:rPr>
          <w:rFonts w:hint="cs"/>
          <w:rtl/>
        </w:rPr>
        <w:t xml:space="preserve">נמצא כי </w:t>
      </w:r>
      <w:r w:rsidRPr="008D2DC1">
        <w:rPr>
          <w:rFonts w:hint="eastAsia"/>
          <w:rtl/>
        </w:rPr>
        <w:t>לאורך</w:t>
      </w:r>
      <w:r w:rsidRPr="008D2DC1">
        <w:rPr>
          <w:rtl/>
        </w:rPr>
        <w:t xml:space="preserve"> </w:t>
      </w:r>
      <w:r w:rsidRPr="008D2DC1">
        <w:rPr>
          <w:rFonts w:hint="eastAsia"/>
          <w:rtl/>
        </w:rPr>
        <w:t>עשרות</w:t>
      </w:r>
      <w:r w:rsidRPr="008D2DC1">
        <w:rPr>
          <w:rFonts w:hint="cs"/>
          <w:rtl/>
        </w:rPr>
        <w:t xml:space="preserve"> </w:t>
      </w:r>
      <w:r w:rsidRPr="008D2DC1">
        <w:rPr>
          <w:rFonts w:hint="eastAsia"/>
          <w:rtl/>
        </w:rPr>
        <w:t>שנים</w:t>
      </w:r>
      <w:r w:rsidRPr="008D2DC1">
        <w:rPr>
          <w:rtl/>
        </w:rPr>
        <w:t xml:space="preserve"> </w:t>
      </w:r>
      <w:r w:rsidRPr="008D2DC1">
        <w:rPr>
          <w:rFonts w:hint="cs"/>
          <w:rtl/>
        </w:rPr>
        <w:t xml:space="preserve">המשרד </w:t>
      </w:r>
      <w:r w:rsidRPr="008D2DC1">
        <w:rPr>
          <w:rFonts w:hint="cs"/>
          <w:rtl/>
        </w:rPr>
        <w:t>להג"ס</w:t>
      </w:r>
      <w:r w:rsidRPr="008D2DC1">
        <w:rPr>
          <w:rFonts w:hint="cs"/>
          <w:rtl/>
        </w:rPr>
        <w:t xml:space="preserve"> </w:t>
      </w:r>
      <w:r w:rsidRPr="008D2DC1">
        <w:rPr>
          <w:rFonts w:hint="eastAsia"/>
          <w:rtl/>
        </w:rPr>
        <w:t>לא</w:t>
      </w:r>
      <w:r w:rsidRPr="008D2DC1">
        <w:rPr>
          <w:rtl/>
        </w:rPr>
        <w:t xml:space="preserve"> </w:t>
      </w:r>
      <w:r w:rsidRPr="00C74819" w:rsidR="00C74819">
        <w:rPr>
          <w:rtl/>
        </w:rPr>
        <w:t>הקפיד להפעיל</w:t>
      </w:r>
      <w:r w:rsidRPr="00C74819" w:rsidR="00C74819">
        <w:rPr>
          <w:rFonts w:hint="cs"/>
          <w:rtl/>
        </w:rPr>
        <w:t xml:space="preserve"> </w:t>
      </w:r>
      <w:r w:rsidRPr="008D2DC1">
        <w:rPr>
          <w:rFonts w:hint="cs"/>
          <w:rtl/>
        </w:rPr>
        <w:t xml:space="preserve">את סמכויותיו להכללת </w:t>
      </w:r>
      <w:r w:rsidRPr="00620DB1" w:rsidR="00620DB1">
        <w:rPr>
          <w:rtl/>
        </w:rPr>
        <w:t>תנאים סביבתיים ייעודיים ברישיונות</w:t>
      </w:r>
      <w:r w:rsidR="00620DB1">
        <w:rPr>
          <w:rFonts w:hint="cs"/>
          <w:rtl/>
        </w:rPr>
        <w:t xml:space="preserve"> </w:t>
      </w:r>
      <w:r w:rsidRPr="008D2DC1">
        <w:rPr>
          <w:rFonts w:hint="cs"/>
          <w:rtl/>
        </w:rPr>
        <w:t>ה</w:t>
      </w:r>
      <w:r w:rsidRPr="008D2DC1">
        <w:rPr>
          <w:rFonts w:hint="eastAsia"/>
          <w:rtl/>
        </w:rPr>
        <w:t>עסק</w:t>
      </w:r>
      <w:r w:rsidRPr="008D2DC1">
        <w:rPr>
          <w:rFonts w:hint="cs"/>
          <w:rtl/>
        </w:rPr>
        <w:t xml:space="preserve"> של </w:t>
      </w:r>
      <w:r w:rsidRPr="008D2DC1">
        <w:rPr>
          <w:rFonts w:hint="cs"/>
          <w:rtl/>
        </w:rPr>
        <w:t>מי"ה</w:t>
      </w:r>
      <w:r w:rsidRPr="008D2DC1">
        <w:rPr>
          <w:rtl/>
        </w:rPr>
        <w:t xml:space="preserve">, </w:t>
      </w:r>
      <w:r w:rsidRPr="008D2DC1">
        <w:rPr>
          <w:rFonts w:hint="eastAsia"/>
          <w:rtl/>
        </w:rPr>
        <w:t>והדבר</w:t>
      </w:r>
      <w:r w:rsidRPr="008D2DC1">
        <w:rPr>
          <w:rtl/>
        </w:rPr>
        <w:t xml:space="preserve"> </w:t>
      </w:r>
      <w:r w:rsidRPr="008D2DC1">
        <w:rPr>
          <w:rFonts w:hint="eastAsia"/>
          <w:rtl/>
        </w:rPr>
        <w:t>הוביל</w:t>
      </w:r>
      <w:r w:rsidRPr="008D2DC1">
        <w:rPr>
          <w:rtl/>
        </w:rPr>
        <w:t xml:space="preserve"> </w:t>
      </w:r>
      <w:r w:rsidRPr="008D2DC1">
        <w:rPr>
          <w:rFonts w:hint="eastAsia"/>
          <w:rtl/>
        </w:rPr>
        <w:t>לכך</w:t>
      </w:r>
      <w:r w:rsidRPr="008D2DC1">
        <w:rPr>
          <w:rtl/>
        </w:rPr>
        <w:t xml:space="preserve"> </w:t>
      </w:r>
      <w:r w:rsidRPr="008D2DC1">
        <w:rPr>
          <w:rFonts w:hint="eastAsia"/>
          <w:rtl/>
        </w:rPr>
        <w:t>שפעילויות</w:t>
      </w:r>
      <w:r w:rsidRPr="008D2DC1">
        <w:rPr>
          <w:rtl/>
        </w:rPr>
        <w:t xml:space="preserve"> </w:t>
      </w:r>
      <w:r w:rsidRPr="008D2DC1">
        <w:rPr>
          <w:rFonts w:hint="cs"/>
          <w:rtl/>
        </w:rPr>
        <w:t xml:space="preserve">תעשייתיות רבות </w:t>
      </w:r>
      <w:r w:rsidRPr="008D2DC1">
        <w:rPr>
          <w:rFonts w:hint="eastAsia"/>
          <w:rtl/>
        </w:rPr>
        <w:t>בעלות</w:t>
      </w:r>
      <w:r w:rsidRPr="008D2DC1">
        <w:rPr>
          <w:rtl/>
        </w:rPr>
        <w:t xml:space="preserve"> </w:t>
      </w:r>
      <w:r w:rsidRPr="008D2DC1">
        <w:rPr>
          <w:rFonts w:hint="eastAsia"/>
          <w:rtl/>
        </w:rPr>
        <w:t>פוטנציאל</w:t>
      </w:r>
      <w:r w:rsidRPr="008D2DC1">
        <w:rPr>
          <w:rtl/>
        </w:rPr>
        <w:t xml:space="preserve"> </w:t>
      </w:r>
      <w:r w:rsidRPr="008D2DC1">
        <w:rPr>
          <w:rFonts w:hint="eastAsia"/>
          <w:rtl/>
        </w:rPr>
        <w:t>לפגיעה</w:t>
      </w:r>
      <w:r w:rsidRPr="008D2DC1">
        <w:rPr>
          <w:rtl/>
        </w:rPr>
        <w:t xml:space="preserve"> </w:t>
      </w:r>
      <w:r w:rsidRPr="008D2DC1">
        <w:rPr>
          <w:rFonts w:hint="eastAsia"/>
          <w:rtl/>
        </w:rPr>
        <w:t>בסביבה</w:t>
      </w:r>
      <w:r w:rsidRPr="008D2DC1">
        <w:rPr>
          <w:rtl/>
        </w:rPr>
        <w:t xml:space="preserve"> </w:t>
      </w:r>
      <w:r w:rsidRPr="008D2DC1">
        <w:rPr>
          <w:rFonts w:hint="eastAsia"/>
          <w:rtl/>
        </w:rPr>
        <w:t>פעלו</w:t>
      </w:r>
      <w:r w:rsidRPr="008D2DC1">
        <w:rPr>
          <w:rtl/>
        </w:rPr>
        <w:t xml:space="preserve"> </w:t>
      </w:r>
      <w:r w:rsidRPr="008D2DC1">
        <w:rPr>
          <w:rFonts w:hint="cs"/>
          <w:rtl/>
        </w:rPr>
        <w:t xml:space="preserve">ועדיין פועלות </w:t>
      </w:r>
      <w:r w:rsidRPr="00D67F4C" w:rsidR="00D67F4C">
        <w:rPr>
          <w:rtl/>
        </w:rPr>
        <w:t>ללא תנאים סביבתיים ייעודיים</w:t>
      </w:r>
      <w:r w:rsidRPr="008D2DC1">
        <w:rPr>
          <w:rtl/>
        </w:rPr>
        <w:t xml:space="preserve">. </w:t>
      </w:r>
      <w:r w:rsidRPr="008D2DC1">
        <w:rPr>
          <w:rFonts w:hint="cs"/>
          <w:rtl/>
        </w:rPr>
        <w:t xml:space="preserve">נמצא כי </w:t>
      </w:r>
      <w:r w:rsidRPr="008D2DC1">
        <w:rPr>
          <w:rFonts w:hint="eastAsia"/>
          <w:rtl/>
        </w:rPr>
        <w:t>בחלק</w:t>
      </w:r>
      <w:r w:rsidRPr="008D2DC1">
        <w:rPr>
          <w:rtl/>
        </w:rPr>
        <w:t xml:space="preserve"> </w:t>
      </w:r>
      <w:r w:rsidRPr="008D2DC1">
        <w:rPr>
          <w:rFonts w:hint="eastAsia"/>
          <w:rtl/>
        </w:rPr>
        <w:t>מה</w:t>
      </w:r>
      <w:r w:rsidRPr="008D2DC1">
        <w:rPr>
          <w:rFonts w:hint="cs"/>
          <w:rtl/>
        </w:rPr>
        <w:t>תשתיות</w:t>
      </w:r>
      <w:r w:rsidRPr="008D2DC1">
        <w:rPr>
          <w:rtl/>
        </w:rPr>
        <w:t xml:space="preserve"> </w:t>
      </w:r>
      <w:r w:rsidRPr="008D2DC1">
        <w:rPr>
          <w:rFonts w:hint="eastAsia"/>
          <w:rtl/>
        </w:rPr>
        <w:t>אירעו</w:t>
      </w:r>
      <w:r w:rsidRPr="008D2DC1">
        <w:rPr>
          <w:rtl/>
        </w:rPr>
        <w:t xml:space="preserve"> </w:t>
      </w:r>
      <w:r w:rsidRPr="008D2DC1">
        <w:rPr>
          <w:rFonts w:hint="eastAsia"/>
          <w:rtl/>
        </w:rPr>
        <w:t>תקלות</w:t>
      </w:r>
      <w:r w:rsidRPr="008D2DC1">
        <w:rPr>
          <w:rtl/>
        </w:rPr>
        <w:t xml:space="preserve"> </w:t>
      </w:r>
      <w:r w:rsidRPr="008D2DC1">
        <w:rPr>
          <w:rFonts w:hint="eastAsia"/>
          <w:rtl/>
        </w:rPr>
        <w:t>ודליפות</w:t>
      </w:r>
      <w:r w:rsidRPr="008D2DC1">
        <w:rPr>
          <w:rtl/>
        </w:rPr>
        <w:t xml:space="preserve"> </w:t>
      </w:r>
      <w:r w:rsidRPr="008D2DC1">
        <w:rPr>
          <w:rFonts w:hint="eastAsia"/>
          <w:rtl/>
        </w:rPr>
        <w:t>שגרמו</w:t>
      </w:r>
      <w:r w:rsidRPr="008D2DC1">
        <w:rPr>
          <w:rtl/>
        </w:rPr>
        <w:t xml:space="preserve"> </w:t>
      </w:r>
      <w:r w:rsidRPr="008D2DC1">
        <w:rPr>
          <w:rFonts w:hint="eastAsia"/>
          <w:rtl/>
        </w:rPr>
        <w:t>לנזק</w:t>
      </w:r>
      <w:r w:rsidRPr="008D2DC1">
        <w:rPr>
          <w:rtl/>
        </w:rPr>
        <w:t xml:space="preserve"> </w:t>
      </w:r>
      <w:r w:rsidRPr="008D2DC1">
        <w:rPr>
          <w:rFonts w:hint="eastAsia"/>
          <w:rtl/>
        </w:rPr>
        <w:t>סביבתי</w:t>
      </w:r>
      <w:r w:rsidRPr="008D2DC1">
        <w:rPr>
          <w:rtl/>
        </w:rPr>
        <w:t xml:space="preserve"> </w:t>
      </w:r>
      <w:r w:rsidRPr="008D2DC1">
        <w:rPr>
          <w:rFonts w:hint="eastAsia"/>
          <w:rtl/>
        </w:rPr>
        <w:t>נרחב</w:t>
      </w:r>
      <w:r w:rsidRPr="008D2DC1">
        <w:rPr>
          <w:rtl/>
        </w:rPr>
        <w:t xml:space="preserve">, </w:t>
      </w:r>
      <w:r w:rsidRPr="008D2DC1">
        <w:rPr>
          <w:rFonts w:hint="eastAsia"/>
          <w:rtl/>
        </w:rPr>
        <w:t>שאפשר</w:t>
      </w:r>
      <w:r w:rsidRPr="008D2DC1">
        <w:rPr>
          <w:rtl/>
        </w:rPr>
        <w:t xml:space="preserve"> </w:t>
      </w:r>
      <w:r w:rsidRPr="008D2DC1">
        <w:rPr>
          <w:rFonts w:hint="eastAsia"/>
          <w:rtl/>
        </w:rPr>
        <w:t>שהיה</w:t>
      </w:r>
      <w:r w:rsidRPr="008D2DC1">
        <w:rPr>
          <w:rtl/>
        </w:rPr>
        <w:t xml:space="preserve"> </w:t>
      </w:r>
      <w:r w:rsidRPr="008D2DC1">
        <w:rPr>
          <w:rFonts w:hint="eastAsia"/>
          <w:rtl/>
        </w:rPr>
        <w:t>יכול</w:t>
      </w:r>
      <w:r w:rsidRPr="008D2DC1">
        <w:rPr>
          <w:rtl/>
        </w:rPr>
        <w:t xml:space="preserve">, </w:t>
      </w:r>
      <w:r w:rsidRPr="008D2DC1">
        <w:rPr>
          <w:rFonts w:hint="eastAsia"/>
          <w:rtl/>
        </w:rPr>
        <w:t>ולו</w:t>
      </w:r>
      <w:r w:rsidRPr="008D2DC1">
        <w:rPr>
          <w:rtl/>
        </w:rPr>
        <w:t xml:space="preserve"> </w:t>
      </w:r>
      <w:r w:rsidRPr="008D2DC1">
        <w:rPr>
          <w:rFonts w:hint="eastAsia"/>
          <w:rtl/>
        </w:rPr>
        <w:t>באופן</w:t>
      </w:r>
      <w:r w:rsidRPr="008D2DC1">
        <w:rPr>
          <w:rtl/>
        </w:rPr>
        <w:t xml:space="preserve"> </w:t>
      </w:r>
      <w:r w:rsidRPr="008D2DC1">
        <w:rPr>
          <w:rFonts w:hint="eastAsia"/>
          <w:rtl/>
        </w:rPr>
        <w:t>חלקי</w:t>
      </w:r>
      <w:r w:rsidRPr="008D2DC1">
        <w:rPr>
          <w:rtl/>
        </w:rPr>
        <w:t xml:space="preserve">, </w:t>
      </w:r>
      <w:r w:rsidRPr="008D2DC1">
        <w:rPr>
          <w:rFonts w:hint="eastAsia"/>
          <w:rtl/>
        </w:rPr>
        <w:t>להימנע</w:t>
      </w:r>
      <w:r w:rsidRPr="008D2DC1">
        <w:rPr>
          <w:rtl/>
        </w:rPr>
        <w:t xml:space="preserve">, </w:t>
      </w:r>
      <w:r w:rsidRPr="008D2DC1">
        <w:rPr>
          <w:rFonts w:hint="eastAsia"/>
          <w:rtl/>
        </w:rPr>
        <w:t>לו</w:t>
      </w:r>
      <w:r w:rsidRPr="008D2DC1">
        <w:rPr>
          <w:rtl/>
        </w:rPr>
        <w:t xml:space="preserve"> </w:t>
      </w:r>
      <w:r w:rsidRPr="008D2DC1">
        <w:rPr>
          <w:rFonts w:hint="eastAsia"/>
          <w:rtl/>
        </w:rPr>
        <w:t>היו</w:t>
      </w:r>
      <w:r w:rsidRPr="008D2DC1">
        <w:rPr>
          <w:rtl/>
        </w:rPr>
        <w:t xml:space="preserve"> </w:t>
      </w:r>
      <w:r w:rsidRPr="008D2DC1">
        <w:rPr>
          <w:rFonts w:hint="eastAsia"/>
          <w:rtl/>
        </w:rPr>
        <w:t>נ</w:t>
      </w:r>
      <w:r w:rsidRPr="008D2DC1">
        <w:rPr>
          <w:rFonts w:hint="cs"/>
          <w:rtl/>
        </w:rPr>
        <w:t xml:space="preserve">קבעים </w:t>
      </w:r>
      <w:r w:rsidRPr="008D2DC1">
        <w:rPr>
          <w:rFonts w:hint="eastAsia"/>
          <w:rtl/>
        </w:rPr>
        <w:t>למ</w:t>
      </w:r>
      <w:r w:rsidRPr="008D2DC1">
        <w:rPr>
          <w:rFonts w:hint="cs"/>
          <w:rtl/>
        </w:rPr>
        <w:t>י"ה</w:t>
      </w:r>
      <w:r w:rsidRPr="008D2DC1">
        <w:rPr>
          <w:rtl/>
        </w:rPr>
        <w:t xml:space="preserve"> </w:t>
      </w:r>
      <w:r w:rsidRPr="008D2DC1">
        <w:rPr>
          <w:rFonts w:hint="cs"/>
          <w:rtl/>
        </w:rPr>
        <w:t xml:space="preserve">תנאים סביבתיים שהייתה פועלת </w:t>
      </w:r>
      <w:r w:rsidRPr="008D2DC1">
        <w:rPr>
          <w:rFonts w:hint="eastAsia"/>
          <w:rtl/>
        </w:rPr>
        <w:t>לפיהם</w:t>
      </w:r>
      <w:r w:rsidRPr="008D2DC1">
        <w:rPr>
          <w:rtl/>
        </w:rPr>
        <w:t xml:space="preserve">. </w:t>
      </w:r>
    </w:p>
    <w:p w:rsidR="006734B0" w:rsidRPr="008D2DC1" w:rsidP="008D2DC1" w14:paraId="4FC9F72A" w14:textId="1D8B1B8B">
      <w:pPr>
        <w:pStyle w:val="710"/>
        <w:numPr>
          <w:ilvl w:val="0"/>
          <w:numId w:val="18"/>
        </w:numPr>
        <w:ind w:left="624" w:hanging="397"/>
      </w:pPr>
      <w:r w:rsidRPr="008D2DC1">
        <w:rPr>
          <w:rFonts w:hint="eastAsia"/>
          <w:bCs/>
          <w:rtl/>
        </w:rPr>
        <w:t>כרייה</w:t>
      </w:r>
      <w:r w:rsidRPr="008D2DC1">
        <w:rPr>
          <w:bCs/>
          <w:rtl/>
        </w:rPr>
        <w:t xml:space="preserve"> </w:t>
      </w:r>
      <w:r w:rsidRPr="008D2DC1">
        <w:rPr>
          <w:rFonts w:hint="eastAsia"/>
          <w:bCs/>
          <w:rtl/>
        </w:rPr>
        <w:t>וחציבה</w:t>
      </w:r>
      <w:r w:rsidRPr="008D2DC1">
        <w:rPr>
          <w:rFonts w:hint="cs"/>
          <w:bCs/>
          <w:rtl/>
        </w:rPr>
        <w:t>:</w:t>
      </w:r>
      <w:r w:rsidRPr="008D2DC1">
        <w:rPr>
          <w:rtl/>
        </w:rPr>
        <w:t xml:space="preserve"> </w:t>
      </w:r>
      <w:r w:rsidRPr="008D2DC1">
        <w:rPr>
          <w:rFonts w:hint="eastAsia"/>
          <w:rtl/>
        </w:rPr>
        <w:t>הועלה</w:t>
      </w:r>
      <w:r w:rsidRPr="008D2DC1">
        <w:rPr>
          <w:rtl/>
        </w:rPr>
        <w:t xml:space="preserve"> </w:t>
      </w:r>
      <w:r w:rsidRPr="008D2DC1">
        <w:rPr>
          <w:rFonts w:hint="eastAsia"/>
          <w:rtl/>
        </w:rPr>
        <w:t>שבמשך</w:t>
      </w:r>
      <w:r w:rsidRPr="008D2DC1">
        <w:rPr>
          <w:rtl/>
        </w:rPr>
        <w:t xml:space="preserve"> </w:t>
      </w:r>
      <w:r w:rsidRPr="008D2DC1">
        <w:rPr>
          <w:rFonts w:hint="eastAsia"/>
          <w:rtl/>
        </w:rPr>
        <w:t>שנים</w:t>
      </w:r>
      <w:r w:rsidRPr="008D2DC1">
        <w:rPr>
          <w:rtl/>
        </w:rPr>
        <w:t xml:space="preserve"> </w:t>
      </w:r>
      <w:r w:rsidRPr="008D2DC1">
        <w:rPr>
          <w:rFonts w:hint="cs"/>
          <w:rtl/>
        </w:rPr>
        <w:t xml:space="preserve">משרד </w:t>
      </w:r>
      <w:r w:rsidRPr="008D2DC1">
        <w:rPr>
          <w:rFonts w:hint="cs"/>
          <w:rtl/>
        </w:rPr>
        <w:t>האנרגייה</w:t>
      </w:r>
      <w:r w:rsidRPr="008D2DC1">
        <w:rPr>
          <w:rtl/>
        </w:rPr>
        <w:t xml:space="preserve"> </w:t>
      </w:r>
      <w:r w:rsidRPr="008D2DC1">
        <w:rPr>
          <w:rFonts w:hint="eastAsia"/>
          <w:rtl/>
        </w:rPr>
        <w:t>לא</w:t>
      </w:r>
      <w:r w:rsidRPr="008D2DC1">
        <w:rPr>
          <w:rtl/>
        </w:rPr>
        <w:t xml:space="preserve"> </w:t>
      </w:r>
      <w:r w:rsidRPr="008D2DC1">
        <w:rPr>
          <w:rFonts w:hint="eastAsia"/>
          <w:rtl/>
        </w:rPr>
        <w:t>פעל</w:t>
      </w:r>
      <w:r w:rsidRPr="008D2DC1">
        <w:rPr>
          <w:rtl/>
        </w:rPr>
        <w:t xml:space="preserve"> </w:t>
      </w:r>
      <w:r w:rsidRPr="008D2DC1">
        <w:rPr>
          <w:rFonts w:hint="eastAsia"/>
          <w:rtl/>
        </w:rPr>
        <w:t>לאסדרת</w:t>
      </w:r>
      <w:r w:rsidRPr="008D2DC1">
        <w:rPr>
          <w:rtl/>
        </w:rPr>
        <w:t xml:space="preserve"> </w:t>
      </w:r>
      <w:r w:rsidRPr="008D2DC1">
        <w:rPr>
          <w:rFonts w:hint="eastAsia"/>
          <w:rtl/>
        </w:rPr>
        <w:t>פעילות</w:t>
      </w:r>
      <w:r w:rsidRPr="008D2DC1">
        <w:rPr>
          <w:rtl/>
        </w:rPr>
        <w:t xml:space="preserve"> </w:t>
      </w:r>
      <w:r w:rsidRPr="008D2DC1">
        <w:rPr>
          <w:rFonts w:hint="eastAsia"/>
          <w:rtl/>
        </w:rPr>
        <w:t>הכרייה</w:t>
      </w:r>
      <w:r w:rsidRPr="008D2DC1">
        <w:rPr>
          <w:rtl/>
        </w:rPr>
        <w:t xml:space="preserve"> </w:t>
      </w:r>
      <w:r w:rsidRPr="008D2DC1">
        <w:rPr>
          <w:rFonts w:hint="eastAsia"/>
          <w:rtl/>
        </w:rPr>
        <w:t>בתחום</w:t>
      </w:r>
      <w:r w:rsidRPr="008D2DC1">
        <w:rPr>
          <w:rtl/>
        </w:rPr>
        <w:t xml:space="preserve"> </w:t>
      </w:r>
      <w:r w:rsidRPr="008D2DC1">
        <w:rPr>
          <w:rFonts w:hint="eastAsia"/>
          <w:rtl/>
        </w:rPr>
        <w:t>הזיכיון</w:t>
      </w:r>
      <w:r w:rsidRPr="008D2DC1">
        <w:rPr>
          <w:rtl/>
        </w:rPr>
        <w:t xml:space="preserve">, </w:t>
      </w:r>
      <w:r w:rsidRPr="008D2DC1">
        <w:rPr>
          <w:rFonts w:hint="eastAsia"/>
          <w:rtl/>
        </w:rPr>
        <w:t>כך</w:t>
      </w:r>
      <w:r w:rsidRPr="008D2DC1">
        <w:rPr>
          <w:rtl/>
        </w:rPr>
        <w:t xml:space="preserve"> </w:t>
      </w:r>
      <w:r w:rsidRPr="008D2DC1">
        <w:rPr>
          <w:rFonts w:hint="eastAsia"/>
          <w:rtl/>
        </w:rPr>
        <w:t>שבתחום</w:t>
      </w:r>
      <w:r w:rsidRPr="008D2DC1">
        <w:rPr>
          <w:rtl/>
        </w:rPr>
        <w:t xml:space="preserve"> </w:t>
      </w:r>
      <w:r w:rsidRPr="008D2DC1">
        <w:rPr>
          <w:rFonts w:hint="eastAsia"/>
          <w:rtl/>
        </w:rPr>
        <w:t>הזיכיון</w:t>
      </w:r>
      <w:r w:rsidRPr="008D2DC1">
        <w:rPr>
          <w:rtl/>
        </w:rPr>
        <w:t xml:space="preserve"> </w:t>
      </w:r>
      <w:r w:rsidRPr="008D2DC1">
        <w:rPr>
          <w:rFonts w:hint="eastAsia"/>
          <w:rtl/>
        </w:rPr>
        <w:t>הופקו</w:t>
      </w:r>
      <w:r w:rsidRPr="008D2DC1">
        <w:rPr>
          <w:rtl/>
        </w:rPr>
        <w:t xml:space="preserve"> </w:t>
      </w:r>
      <w:r w:rsidRPr="008D2DC1">
        <w:rPr>
          <w:rFonts w:hint="eastAsia"/>
          <w:rtl/>
        </w:rPr>
        <w:t>מאות</w:t>
      </w:r>
      <w:r w:rsidRPr="008D2DC1">
        <w:rPr>
          <w:rtl/>
        </w:rPr>
        <w:t xml:space="preserve"> </w:t>
      </w:r>
      <w:r w:rsidRPr="008D2DC1">
        <w:rPr>
          <w:rFonts w:hint="eastAsia"/>
          <w:rtl/>
        </w:rPr>
        <w:t>אלפי</w:t>
      </w:r>
      <w:r w:rsidRPr="008D2DC1">
        <w:rPr>
          <w:rtl/>
        </w:rPr>
        <w:t xml:space="preserve"> </w:t>
      </w:r>
      <w:r w:rsidRPr="008D2DC1">
        <w:rPr>
          <w:rFonts w:hint="eastAsia"/>
          <w:rtl/>
        </w:rPr>
        <w:t>מ</w:t>
      </w:r>
      <w:r w:rsidRPr="008D2DC1">
        <w:rPr>
          <w:rtl/>
        </w:rPr>
        <w:t xml:space="preserve">"ק </w:t>
      </w:r>
      <w:r w:rsidRPr="008D2DC1">
        <w:rPr>
          <w:rFonts w:hint="eastAsia"/>
          <w:rtl/>
        </w:rPr>
        <w:t>בלי</w:t>
      </w:r>
      <w:r w:rsidRPr="008D2DC1">
        <w:rPr>
          <w:rtl/>
        </w:rPr>
        <w:t xml:space="preserve"> </w:t>
      </w:r>
      <w:r w:rsidRPr="008D2DC1">
        <w:rPr>
          <w:rFonts w:hint="eastAsia"/>
          <w:rtl/>
        </w:rPr>
        <w:t>ש</w:t>
      </w:r>
      <w:r w:rsidRPr="008D2DC1">
        <w:rPr>
          <w:rFonts w:hint="cs"/>
          <w:rtl/>
        </w:rPr>
        <w:t xml:space="preserve">הוא </w:t>
      </w:r>
      <w:r w:rsidRPr="008D2DC1">
        <w:rPr>
          <w:rFonts w:hint="eastAsia"/>
          <w:rtl/>
        </w:rPr>
        <w:t>ביצע</w:t>
      </w:r>
      <w:r w:rsidRPr="008D2DC1">
        <w:rPr>
          <w:rtl/>
        </w:rPr>
        <w:t xml:space="preserve"> </w:t>
      </w:r>
      <w:r w:rsidRPr="008D2DC1">
        <w:rPr>
          <w:rFonts w:hint="eastAsia"/>
          <w:rtl/>
        </w:rPr>
        <w:t>פיקוח</w:t>
      </w:r>
      <w:r w:rsidRPr="008D2DC1">
        <w:rPr>
          <w:rtl/>
        </w:rPr>
        <w:t xml:space="preserve"> </w:t>
      </w:r>
      <w:r w:rsidRPr="008D2DC1">
        <w:rPr>
          <w:rFonts w:hint="eastAsia"/>
          <w:rtl/>
        </w:rPr>
        <w:t>ומעקב</w:t>
      </w:r>
      <w:r w:rsidRPr="008D2DC1">
        <w:rPr>
          <w:rtl/>
        </w:rPr>
        <w:t xml:space="preserve"> </w:t>
      </w:r>
      <w:r w:rsidRPr="008D2DC1">
        <w:rPr>
          <w:rFonts w:hint="eastAsia"/>
          <w:rtl/>
        </w:rPr>
        <w:t>בנוגע</w:t>
      </w:r>
      <w:r w:rsidRPr="008D2DC1">
        <w:rPr>
          <w:rtl/>
        </w:rPr>
        <w:t xml:space="preserve"> </w:t>
      </w:r>
      <w:r w:rsidRPr="008D2DC1">
        <w:rPr>
          <w:rFonts w:hint="eastAsia"/>
          <w:rtl/>
        </w:rPr>
        <w:t>לכמויות</w:t>
      </w:r>
      <w:r w:rsidRPr="008D2DC1">
        <w:rPr>
          <w:rtl/>
        </w:rPr>
        <w:t xml:space="preserve"> </w:t>
      </w:r>
      <w:r w:rsidRPr="008D2DC1">
        <w:rPr>
          <w:rFonts w:hint="eastAsia"/>
          <w:rtl/>
        </w:rPr>
        <w:t>שנכרו</w:t>
      </w:r>
      <w:r w:rsidRPr="008D2DC1">
        <w:rPr>
          <w:rtl/>
        </w:rPr>
        <w:t>,</w:t>
      </w:r>
      <w:r w:rsidRPr="008D2DC1">
        <w:rPr>
          <w:rFonts w:hint="cs"/>
          <w:rtl/>
        </w:rPr>
        <w:t xml:space="preserve"> </w:t>
      </w:r>
      <w:r w:rsidRPr="008D2DC1">
        <w:rPr>
          <w:rFonts w:hint="eastAsia"/>
          <w:rtl/>
        </w:rPr>
        <w:t>בלי</w:t>
      </w:r>
      <w:r w:rsidRPr="008D2DC1">
        <w:rPr>
          <w:rtl/>
        </w:rPr>
        <w:t xml:space="preserve"> </w:t>
      </w:r>
      <w:r w:rsidRPr="008D2DC1">
        <w:rPr>
          <w:rFonts w:hint="eastAsia"/>
          <w:rtl/>
        </w:rPr>
        <w:t>שה</w:t>
      </w:r>
      <w:r w:rsidRPr="008D2DC1">
        <w:rPr>
          <w:rFonts w:hint="cs"/>
          <w:rtl/>
        </w:rPr>
        <w:t>וא</w:t>
      </w:r>
      <w:r w:rsidRPr="008D2DC1">
        <w:rPr>
          <w:rtl/>
        </w:rPr>
        <w:t xml:space="preserve"> </w:t>
      </w:r>
      <w:r w:rsidRPr="008D2DC1">
        <w:rPr>
          <w:rFonts w:hint="cs"/>
          <w:rtl/>
        </w:rPr>
        <w:t>בחן את האפשרות להוציא</w:t>
      </w:r>
      <w:r w:rsidRPr="008D2DC1">
        <w:rPr>
          <w:rtl/>
        </w:rPr>
        <w:t xml:space="preserve"> </w:t>
      </w:r>
      <w:r w:rsidRPr="008D2DC1">
        <w:rPr>
          <w:rFonts w:hint="eastAsia"/>
          <w:rtl/>
        </w:rPr>
        <w:t>רישיון</w:t>
      </w:r>
      <w:r w:rsidRPr="008D2DC1">
        <w:rPr>
          <w:rtl/>
        </w:rPr>
        <w:t xml:space="preserve"> </w:t>
      </w:r>
      <w:r w:rsidRPr="008D2DC1">
        <w:rPr>
          <w:rFonts w:hint="cs"/>
          <w:rtl/>
        </w:rPr>
        <w:t>חציבה</w:t>
      </w:r>
      <w:r w:rsidRPr="008D2DC1">
        <w:rPr>
          <w:rtl/>
        </w:rPr>
        <w:t xml:space="preserve"> </w:t>
      </w:r>
      <w:r w:rsidRPr="008D2DC1">
        <w:rPr>
          <w:rFonts w:hint="cs"/>
          <w:rtl/>
        </w:rPr>
        <w:t xml:space="preserve">ובלי שמשרד </w:t>
      </w:r>
      <w:r w:rsidRPr="008D2DC1">
        <w:rPr>
          <w:rFonts w:hint="cs"/>
          <w:rtl/>
        </w:rPr>
        <w:t>האנרגייה</w:t>
      </w:r>
      <w:r w:rsidRPr="008D2DC1">
        <w:rPr>
          <w:rFonts w:hint="cs"/>
          <w:rtl/>
        </w:rPr>
        <w:t xml:space="preserve"> </w:t>
      </w:r>
      <w:r w:rsidRPr="008D2DC1">
        <w:rPr>
          <w:rFonts w:hint="cs"/>
          <w:rtl/>
        </w:rPr>
        <w:t>ורמ"י</w:t>
      </w:r>
      <w:r w:rsidRPr="008D2DC1">
        <w:rPr>
          <w:rFonts w:hint="cs"/>
          <w:rtl/>
        </w:rPr>
        <w:t xml:space="preserve"> גבו תשלום בגין כמויות הכרייה </w:t>
      </w:r>
      <w:r w:rsidRPr="008D2DC1">
        <w:rPr>
          <w:rFonts w:hint="cs"/>
          <w:rtl/>
        </w:rPr>
        <w:t>שמי"ה</w:t>
      </w:r>
      <w:r w:rsidRPr="008D2DC1">
        <w:rPr>
          <w:rFonts w:hint="cs"/>
          <w:rtl/>
        </w:rPr>
        <w:t xml:space="preserve"> הפיקה או בחנו את האפשרות לגבות תשלום כאמור</w:t>
      </w:r>
      <w:r w:rsidRPr="008D2DC1">
        <w:rPr>
          <w:rtl/>
        </w:rPr>
        <w:t xml:space="preserve">, </w:t>
      </w:r>
      <w:r w:rsidRPr="008D2DC1">
        <w:rPr>
          <w:rFonts w:hint="eastAsia"/>
          <w:rtl/>
        </w:rPr>
        <w:t>אשר</w:t>
      </w:r>
      <w:r w:rsidRPr="008D2DC1">
        <w:rPr>
          <w:rtl/>
        </w:rPr>
        <w:t xml:space="preserve"> </w:t>
      </w:r>
      <w:r w:rsidRPr="008D2DC1">
        <w:rPr>
          <w:rFonts w:hint="eastAsia"/>
          <w:rtl/>
        </w:rPr>
        <w:t>לפי</w:t>
      </w:r>
      <w:r w:rsidRPr="008D2DC1">
        <w:rPr>
          <w:rtl/>
        </w:rPr>
        <w:t xml:space="preserve"> </w:t>
      </w:r>
      <w:r w:rsidRPr="008D2DC1">
        <w:rPr>
          <w:rFonts w:hint="eastAsia"/>
          <w:rtl/>
        </w:rPr>
        <w:t>חישוב</w:t>
      </w:r>
      <w:r w:rsidRPr="008D2DC1">
        <w:rPr>
          <w:rtl/>
        </w:rPr>
        <w:t xml:space="preserve"> </w:t>
      </w:r>
      <w:r w:rsidRPr="008D2DC1">
        <w:rPr>
          <w:rFonts w:hint="eastAsia"/>
          <w:rtl/>
        </w:rPr>
        <w:t>שביצע</w:t>
      </w:r>
      <w:r w:rsidRPr="008D2DC1">
        <w:rPr>
          <w:rtl/>
        </w:rPr>
        <w:t xml:space="preserve"> </w:t>
      </w:r>
      <w:r w:rsidRPr="008D2DC1">
        <w:rPr>
          <w:rFonts w:hint="eastAsia"/>
          <w:rtl/>
        </w:rPr>
        <w:t>משרד</w:t>
      </w:r>
      <w:r w:rsidRPr="008D2DC1">
        <w:rPr>
          <w:rtl/>
        </w:rPr>
        <w:t xml:space="preserve"> </w:t>
      </w:r>
      <w:r w:rsidRPr="008D2DC1">
        <w:rPr>
          <w:rFonts w:hint="eastAsia"/>
          <w:rtl/>
        </w:rPr>
        <w:t>מבקר</w:t>
      </w:r>
      <w:r w:rsidRPr="008D2DC1">
        <w:rPr>
          <w:rtl/>
        </w:rPr>
        <w:t xml:space="preserve"> </w:t>
      </w:r>
      <w:r w:rsidRPr="008D2DC1">
        <w:rPr>
          <w:rFonts w:hint="eastAsia"/>
          <w:rtl/>
        </w:rPr>
        <w:t>המדינה</w:t>
      </w:r>
      <w:r w:rsidRPr="008D2DC1">
        <w:rPr>
          <w:rtl/>
        </w:rPr>
        <w:t xml:space="preserve"> </w:t>
      </w:r>
      <w:r w:rsidRPr="008B7DFF" w:rsidR="008B7DFF">
        <w:rPr>
          <w:rtl/>
        </w:rPr>
        <w:t>היה עשוי להגיע במהלך העשור האחרון לאחר היוונו</w:t>
      </w:r>
      <w:r w:rsidRPr="008D2DC1">
        <w:rPr>
          <w:rFonts w:hint="cs"/>
          <w:rtl/>
        </w:rPr>
        <w:t xml:space="preserve"> ליותר מ-120 מיליון ש"ח (כ-</w:t>
      </w:r>
      <w:r w:rsidRPr="008D2DC1">
        <w:rPr>
          <w:rtl/>
        </w:rPr>
        <w:t xml:space="preserve">112 </w:t>
      </w:r>
      <w:r w:rsidRPr="008D2DC1">
        <w:rPr>
          <w:rFonts w:hint="eastAsia"/>
          <w:rtl/>
        </w:rPr>
        <w:t>מיליון</w:t>
      </w:r>
      <w:r w:rsidRPr="008D2DC1">
        <w:rPr>
          <w:rFonts w:hint="cs"/>
          <w:rtl/>
        </w:rPr>
        <w:t xml:space="preserve"> ש"ח תמלוגים </w:t>
      </w:r>
      <w:r w:rsidRPr="008D2DC1">
        <w:rPr>
          <w:rFonts w:hint="cs"/>
          <w:rtl/>
        </w:rPr>
        <w:t>לרמ"י</w:t>
      </w:r>
      <w:r w:rsidRPr="008D2DC1">
        <w:rPr>
          <w:rFonts w:hint="cs"/>
          <w:rtl/>
        </w:rPr>
        <w:t xml:space="preserve"> </w:t>
      </w:r>
      <w:r w:rsidRPr="00232726" w:rsidR="00232726">
        <w:rPr>
          <w:rtl/>
        </w:rPr>
        <w:t>ויותר</w:t>
      </w:r>
      <w:r w:rsidRPr="008D2DC1">
        <w:rPr>
          <w:rFonts w:hint="cs"/>
          <w:rtl/>
        </w:rPr>
        <w:t xml:space="preserve"> מ-8.5 מיליון ש"ח </w:t>
      </w:r>
      <w:r w:rsidRPr="00232726" w:rsidR="00232726">
        <w:rPr>
          <w:rtl/>
        </w:rPr>
        <w:t>תשלום</w:t>
      </w:r>
      <w:r w:rsidRPr="008D2DC1">
        <w:rPr>
          <w:rFonts w:hint="cs"/>
          <w:rtl/>
        </w:rPr>
        <w:t xml:space="preserve"> לקרן לשיקום מחצבות)</w:t>
      </w:r>
      <w:r w:rsidRPr="008D2DC1">
        <w:rPr>
          <w:rtl/>
        </w:rPr>
        <w:t>.</w:t>
      </w:r>
    </w:p>
    <w:p w:rsidR="006734B0" w:rsidRPr="008D2DC1" w:rsidP="008D2DC1" w14:paraId="121BEF3C" w14:textId="77777777">
      <w:pPr>
        <w:pStyle w:val="710"/>
        <w:numPr>
          <w:ilvl w:val="0"/>
          <w:numId w:val="18"/>
        </w:numPr>
        <w:ind w:left="624" w:hanging="397"/>
      </w:pPr>
      <w:r w:rsidRPr="008D2DC1">
        <w:rPr>
          <w:rFonts w:hint="eastAsia"/>
          <w:bCs/>
          <w:rtl/>
        </w:rPr>
        <w:t>שימוש</w:t>
      </w:r>
      <w:r w:rsidRPr="008D2DC1">
        <w:rPr>
          <w:bCs/>
          <w:rtl/>
        </w:rPr>
        <w:t xml:space="preserve"> </w:t>
      </w:r>
      <w:r w:rsidRPr="008D2DC1">
        <w:rPr>
          <w:rFonts w:hint="eastAsia"/>
          <w:bCs/>
          <w:rtl/>
        </w:rPr>
        <w:t>בקרקעות</w:t>
      </w:r>
      <w:r w:rsidRPr="008D2DC1">
        <w:rPr>
          <w:rFonts w:hint="cs"/>
          <w:bCs/>
          <w:rtl/>
        </w:rPr>
        <w:t>:</w:t>
      </w:r>
      <w:r w:rsidRPr="008D2DC1">
        <w:rPr>
          <w:bCs/>
          <w:rtl/>
        </w:rPr>
        <w:t xml:space="preserve"> </w:t>
      </w:r>
      <w:r w:rsidRPr="008D2DC1">
        <w:rPr>
          <w:rFonts w:hint="eastAsia"/>
          <w:rtl/>
        </w:rPr>
        <w:t>הועלו</w:t>
      </w:r>
      <w:r w:rsidRPr="008D2DC1">
        <w:rPr>
          <w:rtl/>
        </w:rPr>
        <w:t xml:space="preserve"> </w:t>
      </w:r>
      <w:r w:rsidRPr="008D2DC1">
        <w:rPr>
          <w:rFonts w:hint="eastAsia"/>
          <w:rtl/>
        </w:rPr>
        <w:t>ליקויים</w:t>
      </w:r>
      <w:r w:rsidRPr="008D2DC1">
        <w:rPr>
          <w:rtl/>
        </w:rPr>
        <w:t xml:space="preserve"> </w:t>
      </w:r>
      <w:r w:rsidRPr="008D2DC1">
        <w:rPr>
          <w:rFonts w:hint="eastAsia"/>
          <w:rtl/>
        </w:rPr>
        <w:t>של</w:t>
      </w:r>
      <w:r w:rsidRPr="008D2DC1">
        <w:rPr>
          <w:rtl/>
        </w:rPr>
        <w:t xml:space="preserve"> </w:t>
      </w:r>
      <w:r w:rsidRPr="008D2DC1">
        <w:rPr>
          <w:rFonts w:hint="eastAsia"/>
          <w:rtl/>
        </w:rPr>
        <w:t>ממש</w:t>
      </w:r>
      <w:r w:rsidRPr="008D2DC1">
        <w:rPr>
          <w:rtl/>
        </w:rPr>
        <w:t xml:space="preserve"> </w:t>
      </w:r>
      <w:r w:rsidRPr="008D2DC1">
        <w:rPr>
          <w:rFonts w:hint="eastAsia"/>
          <w:rtl/>
        </w:rPr>
        <w:t>לגבי</w:t>
      </w:r>
      <w:r w:rsidRPr="008D2DC1">
        <w:rPr>
          <w:rtl/>
        </w:rPr>
        <w:t xml:space="preserve"> </w:t>
      </w:r>
      <w:r w:rsidRPr="008D2DC1">
        <w:rPr>
          <w:rFonts w:hint="eastAsia"/>
          <w:rtl/>
        </w:rPr>
        <w:t>האופן</w:t>
      </w:r>
      <w:r w:rsidRPr="008D2DC1">
        <w:rPr>
          <w:rtl/>
        </w:rPr>
        <w:t xml:space="preserve"> </w:t>
      </w:r>
      <w:r w:rsidRPr="008D2DC1">
        <w:rPr>
          <w:rFonts w:hint="eastAsia"/>
          <w:rtl/>
        </w:rPr>
        <w:t>שבו</w:t>
      </w:r>
      <w:r w:rsidRPr="008D2DC1">
        <w:rPr>
          <w:rtl/>
        </w:rPr>
        <w:t xml:space="preserve"> </w:t>
      </w:r>
      <w:r w:rsidRPr="008D2DC1">
        <w:rPr>
          <w:rFonts w:hint="eastAsia"/>
          <w:rtl/>
        </w:rPr>
        <w:t>התנהלה</w:t>
      </w:r>
      <w:r w:rsidRPr="008D2DC1">
        <w:rPr>
          <w:rtl/>
        </w:rPr>
        <w:t xml:space="preserve"> </w:t>
      </w:r>
      <w:r w:rsidRPr="008D2DC1">
        <w:rPr>
          <w:rFonts w:hint="eastAsia"/>
          <w:rtl/>
        </w:rPr>
        <w:t>רמ</w:t>
      </w:r>
      <w:r w:rsidRPr="008D2DC1">
        <w:rPr>
          <w:rtl/>
        </w:rPr>
        <w:t>"י</w:t>
      </w:r>
      <w:r w:rsidRPr="008D2DC1">
        <w:rPr>
          <w:rtl/>
        </w:rPr>
        <w:t xml:space="preserve"> </w:t>
      </w:r>
      <w:r w:rsidRPr="008D2DC1">
        <w:rPr>
          <w:rFonts w:hint="eastAsia"/>
          <w:rtl/>
        </w:rPr>
        <w:t>בכל</w:t>
      </w:r>
      <w:r w:rsidRPr="008D2DC1">
        <w:rPr>
          <w:rtl/>
        </w:rPr>
        <w:t xml:space="preserve"> </w:t>
      </w:r>
      <w:r w:rsidRPr="008D2DC1">
        <w:rPr>
          <w:rFonts w:hint="eastAsia"/>
          <w:rtl/>
        </w:rPr>
        <w:t>הנוגע</w:t>
      </w:r>
      <w:r w:rsidRPr="008D2DC1">
        <w:rPr>
          <w:rtl/>
        </w:rPr>
        <w:t xml:space="preserve"> </w:t>
      </w:r>
      <w:r w:rsidRPr="008D2DC1">
        <w:rPr>
          <w:rFonts w:hint="eastAsia"/>
          <w:rtl/>
        </w:rPr>
        <w:t>לניהול</w:t>
      </w:r>
      <w:r w:rsidRPr="008D2DC1">
        <w:rPr>
          <w:rtl/>
        </w:rPr>
        <w:t xml:space="preserve"> </w:t>
      </w:r>
      <w:r w:rsidRPr="008D2DC1">
        <w:rPr>
          <w:rFonts w:hint="eastAsia"/>
          <w:rtl/>
        </w:rPr>
        <w:t>המקרקעין</w:t>
      </w:r>
      <w:r w:rsidRPr="008D2DC1">
        <w:rPr>
          <w:rtl/>
        </w:rPr>
        <w:t xml:space="preserve"> </w:t>
      </w:r>
      <w:r w:rsidRPr="008D2DC1">
        <w:rPr>
          <w:rFonts w:hint="eastAsia"/>
          <w:rtl/>
        </w:rPr>
        <w:t>בתחום</w:t>
      </w:r>
      <w:r w:rsidRPr="008D2DC1">
        <w:rPr>
          <w:rtl/>
        </w:rPr>
        <w:t xml:space="preserve"> </w:t>
      </w:r>
      <w:r w:rsidRPr="008D2DC1">
        <w:rPr>
          <w:rFonts w:hint="eastAsia"/>
          <w:rtl/>
        </w:rPr>
        <w:t>הזיכיון</w:t>
      </w:r>
      <w:r w:rsidRPr="008D2DC1">
        <w:rPr>
          <w:rtl/>
        </w:rPr>
        <w:t xml:space="preserve">: </w:t>
      </w:r>
      <w:r w:rsidRPr="008D2DC1">
        <w:rPr>
          <w:rFonts w:hint="eastAsia"/>
          <w:rtl/>
        </w:rPr>
        <w:t>היא</w:t>
      </w:r>
      <w:r w:rsidRPr="008D2DC1">
        <w:rPr>
          <w:rtl/>
        </w:rPr>
        <w:t xml:space="preserve"> </w:t>
      </w:r>
      <w:r w:rsidRPr="008D2DC1">
        <w:rPr>
          <w:rFonts w:hint="eastAsia"/>
          <w:rtl/>
        </w:rPr>
        <w:t>לא</w:t>
      </w:r>
      <w:r w:rsidRPr="008D2DC1">
        <w:rPr>
          <w:rtl/>
        </w:rPr>
        <w:t xml:space="preserve"> </w:t>
      </w:r>
      <w:r w:rsidRPr="008D2DC1">
        <w:rPr>
          <w:rFonts w:hint="eastAsia"/>
          <w:rtl/>
        </w:rPr>
        <w:t>פעלה</w:t>
      </w:r>
      <w:r w:rsidRPr="008D2DC1">
        <w:rPr>
          <w:rtl/>
        </w:rPr>
        <w:t xml:space="preserve"> </w:t>
      </w:r>
      <w:r w:rsidRPr="008D2DC1">
        <w:rPr>
          <w:rFonts w:hint="eastAsia"/>
          <w:rtl/>
        </w:rPr>
        <w:t>להסדרת</w:t>
      </w:r>
      <w:r w:rsidRPr="008D2DC1">
        <w:rPr>
          <w:rtl/>
        </w:rPr>
        <w:t xml:space="preserve"> </w:t>
      </w:r>
      <w:r w:rsidRPr="008D2DC1">
        <w:rPr>
          <w:rFonts w:hint="eastAsia"/>
          <w:rtl/>
        </w:rPr>
        <w:t>שימושים</w:t>
      </w:r>
      <w:r w:rsidRPr="008D2DC1">
        <w:rPr>
          <w:rtl/>
        </w:rPr>
        <w:t xml:space="preserve"> </w:t>
      </w:r>
      <w:r w:rsidRPr="008D2DC1">
        <w:rPr>
          <w:rFonts w:hint="eastAsia"/>
          <w:rtl/>
        </w:rPr>
        <w:t>שונים</w:t>
      </w:r>
      <w:r w:rsidRPr="008D2DC1">
        <w:rPr>
          <w:rtl/>
        </w:rPr>
        <w:t xml:space="preserve"> </w:t>
      </w:r>
      <w:r w:rsidRPr="008D2DC1">
        <w:rPr>
          <w:rFonts w:hint="eastAsia"/>
          <w:rtl/>
        </w:rPr>
        <w:t>המתקיימים</w:t>
      </w:r>
      <w:r w:rsidRPr="008D2DC1">
        <w:rPr>
          <w:rtl/>
        </w:rPr>
        <w:t xml:space="preserve"> </w:t>
      </w:r>
      <w:r w:rsidRPr="008D2DC1">
        <w:rPr>
          <w:rFonts w:hint="eastAsia"/>
          <w:rtl/>
        </w:rPr>
        <w:t>בשטח</w:t>
      </w:r>
      <w:r w:rsidRPr="008D2DC1">
        <w:rPr>
          <w:rtl/>
        </w:rPr>
        <w:t xml:space="preserve"> </w:t>
      </w:r>
      <w:r w:rsidRPr="008D2DC1">
        <w:rPr>
          <w:rFonts w:hint="eastAsia"/>
          <w:rtl/>
        </w:rPr>
        <w:t>הזיכיון</w:t>
      </w:r>
      <w:r w:rsidRPr="008D2DC1">
        <w:rPr>
          <w:rtl/>
        </w:rPr>
        <w:t xml:space="preserve">, </w:t>
      </w:r>
      <w:r w:rsidRPr="008D2DC1">
        <w:rPr>
          <w:rFonts w:hint="eastAsia"/>
          <w:rtl/>
        </w:rPr>
        <w:t>לא</w:t>
      </w:r>
      <w:r w:rsidRPr="008D2DC1">
        <w:rPr>
          <w:rtl/>
        </w:rPr>
        <w:t xml:space="preserve"> </w:t>
      </w:r>
      <w:r w:rsidRPr="008D2DC1">
        <w:rPr>
          <w:rFonts w:hint="eastAsia"/>
          <w:rtl/>
        </w:rPr>
        <w:t>קיימה</w:t>
      </w:r>
      <w:r w:rsidRPr="008D2DC1">
        <w:rPr>
          <w:rtl/>
        </w:rPr>
        <w:t xml:space="preserve"> </w:t>
      </w:r>
      <w:r w:rsidRPr="008D2DC1">
        <w:rPr>
          <w:rFonts w:hint="eastAsia"/>
          <w:rtl/>
        </w:rPr>
        <w:t>סיורי</w:t>
      </w:r>
      <w:r w:rsidRPr="008D2DC1">
        <w:rPr>
          <w:rtl/>
        </w:rPr>
        <w:t xml:space="preserve"> </w:t>
      </w:r>
      <w:r w:rsidRPr="008D2DC1">
        <w:rPr>
          <w:rFonts w:hint="eastAsia"/>
          <w:rtl/>
        </w:rPr>
        <w:t>פיקוח</w:t>
      </w:r>
      <w:r w:rsidRPr="008D2DC1">
        <w:rPr>
          <w:rtl/>
        </w:rPr>
        <w:t xml:space="preserve"> </w:t>
      </w:r>
      <w:r w:rsidRPr="008D2DC1">
        <w:rPr>
          <w:rFonts w:hint="eastAsia"/>
          <w:rtl/>
        </w:rPr>
        <w:t>ולא</w:t>
      </w:r>
      <w:r w:rsidRPr="008D2DC1">
        <w:rPr>
          <w:rtl/>
        </w:rPr>
        <w:t xml:space="preserve"> </w:t>
      </w:r>
      <w:r w:rsidRPr="008D2DC1">
        <w:rPr>
          <w:rFonts w:hint="eastAsia"/>
          <w:rtl/>
        </w:rPr>
        <w:t>גבתה</w:t>
      </w:r>
      <w:r w:rsidRPr="008D2DC1">
        <w:rPr>
          <w:rtl/>
        </w:rPr>
        <w:t xml:space="preserve"> </w:t>
      </w:r>
      <w:r w:rsidRPr="008D2DC1">
        <w:rPr>
          <w:rFonts w:hint="eastAsia"/>
          <w:rtl/>
        </w:rPr>
        <w:t>את</w:t>
      </w:r>
      <w:r w:rsidRPr="008D2DC1">
        <w:rPr>
          <w:rtl/>
        </w:rPr>
        <w:t xml:space="preserve"> </w:t>
      </w:r>
      <w:r w:rsidRPr="008D2DC1">
        <w:rPr>
          <w:rFonts w:hint="eastAsia"/>
          <w:rtl/>
        </w:rPr>
        <w:t>התשלומים</w:t>
      </w:r>
      <w:r w:rsidRPr="008D2DC1">
        <w:rPr>
          <w:rtl/>
        </w:rPr>
        <w:t xml:space="preserve"> </w:t>
      </w:r>
      <w:r w:rsidRPr="008D2DC1">
        <w:rPr>
          <w:rFonts w:hint="eastAsia"/>
          <w:rtl/>
        </w:rPr>
        <w:t>הנדרשים</w:t>
      </w:r>
      <w:r w:rsidRPr="008D2DC1">
        <w:rPr>
          <w:rtl/>
        </w:rPr>
        <w:t xml:space="preserve">. </w:t>
      </w:r>
      <w:r w:rsidRPr="008D2DC1">
        <w:rPr>
          <w:rFonts w:hint="eastAsia"/>
          <w:rtl/>
        </w:rPr>
        <w:t>מדובר</w:t>
      </w:r>
      <w:r w:rsidRPr="008D2DC1">
        <w:rPr>
          <w:rtl/>
        </w:rPr>
        <w:t xml:space="preserve"> </w:t>
      </w:r>
      <w:r w:rsidRPr="008D2DC1">
        <w:rPr>
          <w:rFonts w:hint="eastAsia"/>
          <w:rtl/>
        </w:rPr>
        <w:t>בפגיעה</w:t>
      </w:r>
      <w:r w:rsidRPr="008D2DC1">
        <w:rPr>
          <w:rtl/>
        </w:rPr>
        <w:t xml:space="preserve"> </w:t>
      </w:r>
      <w:r w:rsidRPr="008D2DC1">
        <w:rPr>
          <w:rFonts w:hint="eastAsia"/>
          <w:rtl/>
        </w:rPr>
        <w:t>חמורה</w:t>
      </w:r>
      <w:r w:rsidRPr="008D2DC1">
        <w:rPr>
          <w:rtl/>
        </w:rPr>
        <w:t xml:space="preserve"> </w:t>
      </w:r>
      <w:r w:rsidRPr="008D2DC1">
        <w:rPr>
          <w:rFonts w:hint="eastAsia"/>
          <w:rtl/>
        </w:rPr>
        <w:t>בקופה</w:t>
      </w:r>
      <w:r w:rsidRPr="008D2DC1">
        <w:rPr>
          <w:rtl/>
        </w:rPr>
        <w:t xml:space="preserve"> </w:t>
      </w:r>
      <w:r w:rsidRPr="008D2DC1">
        <w:rPr>
          <w:rFonts w:hint="eastAsia"/>
          <w:rtl/>
        </w:rPr>
        <w:t>הציבורית</w:t>
      </w:r>
      <w:r w:rsidRPr="008D2DC1">
        <w:rPr>
          <w:rFonts w:hint="cs"/>
          <w:rtl/>
        </w:rPr>
        <w:t>, הנאמדת במיליוני ש"ח</w:t>
      </w:r>
      <w:r w:rsidRPr="008D2DC1">
        <w:rPr>
          <w:rtl/>
        </w:rPr>
        <w:t>.</w:t>
      </w:r>
    </w:p>
    <w:p w:rsidR="006734B0" w:rsidRPr="008D2DC1" w:rsidP="008D2DC1" w14:paraId="54B596A1" w14:textId="6435FD35">
      <w:pPr>
        <w:pStyle w:val="710"/>
        <w:numPr>
          <w:ilvl w:val="0"/>
          <w:numId w:val="18"/>
        </w:numPr>
        <w:spacing w:after="0"/>
        <w:ind w:left="624" w:hanging="397"/>
        <w:rPr>
          <w:rtl/>
        </w:rPr>
      </w:pPr>
      <w:r w:rsidRPr="008D2DC1">
        <w:rPr>
          <w:rFonts w:hint="eastAsia"/>
          <w:bCs/>
          <w:rtl/>
        </w:rPr>
        <w:t>פסולת</w:t>
      </w:r>
      <w:r w:rsidRPr="008D2DC1">
        <w:rPr>
          <w:rFonts w:hint="cs"/>
          <w:bCs/>
          <w:rtl/>
        </w:rPr>
        <w:t>:</w:t>
      </w:r>
      <w:r w:rsidRPr="008D2DC1">
        <w:rPr>
          <w:rtl/>
        </w:rPr>
        <w:t xml:space="preserve"> </w:t>
      </w:r>
      <w:r w:rsidRPr="008D2DC1">
        <w:rPr>
          <w:rFonts w:hint="eastAsia"/>
          <w:rtl/>
        </w:rPr>
        <w:t>ליקויים</w:t>
      </w:r>
      <w:r w:rsidRPr="008D2DC1">
        <w:rPr>
          <w:rtl/>
        </w:rPr>
        <w:t xml:space="preserve"> רבים הועלו בכל הנוגע לפיקוח של המשרד </w:t>
      </w:r>
      <w:r w:rsidRPr="008D2DC1">
        <w:rPr>
          <w:rtl/>
        </w:rPr>
        <w:t>להג"ס</w:t>
      </w:r>
      <w:r w:rsidRPr="008D2DC1">
        <w:rPr>
          <w:rtl/>
        </w:rPr>
        <w:t xml:space="preserve"> במפגעי פסולת ולטיפול שלו בהם: המשרד לא קבע דרישות או הנחיות לגבי האסדרה והטיפול </w:t>
      </w:r>
      <w:r w:rsidRPr="0004351E" w:rsidR="0004351E">
        <w:rPr>
          <w:rtl/>
        </w:rPr>
        <w:t xml:space="preserve">בזרמי הפסולת של </w:t>
      </w:r>
      <w:r w:rsidRPr="0004351E" w:rsidR="0004351E">
        <w:rPr>
          <w:rtl/>
        </w:rPr>
        <w:t>מי"ה</w:t>
      </w:r>
      <w:r w:rsidRPr="0004351E" w:rsidR="0004351E">
        <w:rPr>
          <w:rtl/>
        </w:rPr>
        <w:t xml:space="preserve"> במסגרת תנאי רישיון העסק שלה</w:t>
      </w:r>
      <w:r w:rsidRPr="00232726" w:rsidR="00232726">
        <w:rPr>
          <w:rtl/>
        </w:rPr>
        <w:t>, למעט דרישותיו משנת 2023 בנוגע למפעל המגנזיום;</w:t>
      </w:r>
      <w:r w:rsidRPr="008D2DC1">
        <w:rPr>
          <w:rtl/>
        </w:rPr>
        <w:t xml:space="preserve"> לא </w:t>
      </w:r>
      <w:r w:rsidRPr="008D2DC1">
        <w:rPr>
          <w:rFonts w:hint="cs"/>
          <w:rtl/>
        </w:rPr>
        <w:t xml:space="preserve">בחן </w:t>
      </w:r>
      <w:r w:rsidRPr="008D2DC1">
        <w:rPr>
          <w:rFonts w:hint="eastAsia"/>
          <w:rtl/>
        </w:rPr>
        <w:t>את</w:t>
      </w:r>
      <w:r w:rsidRPr="008D2DC1">
        <w:rPr>
          <w:rtl/>
        </w:rPr>
        <w:t xml:space="preserve"> </w:t>
      </w:r>
      <w:r w:rsidRPr="008D2DC1">
        <w:rPr>
          <w:rFonts w:hint="eastAsia"/>
          <w:rtl/>
        </w:rPr>
        <w:t>האפשרות</w:t>
      </w:r>
      <w:r w:rsidRPr="008D2DC1">
        <w:rPr>
          <w:rtl/>
        </w:rPr>
        <w:t xml:space="preserve"> </w:t>
      </w:r>
      <w:r w:rsidRPr="008D2DC1">
        <w:rPr>
          <w:rFonts w:hint="eastAsia"/>
          <w:rtl/>
        </w:rPr>
        <w:t>לגבות</w:t>
      </w:r>
      <w:r w:rsidRPr="008D2DC1">
        <w:rPr>
          <w:rFonts w:hint="cs"/>
          <w:rtl/>
        </w:rPr>
        <w:t xml:space="preserve"> </w:t>
      </w:r>
      <w:r w:rsidRPr="008D2DC1">
        <w:rPr>
          <w:rtl/>
        </w:rPr>
        <w:t>היטל הטמנה בגינם</w:t>
      </w:r>
      <w:r w:rsidRPr="008D2DC1">
        <w:rPr>
          <w:rFonts w:hint="cs"/>
          <w:rtl/>
        </w:rPr>
        <w:t xml:space="preserve">, אשר </w:t>
      </w:r>
      <w:r w:rsidR="00AA5E6F">
        <w:rPr>
          <w:rFonts w:hint="cs"/>
          <w:noProof/>
          <w:rtl/>
          <w:lang w:val="he-IL"/>
        </w:rPr>
        <mc:AlternateContent>
          <mc:Choice Requires="wps">
            <w:drawing>
              <wp:anchor distT="0" distB="0" distL="114300" distR="114300" simplePos="0" relativeHeight="251658240" behindDoc="1" locked="0" layoutInCell="1" allowOverlap="1">
                <wp:simplePos x="0" y="0"/>
                <wp:positionH relativeFrom="column">
                  <wp:posOffset>-35126</wp:posOffset>
                </wp:positionH>
                <wp:positionV relativeFrom="paragraph">
                  <wp:posOffset>-4058</wp:posOffset>
                </wp:positionV>
                <wp:extent cx="4758690" cy="6006992"/>
                <wp:effectExtent l="0" t="0" r="3810" b="635"/>
                <wp:wrapNone/>
                <wp:docPr id="1150320665" name="Rectangle 28"/>
                <wp:cNvGraphicFramePr/>
                <a:graphic xmlns:a="http://schemas.openxmlformats.org/drawingml/2006/main">
                  <a:graphicData uri="http://schemas.microsoft.com/office/word/2010/wordprocessingShape">
                    <wps:wsp xmlns:wps="http://schemas.microsoft.com/office/word/2010/wordprocessingShape">
                      <wps:cNvSpPr/>
                      <wps:spPr>
                        <a:xfrm>
                          <a:off x="0" y="0"/>
                          <a:ext cx="4758690" cy="6006992"/>
                        </a:xfrm>
                        <a:prstGeom prst="rect">
                          <a:avLst/>
                        </a:prstGeom>
                        <a:solidFill>
                          <a:srgbClr val="CEEAF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8" o:spid="_x0000_s1038" style="width:374.7pt;height:473pt;margin-top:-0.3pt;margin-left:-2.75pt;mso-height-percent:0;mso-height-relative:margin;mso-width-percent:0;mso-width-relative:margin;mso-wrap-distance-bottom:0;mso-wrap-distance-left:9pt;mso-wrap-distance-right:9pt;mso-wrap-distance-top:0;mso-wrap-style:square;position:absolute;visibility:visible;v-text-anchor:middle;z-index:-251657216" fillcolor="#ceeaf6" stroked="f" strokeweight="1.25pt"/>
            </w:pict>
          </mc:Fallback>
        </mc:AlternateContent>
      </w:r>
      <w:r w:rsidRPr="008D2DC1">
        <w:rPr>
          <w:rFonts w:hint="cs"/>
          <w:rtl/>
        </w:rPr>
        <w:t>עשוי להגיע לפי חישוב של משרד מבקר המדינה לכדי עשרות מיליוני ש"ח מדי שנה</w:t>
      </w:r>
      <w:r w:rsidRPr="008D2DC1">
        <w:rPr>
          <w:rtl/>
        </w:rPr>
        <w:t xml:space="preserve">; לא קבע דרישות מחייבות לגבי שיקום </w:t>
      </w:r>
      <w:r w:rsidRPr="00232726" w:rsidR="00232726">
        <w:rPr>
          <w:rtl/>
        </w:rPr>
        <w:t>מפגעי פסולת</w:t>
      </w:r>
      <w:r w:rsidRPr="008D2DC1">
        <w:rPr>
          <w:rFonts w:hint="cs"/>
          <w:rtl/>
        </w:rPr>
        <w:t>;</w:t>
      </w:r>
      <w:r w:rsidRPr="008D2DC1">
        <w:rPr>
          <w:rtl/>
        </w:rPr>
        <w:t xml:space="preserve"> </w:t>
      </w:r>
      <w:r w:rsidRPr="008D2DC1">
        <w:rPr>
          <w:rFonts w:hint="eastAsia"/>
          <w:rtl/>
        </w:rPr>
        <w:t>ופסולת</w:t>
      </w:r>
      <w:r w:rsidRPr="008D2DC1">
        <w:rPr>
          <w:rtl/>
        </w:rPr>
        <w:t xml:space="preserve"> </w:t>
      </w:r>
      <w:r w:rsidRPr="008D2DC1">
        <w:rPr>
          <w:rFonts w:hint="eastAsia"/>
          <w:rtl/>
        </w:rPr>
        <w:t>הוטמנ</w:t>
      </w:r>
      <w:r w:rsidRPr="008D2DC1">
        <w:rPr>
          <w:rFonts w:hint="cs"/>
          <w:rtl/>
        </w:rPr>
        <w:t>ה</w:t>
      </w:r>
      <w:r w:rsidRPr="008D2DC1">
        <w:rPr>
          <w:rtl/>
        </w:rPr>
        <w:t xml:space="preserve"> </w:t>
      </w:r>
      <w:r w:rsidRPr="008D2DC1">
        <w:rPr>
          <w:rFonts w:hint="eastAsia"/>
          <w:rtl/>
        </w:rPr>
        <w:t>בתחום</w:t>
      </w:r>
      <w:r w:rsidRPr="008D2DC1">
        <w:rPr>
          <w:rtl/>
        </w:rPr>
        <w:t xml:space="preserve"> </w:t>
      </w:r>
      <w:r w:rsidRPr="008D2DC1">
        <w:rPr>
          <w:rFonts w:hint="eastAsia"/>
          <w:rtl/>
        </w:rPr>
        <w:t>הזיכיון</w:t>
      </w:r>
      <w:r w:rsidRPr="008D2DC1">
        <w:rPr>
          <w:rtl/>
        </w:rPr>
        <w:t xml:space="preserve">, </w:t>
      </w:r>
      <w:r w:rsidRPr="008D2DC1">
        <w:rPr>
          <w:rFonts w:hint="eastAsia"/>
          <w:rtl/>
        </w:rPr>
        <w:t>בלי</w:t>
      </w:r>
      <w:r w:rsidRPr="008D2DC1">
        <w:rPr>
          <w:rtl/>
        </w:rPr>
        <w:t xml:space="preserve"> </w:t>
      </w:r>
      <w:r w:rsidRPr="008D2DC1">
        <w:rPr>
          <w:rFonts w:hint="eastAsia"/>
          <w:rtl/>
        </w:rPr>
        <w:t>שהמשרד</w:t>
      </w:r>
      <w:r w:rsidRPr="008D2DC1">
        <w:rPr>
          <w:rtl/>
        </w:rPr>
        <w:t xml:space="preserve"> </w:t>
      </w:r>
      <w:r w:rsidRPr="008D2DC1">
        <w:rPr>
          <w:rFonts w:hint="eastAsia"/>
          <w:rtl/>
        </w:rPr>
        <w:t>גיבש</w:t>
      </w:r>
      <w:r w:rsidRPr="008D2DC1">
        <w:rPr>
          <w:rtl/>
        </w:rPr>
        <w:t xml:space="preserve"> </w:t>
      </w:r>
      <w:r w:rsidRPr="008D2DC1">
        <w:rPr>
          <w:rFonts w:hint="eastAsia"/>
          <w:rtl/>
        </w:rPr>
        <w:t>מדיניות</w:t>
      </w:r>
      <w:r w:rsidRPr="008D2DC1">
        <w:rPr>
          <w:rtl/>
        </w:rPr>
        <w:t xml:space="preserve"> </w:t>
      </w:r>
      <w:r w:rsidRPr="008D2DC1">
        <w:rPr>
          <w:rFonts w:hint="eastAsia"/>
          <w:rtl/>
        </w:rPr>
        <w:t>סדורה</w:t>
      </w:r>
      <w:r w:rsidRPr="008D2DC1">
        <w:rPr>
          <w:rtl/>
        </w:rPr>
        <w:t xml:space="preserve"> </w:t>
      </w:r>
      <w:r w:rsidRPr="008D2DC1">
        <w:rPr>
          <w:rFonts w:hint="eastAsia"/>
          <w:rtl/>
        </w:rPr>
        <w:t>בנושא</w:t>
      </w:r>
      <w:r w:rsidRPr="008D2DC1">
        <w:rPr>
          <w:rtl/>
        </w:rPr>
        <w:t xml:space="preserve"> </w:t>
      </w:r>
      <w:r w:rsidRPr="008D2DC1">
        <w:rPr>
          <w:rFonts w:hint="eastAsia"/>
          <w:rtl/>
        </w:rPr>
        <w:t>ובלי</w:t>
      </w:r>
      <w:r w:rsidRPr="008D2DC1">
        <w:rPr>
          <w:rtl/>
        </w:rPr>
        <w:t xml:space="preserve"> </w:t>
      </w:r>
      <w:r w:rsidRPr="008D2DC1">
        <w:rPr>
          <w:rFonts w:hint="eastAsia"/>
          <w:rtl/>
        </w:rPr>
        <w:t>שהוא</w:t>
      </w:r>
      <w:r w:rsidRPr="008D2DC1">
        <w:rPr>
          <w:rtl/>
        </w:rPr>
        <w:t xml:space="preserve"> </w:t>
      </w:r>
      <w:r w:rsidRPr="008D2DC1">
        <w:rPr>
          <w:rFonts w:hint="eastAsia"/>
          <w:rtl/>
        </w:rPr>
        <w:t>בחן</w:t>
      </w:r>
      <w:r w:rsidRPr="008D2DC1">
        <w:rPr>
          <w:rtl/>
        </w:rPr>
        <w:t xml:space="preserve"> </w:t>
      </w:r>
      <w:r w:rsidRPr="008D2DC1">
        <w:rPr>
          <w:rFonts w:hint="eastAsia"/>
          <w:rtl/>
        </w:rPr>
        <w:t>את</w:t>
      </w:r>
      <w:r w:rsidRPr="008D2DC1">
        <w:rPr>
          <w:rtl/>
        </w:rPr>
        <w:t xml:space="preserve"> </w:t>
      </w:r>
      <w:r w:rsidRPr="008D2DC1">
        <w:rPr>
          <w:rFonts w:hint="eastAsia"/>
          <w:rtl/>
        </w:rPr>
        <w:t>ההשפעות</w:t>
      </w:r>
      <w:r w:rsidRPr="008D2DC1">
        <w:rPr>
          <w:rtl/>
        </w:rPr>
        <w:t xml:space="preserve"> </w:t>
      </w:r>
      <w:r w:rsidRPr="008D2DC1">
        <w:rPr>
          <w:rFonts w:hint="eastAsia"/>
          <w:rtl/>
        </w:rPr>
        <w:t>הסביבתיות</w:t>
      </w:r>
      <w:r w:rsidRPr="008D2DC1">
        <w:rPr>
          <w:rtl/>
        </w:rPr>
        <w:t xml:space="preserve"> </w:t>
      </w:r>
      <w:r w:rsidRPr="008D2DC1">
        <w:rPr>
          <w:rFonts w:hint="eastAsia"/>
          <w:rtl/>
        </w:rPr>
        <w:t>של</w:t>
      </w:r>
      <w:r w:rsidRPr="008D2DC1">
        <w:rPr>
          <w:rtl/>
        </w:rPr>
        <w:t xml:space="preserve"> </w:t>
      </w:r>
      <w:r w:rsidRPr="008D2DC1">
        <w:rPr>
          <w:rFonts w:hint="eastAsia"/>
          <w:rtl/>
        </w:rPr>
        <w:t>פרקטיקה</w:t>
      </w:r>
      <w:r w:rsidRPr="008D2DC1">
        <w:rPr>
          <w:rtl/>
        </w:rPr>
        <w:t xml:space="preserve"> </w:t>
      </w:r>
      <w:r w:rsidRPr="008D2DC1">
        <w:rPr>
          <w:rFonts w:hint="eastAsia"/>
          <w:rtl/>
        </w:rPr>
        <w:t>זו</w:t>
      </w:r>
      <w:r w:rsidRPr="008D2DC1">
        <w:rPr>
          <w:rtl/>
        </w:rPr>
        <w:t>.</w:t>
      </w:r>
    </w:p>
    <w:p w:rsidR="006734B0" w:rsidRPr="008D2DC1" w:rsidP="008D2DC1" w14:paraId="5560836A" w14:textId="77777777">
      <w:pPr>
        <w:pStyle w:val="7318"/>
      </w:pPr>
      <w:r w:rsidRPr="008D2DC1">
        <w:rPr>
          <w:rFonts w:hint="cs"/>
          <w:rtl/>
        </w:rPr>
        <w:t xml:space="preserve">עוד הועלה כי משרד האוצר ושר האוצר, כשר האחראי לזיכיון, לא שימשו גורם </w:t>
      </w:r>
      <w:r w:rsidRPr="008D2DC1">
        <w:rPr>
          <w:rFonts w:hint="cs"/>
          <w:rtl/>
        </w:rPr>
        <w:t>מתכלל</w:t>
      </w:r>
      <w:r w:rsidRPr="008D2DC1">
        <w:rPr>
          <w:rFonts w:hint="cs"/>
          <w:rtl/>
        </w:rPr>
        <w:t xml:space="preserve">, לא פיקחו אחר הנעשה בתחום הזיכיון, לא בדקו כי הגורמים </w:t>
      </w:r>
      <w:r w:rsidRPr="008D2DC1">
        <w:rPr>
          <w:rFonts w:hint="cs"/>
          <w:rtl/>
        </w:rPr>
        <w:t>המאסדרים</w:t>
      </w:r>
      <w:r w:rsidRPr="008D2DC1">
        <w:rPr>
          <w:rFonts w:hint="cs"/>
          <w:rtl/>
        </w:rPr>
        <w:t xml:space="preserve"> מממשים את סמכויותיהם וגובים את התשלומים הנדרשים </w:t>
      </w:r>
      <w:r w:rsidRPr="008D2DC1">
        <w:rPr>
          <w:rFonts w:hint="cs"/>
          <w:rtl/>
        </w:rPr>
        <w:t>ממי"ה</w:t>
      </w:r>
      <w:r w:rsidRPr="008D2DC1">
        <w:rPr>
          <w:rFonts w:hint="cs"/>
          <w:rtl/>
        </w:rPr>
        <w:t>, אף שהדבר הכרחי לצורך שמירת אינטרסים חיוניים של המדינה.</w:t>
      </w:r>
    </w:p>
    <w:p w:rsidR="006734B0" w:rsidRPr="008D2DC1" w:rsidP="008D2DC1" w14:paraId="729E6D0B" w14:textId="2A638B19">
      <w:pPr>
        <w:pStyle w:val="7318"/>
        <w:rPr>
          <w:rtl/>
        </w:rPr>
      </w:pPr>
      <w:r w:rsidRPr="008D2DC1">
        <w:rPr>
          <w:rFonts w:hint="cs"/>
          <w:rtl/>
        </w:rPr>
        <w:t xml:space="preserve">מדובר בכשלים </w:t>
      </w:r>
      <w:r w:rsidRPr="008D2DC1">
        <w:rPr>
          <w:rFonts w:hint="cs"/>
          <w:rtl/>
        </w:rPr>
        <w:t>אסדרתיים</w:t>
      </w:r>
      <w:r w:rsidRPr="008D2DC1">
        <w:rPr>
          <w:rFonts w:hint="cs"/>
          <w:rtl/>
        </w:rPr>
        <w:t xml:space="preserve"> חמורים שמשכם והצטברותם הכוללת מעידים על אוזלת יד ובעיית משילות משמעותית בפיקוח על זיכיון ים המלח ובניהול שלו </w:t>
      </w:r>
      <w:r w:rsidRPr="008D2DC1">
        <w:rPr>
          <w:rFonts w:hint="eastAsia"/>
          <w:rtl/>
        </w:rPr>
        <w:t>בהיבטים</w:t>
      </w:r>
      <w:r w:rsidRPr="008D2DC1">
        <w:rPr>
          <w:rtl/>
        </w:rPr>
        <w:t xml:space="preserve"> </w:t>
      </w:r>
      <w:r w:rsidRPr="008D2DC1">
        <w:rPr>
          <w:rFonts w:hint="cs"/>
          <w:rtl/>
        </w:rPr>
        <w:t>בתחומי ה</w:t>
      </w:r>
      <w:r w:rsidRPr="008D2DC1">
        <w:rPr>
          <w:rFonts w:hint="eastAsia"/>
          <w:rtl/>
        </w:rPr>
        <w:t>סביב</w:t>
      </w:r>
      <w:r w:rsidRPr="008D2DC1">
        <w:rPr>
          <w:rFonts w:hint="cs"/>
          <w:rtl/>
        </w:rPr>
        <w:t>ה והמקרקעין</w:t>
      </w:r>
      <w:r w:rsidRPr="008D2DC1">
        <w:rPr>
          <w:rtl/>
        </w:rPr>
        <w:t>.</w:t>
      </w:r>
      <w:r w:rsidRPr="008D2DC1">
        <w:rPr>
          <w:rFonts w:hint="cs"/>
          <w:rtl/>
        </w:rPr>
        <w:t xml:space="preserve"> הדברים חמורים בפרט לנוכח החותם הסביבתי הניכר של הפעילות התעשייתית בחבל ארץ ייחודי זה של ים המלח. </w:t>
      </w:r>
    </w:p>
    <w:p w:rsidR="006734B0" w:rsidRPr="008D2DC1" w:rsidP="008D2DC1" w14:paraId="42CA42A5" w14:textId="099BC33C">
      <w:pPr>
        <w:pStyle w:val="7318"/>
        <w:rPr>
          <w:rtl/>
        </w:rPr>
      </w:pPr>
      <w:r w:rsidRPr="008D2DC1">
        <w:rPr>
          <w:rFonts w:hint="cs"/>
          <w:rtl/>
        </w:rPr>
        <w:t xml:space="preserve">על משרד האוצר, המוביל את עבודת המטה הממשלתית לגיבוש הסדר זיכיון עתידי לאור סיום הזיכיון הנוכחי בשנת 2030, בשיתוף המשרד </w:t>
      </w:r>
      <w:r w:rsidRPr="008D2DC1">
        <w:rPr>
          <w:rFonts w:hint="cs"/>
          <w:rtl/>
        </w:rPr>
        <w:t>להג"ס</w:t>
      </w:r>
      <w:r w:rsidRPr="008D2DC1">
        <w:rPr>
          <w:rFonts w:hint="cs"/>
          <w:rtl/>
        </w:rPr>
        <w:t xml:space="preserve">, לבחון כיצד ניתן לתת מענה </w:t>
      </w:r>
      <w:r w:rsidR="00AA5E6F">
        <w:softHyphen/>
      </w:r>
      <w:r w:rsidR="00AA5E6F">
        <w:softHyphen/>
      </w:r>
      <w:r w:rsidR="00AA5E6F">
        <w:softHyphen/>
      </w:r>
      <w:r w:rsidRPr="008D2DC1">
        <w:rPr>
          <w:rFonts w:hint="cs"/>
          <w:rtl/>
        </w:rPr>
        <w:t>לסוגיות השונות שהועלו בדוח</w:t>
      </w:r>
      <w:r w:rsidR="00B703D6">
        <w:rPr>
          <w:rtl/>
        </w:rPr>
        <w:softHyphen/>
      </w:r>
      <w:r w:rsidR="00B703D6">
        <w:rPr>
          <w:rtl/>
        </w:rPr>
        <w:softHyphen/>
      </w:r>
      <w:r w:rsidRPr="008D2DC1">
        <w:rPr>
          <w:rFonts w:hint="cs"/>
          <w:rtl/>
        </w:rPr>
        <w:t xml:space="preserve">, וכן לבחון את הצורך בהקמת גוף </w:t>
      </w:r>
      <w:r w:rsidRPr="008D2DC1">
        <w:rPr>
          <w:rFonts w:hint="cs"/>
          <w:rtl/>
        </w:rPr>
        <w:t>מתכלל</w:t>
      </w:r>
      <w:r w:rsidRPr="008D2DC1">
        <w:rPr>
          <w:rFonts w:hint="cs"/>
          <w:rtl/>
        </w:rPr>
        <w:t xml:space="preserve"> ייעודי שיסייע בניהול הזיכיון העתידי ובפיקוח עליו. </w:t>
      </w:r>
    </w:p>
    <w:p w:rsidR="006734B0" w:rsidRPr="008D2DC1" w:rsidP="008D2DC1" w14:paraId="646B9353" w14:textId="1876EEDE">
      <w:pPr>
        <w:pStyle w:val="7318"/>
        <w:rPr>
          <w:rtl/>
        </w:rPr>
      </w:pPr>
      <w:r w:rsidRPr="008D2DC1">
        <w:rPr>
          <w:rFonts w:hint="cs"/>
          <w:rtl/>
        </w:rPr>
        <w:t xml:space="preserve">אוצרות הטבע של ים המלח שייכים בראש ובראשונה לציבור. יש בממצאים החמורים והרבים שהועלו בדוח כדי להדאיג כל אזרח ואזרח במדינה בשל האופן הלקוי שבו נוהל זיכיון ים המלח עד כה, בלי שנשמרו האינטרסים הסביבתיים והכלכליים כיאות, בניגוד לעקרון </w:t>
      </w:r>
      <w:r w:rsidRPr="00232726" w:rsidR="00232726">
        <w:rPr>
          <w:rtl/>
        </w:rPr>
        <w:t>"המזהם משלם"</w:t>
      </w:r>
      <w:r w:rsidR="00232726">
        <w:rPr>
          <w:rFonts w:hint="cs"/>
          <w:rtl/>
        </w:rPr>
        <w:t xml:space="preserve"> </w:t>
      </w:r>
      <w:r w:rsidRPr="008D2DC1">
        <w:rPr>
          <w:rFonts w:hint="cs"/>
          <w:rtl/>
        </w:rPr>
        <w:t xml:space="preserve">ותוך פגיעה בצדק החלוקתי. משרד מבקר המדינה מצפה מכל הגורמים שהוזכרו בדוח לפעול בנחישות לתיקון הליקויים שהועלו. בעניין זה נדרשים גם השרים והמנכ"לים האחראים להיות מעורבים בהליך תיקון הליקויים ויישום ההמלצות בדוח. עוד מצופה כי לנוכח הממצאים המועלים בדוח, משרדי הממשלה והגופים המוזכרים בדוח ובהם משרד האוצר, המשרד </w:t>
      </w:r>
      <w:r w:rsidRPr="008D2DC1">
        <w:rPr>
          <w:rFonts w:hint="cs"/>
          <w:rtl/>
        </w:rPr>
        <w:t>להג"ס</w:t>
      </w:r>
      <w:r w:rsidRPr="008D2DC1">
        <w:rPr>
          <w:rFonts w:hint="cs"/>
          <w:rtl/>
        </w:rPr>
        <w:t xml:space="preserve">, משרד </w:t>
      </w:r>
      <w:r w:rsidRPr="008D2DC1">
        <w:rPr>
          <w:rFonts w:hint="cs"/>
          <w:rtl/>
        </w:rPr>
        <w:t>האנרגייה</w:t>
      </w:r>
      <w:r w:rsidRPr="008D2DC1">
        <w:rPr>
          <w:rFonts w:hint="cs"/>
          <w:rtl/>
        </w:rPr>
        <w:t xml:space="preserve"> </w:t>
      </w:r>
      <w:r w:rsidRPr="008D2DC1">
        <w:rPr>
          <w:rFonts w:hint="cs"/>
          <w:rtl/>
        </w:rPr>
        <w:t>ורמ"י</w:t>
      </w:r>
      <w:r w:rsidRPr="008D2DC1">
        <w:rPr>
          <w:rFonts w:hint="cs"/>
          <w:rtl/>
        </w:rPr>
        <w:t xml:space="preserve">, יבצעו בחינה מעמיקה לגבי האופן שבו הם מתנהלים מול מפעלי תעשייה גדולים אחרים, ויוודאו כי לא קיים כשל רגולטורי ביישום סמכויותיהם, כמו הכשל הבא לידי ביטוי בדוח זה. </w:t>
      </w:r>
    </w:p>
    <w:p w:rsidR="00D57BE9" w:rsidRPr="008D2DC1" w:rsidP="008D2DC1" w14:paraId="242B4A78" w14:textId="3FE3B935">
      <w:pPr>
        <w:pStyle w:val="7318"/>
        <w:rPr>
          <w:rtl/>
        </w:rPr>
      </w:pPr>
      <w:r w:rsidRPr="008D2DC1">
        <w:rPr>
          <w:rFonts w:hint="cs"/>
          <w:rtl/>
        </w:rPr>
        <w:t xml:space="preserve">יובהר כי אין בממצאי דוח זה כדי להטיל דופי בפועלה של </w:t>
      </w:r>
      <w:r w:rsidRPr="008D2DC1">
        <w:rPr>
          <w:rFonts w:hint="cs"/>
          <w:rtl/>
        </w:rPr>
        <w:t>מי"ה</w:t>
      </w:r>
      <w:r w:rsidRPr="008D2DC1">
        <w:rPr>
          <w:rFonts w:hint="cs"/>
          <w:rtl/>
        </w:rPr>
        <w:t xml:space="preserve"> למען פיתוח אזור הנגב והמדינה. לדעת משרד מבקר המדינה, דווקא נוכח חשיבות פעילותה של </w:t>
      </w:r>
      <w:r w:rsidRPr="008D2DC1">
        <w:rPr>
          <w:rFonts w:hint="cs"/>
          <w:rtl/>
        </w:rPr>
        <w:t>מי"ה</w:t>
      </w:r>
      <w:r w:rsidRPr="008D2DC1">
        <w:rPr>
          <w:rFonts w:hint="cs"/>
          <w:rtl/>
        </w:rPr>
        <w:t xml:space="preserve"> ושל כל בעל זיכיון עתידי, ונוכח השימוש הנרחב במשאבי טבע מכוח הזיכיון והשפעתו על הסביבה, הנטל על תיקון הליקויים המועלים בדוח זה הוא מוגבר. יש מקום לשקול להחיל את ביקורת המדינה על בעל הזיכיון בכל הנוגע לפעילותו במשאבי ים המלח וסביבתו. </w:t>
      </w:r>
      <w:r w:rsidRPr="008D2DC1">
        <w:rPr>
          <w:rtl/>
        </w:rPr>
        <w:t xml:space="preserve">בראייה צופת פני עתיד </w:t>
      </w:r>
      <w:r w:rsidRPr="008D2DC1">
        <w:rPr>
          <w:rFonts w:hint="cs"/>
          <w:rtl/>
        </w:rPr>
        <w:t xml:space="preserve">ממצאיו של דוח זה ראויים ללמידה והפקת לקחים בעת הזו ממש, שעה שהמדינה נערכת לגיבוש הסדר זיכיון חדש לקראת </w:t>
      </w:r>
      <w:r w:rsidRPr="00A15BE1" w:rsidR="00A15BE1">
        <w:rPr>
          <w:rtl/>
        </w:rPr>
        <w:t>סיום</w:t>
      </w:r>
      <w:r w:rsidR="00A15BE1">
        <w:rPr>
          <w:rFonts w:hint="cs"/>
          <w:rtl/>
        </w:rPr>
        <w:t xml:space="preserve"> </w:t>
      </w:r>
      <w:r w:rsidRPr="008D2DC1">
        <w:rPr>
          <w:rFonts w:hint="cs"/>
          <w:rtl/>
        </w:rPr>
        <w:t xml:space="preserve">הזיכיון בשנת 2030. </w:t>
      </w:r>
      <w:bookmarkEnd w:id="35"/>
      <w:bookmarkEnd w:id="36"/>
      <w:bookmarkEnd w:id="37"/>
      <w:bookmarkEnd w:id="57"/>
      <w:bookmarkEnd w:id="58"/>
    </w:p>
    <w:sectPr w:rsidSect="00F35B8C">
      <w:headerReference w:type="default" r:id="rId60"/>
      <w:pgSz w:w="11906" w:h="16838" w:code="9"/>
      <w:pgMar w:top="3062" w:right="2268" w:bottom="2552" w:left="2268" w:header="1134" w:footer="1361"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E2248E" w14:paraId="1780A7ED" w14:textId="77777777">
      <w:pPr>
        <w:spacing w:line="240" w:lineRule="auto"/>
      </w:pPr>
      <w:r>
        <w:separator/>
      </w:r>
    </w:p>
    <w:p w:rsidR="00E2248E" w14:paraId="3DB6EBCA" w14:textId="77777777"/>
    <w:p w:rsidR="00E2248E" w14:paraId="2D80832B" w14:textId="77777777"/>
    <w:p w:rsidR="00E2248E" w14:paraId="3634D9D8" w14:textId="77777777"/>
  </w:endnote>
  <w:endnote w:type="continuationSeparator" w:id="1">
    <w:p w:rsidR="00E2248E" w14:paraId="2AF3E819" w14:textId="77777777">
      <w:pPr>
        <w:spacing w:line="240" w:lineRule="auto"/>
      </w:pPr>
      <w:r>
        <w:continuationSeparator/>
      </w:r>
    </w:p>
    <w:p w:rsidR="00E2248E" w14:paraId="6A1BD096" w14:textId="77777777"/>
    <w:p w:rsidR="00E2248E" w14:paraId="481DEB99" w14:textId="77777777"/>
    <w:p w:rsidR="00E2248E" w14:paraId="3EE4360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avid">
    <w:altName w:val="Malgun Gothic Semilight"/>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Tw Cen MT">
    <w:altName w:val="Calibri"/>
    <w:panose1 w:val="020B0602020104020603"/>
    <w:charset w:val="00"/>
    <w:family w:val="swiss"/>
    <w:pitch w:val="variable"/>
    <w:sig w:usb0="00000007" w:usb1="00000000" w:usb2="00000000" w:usb3="00000000" w:csb0="00000003" w:csb1="00000000"/>
  </w:font>
  <w:font w:name="TypoUpright BT">
    <w:panose1 w:val="020B0604020202020204"/>
    <w:charset w:val="00"/>
    <w:family w:val="script"/>
    <w:pitch w:val="variable"/>
    <w:sig w:usb0="00000087" w:usb1="00000000" w:usb2="00000000" w:usb3="00000000" w:csb0="0000001B" w:csb1="00000000"/>
  </w:font>
  <w:font w:name="Tw Cen MT Condensed">
    <w:altName w:val="Calibri"/>
    <w:panose1 w:val="020B0606020104020203"/>
    <w:charset w:val="00"/>
    <w:family w:val="swiss"/>
    <w:pitch w:val="variable"/>
    <w:sig w:usb0="00000007" w:usb1="00000000" w:usb2="00000000" w:usb3="00000000" w:csb0="00000003" w:csb1="00000000"/>
  </w:font>
  <w:font w:name="Levenim MT">
    <w:altName w:val="Arial"/>
    <w:panose1 w:val="02010502060101010101"/>
    <w:charset w:val="B1"/>
    <w:family w:val="auto"/>
    <w:pitch w:val="variable"/>
    <w:sig w:usb0="00000803" w:usb1="00000000" w:usb2="00000000" w:usb3="00000000" w:csb0="00000021" w:csb1="00000000"/>
  </w:font>
  <w:font w:name="Almoni ML Regular AAA">
    <w:altName w:val="Arial"/>
    <w:panose1 w:val="00000500000000000000"/>
    <w:charset w:val="B1"/>
    <w:family w:val="auto"/>
    <w:pitch w:val="variable"/>
    <w:sig w:usb0="00000A07" w:usb1="40000000" w:usb2="00000000" w:usb3="00000000" w:csb0="000000B7" w:csb1="00000000"/>
  </w:font>
  <w:font w:name="Lucida Sans Unicode">
    <w:panose1 w:val="020B0602030504020204"/>
    <w:charset w:val="00"/>
    <w:family w:val="swiss"/>
    <w:pitch w:val="variable"/>
    <w:sig w:usb0="80000AFF" w:usb1="0000396B" w:usb2="00000000" w:usb3="00000000" w:csb0="000000BF" w:csb1="00000000"/>
  </w:font>
  <w:font w:name="Arial Bold">
    <w:altName w:val="Arial"/>
    <w:panose1 w:val="020B0604020202020204"/>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FrankRuehl">
    <w:panose1 w:val="020E0503060101010101"/>
    <w:charset w:val="B1"/>
    <w:family w:val="swiss"/>
    <w:pitch w:val="variable"/>
    <w:sig w:usb0="00000803" w:usb1="00000000" w:usb2="00000000" w:usb3="00000000" w:csb0="00000021" w:csb1="00000000"/>
  </w:font>
  <w:font w:name="Gotham Narrow Light">
    <w:altName w:val="Tahoma"/>
    <w:panose1 w:val="00000000000000000000"/>
    <w:charset w:val="00"/>
    <w:family w:val="auto"/>
    <w:notTrueType/>
    <w:pitch w:val="variable"/>
    <w:sig w:usb0="800000AF" w:usb1="50000048" w:usb2="00000000" w:usb3="00000000" w:csb0="00000111" w:csb1="00000000"/>
  </w:font>
  <w:font w:name="Rubik">
    <w:panose1 w:val="00000000000000000000"/>
    <w:charset w:val="B1"/>
    <w:family w:val="auto"/>
    <w:pitch w:val="variable"/>
    <w:sig w:usb0="A0000A6F" w:usb1="4000205B" w:usb2="00000000" w:usb3="00000000" w:csb0="000000B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6E79" w:rsidP="004A6E79" w14:paraId="351AB7F3" w14:textId="77777777">
    <w:pPr>
      <w:pStyle w:val="Footer"/>
      <w:spacing w:after="120" w:line="312" w:lineRule="auto"/>
      <w:ind w:left="-510"/>
      <w:jc w:val="left"/>
      <w:rPr>
        <w:rFonts w:ascii="Tahoma" w:hAnsi="Tahoma" w:cs="Tahoma"/>
        <w:sz w:val="18"/>
        <w:szCs w:val="18"/>
        <w:rtl/>
      </w:rPr>
    </w:pPr>
  </w:p>
  <w:p w:rsidR="004A6E79" w:rsidP="004A6E79" w14:paraId="5D0FC628" w14:textId="22682327">
    <w:pPr>
      <w:pStyle w:val="Footer"/>
      <w:tabs>
        <w:tab w:val="left" w:pos="488"/>
        <w:tab w:val="left" w:pos="522"/>
        <w:tab w:val="clear" w:pos="4153"/>
        <w:tab w:val="clear" w:pos="8306"/>
      </w:tabs>
      <w:spacing w:after="120" w:line="312" w:lineRule="auto"/>
      <w:ind w:left="-737"/>
      <w:jc w:val="left"/>
      <w:rPr>
        <w:rFonts w:ascii="Tahoma" w:hAnsi="Tahoma" w:cs="Tahoma"/>
        <w:color w:val="004E6C"/>
        <w:sz w:val="18"/>
        <w:szCs w:val="18"/>
        <w:rtl/>
      </w:rPr>
    </w:pPr>
    <w:r w:rsidRPr="00F94EB4">
      <w:rPr>
        <w:rFonts w:ascii="Tahoma" w:hAnsi="Tahoma" w:cs="Tahoma"/>
        <w:sz w:val="18"/>
        <w:szCs w:val="18"/>
      </w:rPr>
      <w:t>|</w:t>
    </w:r>
    <w:r>
      <w:rPr>
        <w:rFonts w:ascii="Tahoma" w:hAnsi="Tahoma" w:cs="Tahoma" w:hint="cs"/>
        <w:sz w:val="18"/>
        <w:szCs w:val="18"/>
        <w:rtl/>
      </w:rPr>
      <w:t xml:space="preserve">  </w:t>
    </w:r>
    <w:r w:rsidRPr="00F94EB4">
      <w:rPr>
        <w:rFonts w:ascii="Tahoma" w:hAnsi="Tahoma" w:cs="Tahoma"/>
        <w:sz w:val="18"/>
        <w:szCs w:val="18"/>
        <w:rtl/>
      </w:rPr>
      <w:fldChar w:fldCharType="begin"/>
    </w:r>
    <w:r w:rsidRPr="00F94EB4">
      <w:rPr>
        <w:rFonts w:ascii="Tahoma" w:hAnsi="Tahoma" w:cs="Tahoma"/>
        <w:sz w:val="18"/>
        <w:szCs w:val="18"/>
        <w:rtl/>
      </w:rPr>
      <w:instrText xml:space="preserve"> </w:instrText>
    </w:r>
    <w:r w:rsidRPr="00F94EB4">
      <w:rPr>
        <w:rFonts w:ascii="Tahoma" w:hAnsi="Tahoma" w:cs="Tahoma"/>
        <w:sz w:val="18"/>
        <w:szCs w:val="18"/>
      </w:rPr>
      <w:instrText xml:space="preserve">PAGE </w:instrText>
    </w:r>
    <w:r w:rsidRPr="00F94EB4">
      <w:rPr>
        <w:rFonts w:ascii="Tahoma" w:hAnsi="Tahoma" w:cs="Tahoma"/>
        <w:sz w:val="18"/>
        <w:szCs w:val="18"/>
        <w:rtl/>
      </w:rPr>
      <w:instrText xml:space="preserve"> \* </w:instrText>
    </w:r>
    <w:r w:rsidRPr="00F94EB4">
      <w:rPr>
        <w:rFonts w:ascii="Tahoma" w:hAnsi="Tahoma" w:cs="Tahoma"/>
        <w:sz w:val="18"/>
        <w:szCs w:val="18"/>
      </w:rPr>
      <w:instrText>MERGEFORMAT</w:instrText>
    </w:r>
    <w:r w:rsidRPr="00F94EB4">
      <w:rPr>
        <w:rFonts w:ascii="Tahoma" w:hAnsi="Tahoma" w:cs="Tahoma"/>
        <w:sz w:val="18"/>
        <w:szCs w:val="18"/>
        <w:rtl/>
      </w:rPr>
      <w:instrText xml:space="preserve"> </w:instrText>
    </w:r>
    <w:r w:rsidRPr="00F94EB4">
      <w:rPr>
        <w:rFonts w:ascii="Tahoma" w:hAnsi="Tahoma" w:cs="Tahoma"/>
        <w:sz w:val="18"/>
        <w:szCs w:val="18"/>
        <w:rtl/>
      </w:rPr>
      <w:fldChar w:fldCharType="separate"/>
    </w:r>
    <w:r>
      <w:rPr>
        <w:rFonts w:ascii="Tahoma" w:hAnsi="Tahoma" w:cs="Tahoma"/>
        <w:sz w:val="18"/>
        <w:szCs w:val="18"/>
        <w:rtl/>
      </w:rPr>
      <w:t>10</w:t>
    </w:r>
    <w:r w:rsidRPr="00F94EB4">
      <w:rPr>
        <w:rFonts w:ascii="Tahoma" w:hAnsi="Tahoma" w:cs="Tahoma"/>
        <w:sz w:val="18"/>
        <w:szCs w:val="18"/>
        <w:rtl/>
      </w:rPr>
      <w:fldChar w:fldCharType="end"/>
    </w:r>
    <w:r>
      <w:rPr>
        <w:rFonts w:ascii="Tahoma" w:hAnsi="Tahoma" w:cs="Tahoma" w:hint="cs"/>
        <w:sz w:val="18"/>
        <w:szCs w:val="18"/>
        <w:rtl/>
      </w:rPr>
      <w:t xml:space="preserve">  </w:t>
    </w:r>
    <w:r w:rsidRPr="0013302E">
      <w:rPr>
        <w:rFonts w:ascii="Tahoma" w:hAnsi="Tahoma" w:cs="Tahoma"/>
        <w:sz w:val="18"/>
        <w:szCs w:val="18"/>
      </w:rPr>
      <w:t>|</w:t>
    </w:r>
    <w:r>
      <w:rPr>
        <w:rFonts w:ascii="Tahoma" w:hAnsi="Tahoma" w:cs="Tahoma" w:hint="cs"/>
        <w:color w:val="004E6C"/>
        <w:sz w:val="18"/>
        <w:szCs w:val="18"/>
        <w:rtl/>
      </w:rPr>
      <w:t xml:space="preserve">     </w:t>
    </w:r>
    <w:r>
      <w:rPr>
        <w:rFonts w:ascii="Tahoma" w:hAnsi="Tahoma" w:cs="Tahoma"/>
        <w:color w:val="004E6C"/>
        <w:sz w:val="18"/>
        <w:szCs w:val="18"/>
        <w:rtl/>
      </w:rPr>
      <w:tab/>
    </w:r>
    <w:r>
      <w:rPr>
        <w:rFonts w:ascii="Tahoma" w:hAnsi="Tahoma" w:cs="Tahoma"/>
        <w:color w:val="004E6C"/>
        <w:sz w:val="18"/>
        <w:szCs w:val="18"/>
        <w:rtl/>
      </w:rPr>
      <w:tab/>
    </w:r>
  </w:p>
  <w:p w:rsidR="004A6E79" w:rsidRPr="004A6E79" w:rsidP="004A6E79" w14:paraId="7B1FFFB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73EE0" w:rsidP="00AC37C7" w14:paraId="0C89F632" w14:textId="07717369">
    <w:pPr>
      <w:pStyle w:val="Footer"/>
      <w:spacing w:after="120" w:line="312" w:lineRule="auto"/>
      <w:ind w:right="-737"/>
      <w:jc w:val="right"/>
      <w:rPr>
        <w:rFonts w:ascii="Tahoma" w:hAnsi="Tahoma" w:cs="Tahoma"/>
        <w:sz w:val="18"/>
        <w:szCs w:val="18"/>
        <w:rtl/>
      </w:rPr>
    </w:pPr>
    <w:r w:rsidRPr="00F94EB4">
      <w:rPr>
        <w:rFonts w:ascii="Tahoma" w:hAnsi="Tahoma" w:cs="Tahoma"/>
        <w:sz w:val="18"/>
        <w:szCs w:val="18"/>
      </w:rPr>
      <w:t xml:space="preserve">| </w:t>
    </w:r>
    <w:r w:rsidRPr="00F94EB4">
      <w:rPr>
        <w:rFonts w:ascii="Tahoma" w:hAnsi="Tahoma" w:cs="Tahoma"/>
        <w:sz w:val="18"/>
        <w:szCs w:val="18"/>
        <w:rtl/>
      </w:rPr>
      <w:t xml:space="preserve"> </w:t>
    </w:r>
    <w:r>
      <w:rPr>
        <w:rFonts w:ascii="Tahoma" w:hAnsi="Tahoma" w:cs="Tahoma" w:hint="cs"/>
        <w:sz w:val="18"/>
        <w:szCs w:val="18"/>
        <w:rtl/>
      </w:rPr>
      <w:t xml:space="preserve"> </w:t>
    </w:r>
    <w:r w:rsidRPr="00F94EB4">
      <w:rPr>
        <w:rFonts w:ascii="Tahoma" w:hAnsi="Tahoma" w:cs="Tahoma"/>
        <w:sz w:val="18"/>
        <w:szCs w:val="18"/>
        <w:rtl/>
      </w:rPr>
      <w:fldChar w:fldCharType="begin"/>
    </w:r>
    <w:r w:rsidRPr="00F94EB4">
      <w:rPr>
        <w:rFonts w:ascii="Tahoma" w:hAnsi="Tahoma" w:cs="Tahoma"/>
        <w:sz w:val="18"/>
        <w:szCs w:val="18"/>
        <w:rtl/>
      </w:rPr>
      <w:instrText xml:space="preserve"> </w:instrText>
    </w:r>
    <w:r w:rsidRPr="00F94EB4">
      <w:rPr>
        <w:rFonts w:ascii="Tahoma" w:hAnsi="Tahoma" w:cs="Tahoma"/>
        <w:sz w:val="18"/>
        <w:szCs w:val="18"/>
      </w:rPr>
      <w:instrText xml:space="preserve">PAGE </w:instrText>
    </w:r>
    <w:r w:rsidRPr="00F94EB4">
      <w:rPr>
        <w:rFonts w:ascii="Tahoma" w:hAnsi="Tahoma" w:cs="Tahoma"/>
        <w:sz w:val="18"/>
        <w:szCs w:val="18"/>
        <w:rtl/>
      </w:rPr>
      <w:instrText xml:space="preserve"> \* </w:instrText>
    </w:r>
    <w:r w:rsidRPr="00F94EB4">
      <w:rPr>
        <w:rFonts w:ascii="Tahoma" w:hAnsi="Tahoma" w:cs="Tahoma"/>
        <w:sz w:val="18"/>
        <w:szCs w:val="18"/>
      </w:rPr>
      <w:instrText>MERGEFORMAT</w:instrText>
    </w:r>
    <w:r w:rsidRPr="00F94EB4">
      <w:rPr>
        <w:rFonts w:ascii="Tahoma" w:hAnsi="Tahoma" w:cs="Tahoma"/>
        <w:sz w:val="18"/>
        <w:szCs w:val="18"/>
        <w:rtl/>
      </w:rPr>
      <w:instrText xml:space="preserve"> </w:instrText>
    </w:r>
    <w:r w:rsidRPr="00F94EB4">
      <w:rPr>
        <w:rFonts w:ascii="Tahoma" w:hAnsi="Tahoma" w:cs="Tahoma"/>
        <w:sz w:val="18"/>
        <w:szCs w:val="18"/>
        <w:rtl/>
      </w:rPr>
      <w:fldChar w:fldCharType="separate"/>
    </w:r>
    <w:r>
      <w:rPr>
        <w:rFonts w:ascii="Tahoma" w:hAnsi="Tahoma" w:cs="Tahoma"/>
        <w:sz w:val="18"/>
        <w:szCs w:val="18"/>
        <w:rtl/>
      </w:rPr>
      <w:t>3</w:t>
    </w:r>
    <w:r w:rsidRPr="00F94EB4">
      <w:rPr>
        <w:rFonts w:ascii="Tahoma" w:hAnsi="Tahoma" w:cs="Tahoma"/>
        <w:sz w:val="18"/>
        <w:szCs w:val="18"/>
        <w:rtl/>
      </w:rPr>
      <w:fldChar w:fldCharType="end"/>
    </w:r>
    <w:r w:rsidRPr="00F94EB4">
      <w:rPr>
        <w:rFonts w:ascii="Tahoma" w:hAnsi="Tahoma" w:cs="Tahoma"/>
        <w:sz w:val="18"/>
        <w:szCs w:val="18"/>
        <w:rtl/>
      </w:rPr>
      <w:t xml:space="preserve"> </w:t>
    </w:r>
    <w:r>
      <w:rPr>
        <w:rFonts w:ascii="Tahoma" w:hAnsi="Tahoma" w:cs="Tahoma" w:hint="cs"/>
        <w:sz w:val="18"/>
        <w:szCs w:val="18"/>
        <w:rtl/>
      </w:rPr>
      <w:t xml:space="preserve"> |</w:t>
    </w:r>
  </w:p>
  <w:p w:rsidR="00AC37C7" w:rsidRPr="00AC37C7" w:rsidP="00AC37C7" w14:paraId="26654934" w14:textId="77777777">
    <w:pPr>
      <w:pStyle w:val="Footer"/>
      <w:spacing w:after="120" w:line="312" w:lineRule="auto"/>
      <w:ind w:right="-737"/>
      <w:jc w:val="right"/>
      <w:rPr>
        <w:rFonts w:ascii="Tahoma" w:hAnsi="Tahoma" w:cs="Tahoma"/>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018D" w14:paraId="63F90586"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34B0" w:rsidP="004E71DD" w14:paraId="2B51BE32" w14:textId="77777777">
    <w:pPr>
      <w:pStyle w:val="Footer"/>
      <w:spacing w:after="120" w:line="312" w:lineRule="auto"/>
      <w:ind w:left="-510"/>
      <w:jc w:val="left"/>
      <w:rPr>
        <w:rFonts w:ascii="Tahoma" w:hAnsi="Tahoma" w:cs="Tahoma"/>
        <w:sz w:val="18"/>
        <w:szCs w:val="18"/>
        <w:rtl/>
      </w:rPr>
    </w:pPr>
  </w:p>
  <w:p w:rsidR="006734B0" w:rsidP="004E71DD" w14:paraId="79FA56BB" w14:textId="77777777">
    <w:pPr>
      <w:pStyle w:val="Footer"/>
      <w:tabs>
        <w:tab w:val="left" w:pos="488"/>
        <w:tab w:val="left" w:pos="522"/>
        <w:tab w:val="clear" w:pos="4153"/>
        <w:tab w:val="clear" w:pos="8306"/>
      </w:tabs>
      <w:spacing w:after="120" w:line="312" w:lineRule="auto"/>
      <w:ind w:left="-737"/>
      <w:jc w:val="left"/>
      <w:rPr>
        <w:rFonts w:ascii="Tahoma" w:hAnsi="Tahoma" w:cs="Tahoma"/>
        <w:color w:val="004E6C"/>
        <w:sz w:val="18"/>
        <w:szCs w:val="18"/>
        <w:rtl/>
      </w:rPr>
    </w:pPr>
    <w:r w:rsidRPr="00F94EB4">
      <w:rPr>
        <w:rFonts w:ascii="Tahoma" w:hAnsi="Tahoma" w:cs="Tahoma"/>
        <w:sz w:val="18"/>
        <w:szCs w:val="18"/>
      </w:rPr>
      <w:t>|</w:t>
    </w:r>
    <w:r w:rsidRPr="00F94EB4">
      <w:rPr>
        <w:rFonts w:ascii="Tahoma" w:hAnsi="Tahoma" w:cs="Tahoma"/>
        <w:sz w:val="18"/>
        <w:szCs w:val="18"/>
        <w:rtl/>
      </w:rPr>
      <w:t xml:space="preserve"> </w:t>
    </w:r>
    <w:r>
      <w:rPr>
        <w:rFonts w:ascii="Tahoma" w:hAnsi="Tahoma" w:cs="Tahoma" w:hint="cs"/>
        <w:sz w:val="18"/>
        <w:szCs w:val="18"/>
        <w:rtl/>
      </w:rPr>
      <w:t xml:space="preserve">  </w:t>
    </w:r>
    <w:r w:rsidRPr="00F94EB4">
      <w:rPr>
        <w:rFonts w:ascii="Tahoma" w:hAnsi="Tahoma" w:cs="Tahoma"/>
        <w:sz w:val="18"/>
        <w:szCs w:val="18"/>
        <w:rtl/>
      </w:rPr>
      <w:fldChar w:fldCharType="begin"/>
    </w:r>
    <w:r w:rsidRPr="00F94EB4">
      <w:rPr>
        <w:rFonts w:ascii="Tahoma" w:hAnsi="Tahoma" w:cs="Tahoma"/>
        <w:sz w:val="18"/>
        <w:szCs w:val="18"/>
        <w:rtl/>
      </w:rPr>
      <w:instrText xml:space="preserve"> </w:instrText>
    </w:r>
    <w:r w:rsidRPr="00F94EB4">
      <w:rPr>
        <w:rFonts w:ascii="Tahoma" w:hAnsi="Tahoma" w:cs="Tahoma"/>
        <w:sz w:val="18"/>
        <w:szCs w:val="18"/>
      </w:rPr>
      <w:instrText xml:space="preserve">PAGE </w:instrText>
    </w:r>
    <w:r w:rsidRPr="00F94EB4">
      <w:rPr>
        <w:rFonts w:ascii="Tahoma" w:hAnsi="Tahoma" w:cs="Tahoma"/>
        <w:sz w:val="18"/>
        <w:szCs w:val="18"/>
        <w:rtl/>
      </w:rPr>
      <w:instrText xml:space="preserve"> \* </w:instrText>
    </w:r>
    <w:r w:rsidRPr="00F94EB4">
      <w:rPr>
        <w:rFonts w:ascii="Tahoma" w:hAnsi="Tahoma" w:cs="Tahoma"/>
        <w:sz w:val="18"/>
        <w:szCs w:val="18"/>
      </w:rPr>
      <w:instrText>MERGEFORMAT</w:instrText>
    </w:r>
    <w:r w:rsidRPr="00F94EB4">
      <w:rPr>
        <w:rFonts w:ascii="Tahoma" w:hAnsi="Tahoma" w:cs="Tahoma"/>
        <w:sz w:val="18"/>
        <w:szCs w:val="18"/>
        <w:rtl/>
      </w:rPr>
      <w:instrText xml:space="preserve"> </w:instrText>
    </w:r>
    <w:r w:rsidRPr="00F94EB4">
      <w:rPr>
        <w:rFonts w:ascii="Tahoma" w:hAnsi="Tahoma" w:cs="Tahoma"/>
        <w:sz w:val="18"/>
        <w:szCs w:val="18"/>
        <w:rtl/>
      </w:rPr>
      <w:fldChar w:fldCharType="separate"/>
    </w:r>
    <w:r>
      <w:rPr>
        <w:rFonts w:ascii="Tahoma" w:hAnsi="Tahoma" w:cs="Tahoma"/>
        <w:sz w:val="18"/>
        <w:szCs w:val="18"/>
        <w:rtl/>
      </w:rPr>
      <w:t>10</w:t>
    </w:r>
    <w:r w:rsidRPr="00F94EB4">
      <w:rPr>
        <w:rFonts w:ascii="Tahoma" w:hAnsi="Tahoma" w:cs="Tahoma"/>
        <w:sz w:val="18"/>
        <w:szCs w:val="18"/>
        <w:rtl/>
      </w:rPr>
      <w:fldChar w:fldCharType="end"/>
    </w:r>
    <w:r>
      <w:rPr>
        <w:rFonts w:ascii="Tahoma" w:hAnsi="Tahoma" w:cs="Tahoma" w:hint="cs"/>
        <w:sz w:val="18"/>
        <w:szCs w:val="18"/>
        <w:rtl/>
      </w:rPr>
      <w:t xml:space="preserve">   </w:t>
    </w:r>
    <w:r w:rsidRPr="0013302E">
      <w:rPr>
        <w:rFonts w:ascii="Tahoma" w:hAnsi="Tahoma" w:cs="Tahoma"/>
        <w:sz w:val="18"/>
        <w:szCs w:val="18"/>
      </w:rPr>
      <w:t>|</w:t>
    </w:r>
    <w:r>
      <w:rPr>
        <w:rFonts w:ascii="Tahoma" w:hAnsi="Tahoma" w:cs="Tahoma" w:hint="cs"/>
        <w:color w:val="004E6C"/>
        <w:sz w:val="18"/>
        <w:szCs w:val="18"/>
        <w:rtl/>
      </w:rPr>
      <w:t xml:space="preserve">     </w:t>
    </w:r>
    <w:r>
      <w:rPr>
        <w:rFonts w:ascii="Tahoma" w:hAnsi="Tahoma" w:cs="Tahoma"/>
        <w:color w:val="004E6C"/>
        <w:sz w:val="18"/>
        <w:szCs w:val="18"/>
        <w:rtl/>
      </w:rPr>
      <w:tab/>
    </w:r>
    <w:r>
      <w:rPr>
        <w:rFonts w:ascii="Tahoma" w:hAnsi="Tahoma" w:cs="Tahoma"/>
        <w:color w:val="004E6C"/>
        <w:sz w:val="18"/>
        <w:szCs w:val="18"/>
        <w:rtl/>
      </w:rPr>
      <w:tab/>
    </w:r>
  </w:p>
  <w:p w:rsidR="006734B0" w:rsidRPr="004E71DD" w:rsidP="004E71DD" w14:paraId="13DE4A95" w14:textId="77777777">
    <w:pPr>
      <w:pStyle w:val="Footer"/>
      <w:rPr>
        <w:szCs w:val="20"/>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2248E" w:rsidP="00E7235E" w14:paraId="09BAAF65" w14:textId="77777777">
      <w:pPr>
        <w:spacing w:line="240" w:lineRule="auto"/>
      </w:pPr>
      <w:r>
        <w:separator/>
      </w:r>
    </w:p>
  </w:footnote>
  <w:footnote w:type="continuationSeparator" w:id="1">
    <w:p w:rsidR="00E2248E" w:rsidP="00C23CC9" w14:paraId="20D0E4BB" w14:textId="77777777">
      <w:pPr>
        <w:spacing w:line="240" w:lineRule="auto"/>
      </w:pPr>
      <w:r>
        <w:continuationSeparator/>
      </w:r>
    </w:p>
    <w:p w:rsidR="00E2248E" w14:paraId="08E39E92" w14:textId="77777777"/>
    <w:p w:rsidR="00E2248E" w14:paraId="1F470934" w14:textId="77777777"/>
    <w:p w:rsidR="00E2248E" w14:paraId="0338D248" w14:textId="77777777"/>
  </w:footnote>
  <w:footnote w:id="2">
    <w:p w:rsidR="002F03CB" w:rsidRPr="002F03CB" w:rsidP="002B4A75" w14:paraId="510DA75B" w14:textId="77777777">
      <w:pPr>
        <w:pStyle w:val="733"/>
        <w:rPr>
          <w:rtl/>
        </w:rPr>
      </w:pPr>
      <w:r w:rsidRPr="002F03CB">
        <w:rPr>
          <w:rStyle w:val="FootnoteReference1"/>
          <w:vertAlign w:val="baseline"/>
        </w:rPr>
        <w:footnoteRef/>
      </w:r>
      <w:r w:rsidRPr="002F03CB">
        <w:rPr>
          <w:rtl/>
        </w:rPr>
        <w:t xml:space="preserve"> </w:t>
      </w:r>
      <w:r w:rsidRPr="002F03CB">
        <w:rPr>
          <w:rtl/>
        </w:rPr>
        <w:tab/>
        <w:t xml:space="preserve">חוק זיכיון ים המלח (תיקון מס' 2), התשמ"ו-1986. </w:t>
      </w:r>
    </w:p>
  </w:footnote>
  <w:footnote w:id="3">
    <w:p w:rsidR="002F03CB" w:rsidP="002B4A75" w14:paraId="13DA3AA2" w14:textId="192A0E89">
      <w:pPr>
        <w:pStyle w:val="733"/>
        <w:rPr>
          <w:rtl/>
        </w:rPr>
      </w:pPr>
      <w:r w:rsidRPr="002F03CB">
        <w:rPr>
          <w:rStyle w:val="FootnoteReference1"/>
          <w:vertAlign w:val="baseline"/>
        </w:rPr>
        <w:footnoteRef/>
      </w:r>
      <w:r w:rsidRPr="002F03CB">
        <w:rPr>
          <w:rtl/>
        </w:rPr>
        <w:t xml:space="preserve"> </w:t>
      </w:r>
      <w:r w:rsidRPr="002F03CB">
        <w:rPr>
          <w:rtl/>
        </w:rPr>
        <w:tab/>
      </w:r>
      <w:r w:rsidRPr="002F03CB">
        <w:rPr>
          <w:rFonts w:hint="cs"/>
          <w:rtl/>
        </w:rPr>
        <w:t>יצוין כי שם המפעל הוא מפעלי ים המלח בע"מ. בדוח זה</w:t>
      </w:r>
      <w:r w:rsidR="00625237">
        <w:rPr>
          <w:rFonts w:hint="cs"/>
          <w:rtl/>
        </w:rPr>
        <w:t xml:space="preserve"> המונח</w:t>
      </w:r>
      <w:r w:rsidRPr="002F03CB">
        <w:rPr>
          <w:rFonts w:hint="cs"/>
          <w:rtl/>
        </w:rPr>
        <w:t xml:space="preserve"> מפעלי ים המלח או </w:t>
      </w:r>
      <w:r w:rsidRPr="002F03CB">
        <w:rPr>
          <w:rFonts w:hint="cs"/>
          <w:rtl/>
        </w:rPr>
        <w:t>מי"ה</w:t>
      </w:r>
      <w:r w:rsidR="00625237">
        <w:rPr>
          <w:rFonts w:hint="cs"/>
          <w:rtl/>
        </w:rPr>
        <w:t xml:space="preserve"> מציין את</w:t>
      </w:r>
      <w:r w:rsidRPr="002F03CB">
        <w:rPr>
          <w:rFonts w:hint="cs"/>
          <w:rtl/>
        </w:rPr>
        <w:t xml:space="preserve"> שלוש</w:t>
      </w:r>
      <w:r w:rsidR="00625237">
        <w:rPr>
          <w:rFonts w:hint="cs"/>
          <w:rtl/>
        </w:rPr>
        <w:t>ת</w:t>
      </w:r>
      <w:r w:rsidRPr="002F03CB">
        <w:rPr>
          <w:rFonts w:hint="cs"/>
          <w:rtl/>
        </w:rPr>
        <w:t xml:space="preserve"> המפעלים בתחום הזיכיון, </w:t>
      </w:r>
      <w:r w:rsidR="00625237">
        <w:rPr>
          <w:rFonts w:hint="cs"/>
          <w:rtl/>
        </w:rPr>
        <w:t>ש</w:t>
      </w:r>
      <w:r w:rsidRPr="002F03CB">
        <w:rPr>
          <w:rFonts w:hint="cs"/>
          <w:rtl/>
        </w:rPr>
        <w:t>כל אחד</w:t>
      </w:r>
      <w:r w:rsidR="00625237">
        <w:rPr>
          <w:rFonts w:hint="cs"/>
          <w:rtl/>
        </w:rPr>
        <w:t xml:space="preserve"> מהם</w:t>
      </w:r>
      <w:r w:rsidRPr="002F03CB">
        <w:rPr>
          <w:rFonts w:hint="cs"/>
          <w:rtl/>
        </w:rPr>
        <w:t xml:space="preserve"> הוא </w:t>
      </w:r>
      <w:r w:rsidRPr="002F03CB">
        <w:rPr>
          <w:rFonts w:hint="cs"/>
          <w:rtl/>
        </w:rPr>
        <w:t>יישות</w:t>
      </w:r>
      <w:r w:rsidRPr="002F03CB">
        <w:rPr>
          <w:rFonts w:hint="cs"/>
          <w:rtl/>
        </w:rPr>
        <w:t xml:space="preserve"> משפטית נפרדת המחזיקה בהיתרים וברישיונות סביבתיים ייעודיים המותאמים לפעילות</w:t>
      </w:r>
      <w:r w:rsidR="00625237">
        <w:rPr>
          <w:rFonts w:hint="cs"/>
          <w:rtl/>
        </w:rPr>
        <w:t>ו</w:t>
      </w:r>
      <w:r w:rsidRPr="002F03CB">
        <w:rPr>
          <w:rFonts w:hint="cs"/>
          <w:rtl/>
        </w:rPr>
        <w:t>.</w:t>
      </w:r>
      <w:r>
        <w:rPr>
          <w:rFonts w:hint="cs"/>
          <w:rtl/>
        </w:rPr>
        <w:t xml:space="preserve"> </w:t>
      </w:r>
    </w:p>
  </w:footnote>
  <w:footnote w:id="4">
    <w:p w:rsidR="002F03CB" w:rsidRPr="00985E92" w:rsidP="002B4A75" w14:paraId="7DAFABF3" w14:textId="20596F11">
      <w:pPr>
        <w:pStyle w:val="733"/>
      </w:pPr>
      <w:r w:rsidRPr="00985E92">
        <w:rPr>
          <w:rStyle w:val="FootnoteReference1"/>
          <w:vertAlign w:val="baseline"/>
        </w:rPr>
        <w:footnoteRef/>
      </w:r>
      <w:r w:rsidRPr="00985E92">
        <w:rPr>
          <w:rtl/>
        </w:rPr>
        <w:t xml:space="preserve"> </w:t>
      </w:r>
      <w:r w:rsidRPr="00985E92">
        <w:rPr>
          <w:rtl/>
        </w:rPr>
        <w:tab/>
      </w:r>
      <w:r w:rsidRPr="00985E92">
        <w:rPr>
          <w:rFonts w:hint="cs"/>
          <w:rtl/>
        </w:rPr>
        <w:t xml:space="preserve">158 מיליון דולר, לפי שער דולר נכון ל-18.8.24 של 3.67 ש"ח </w:t>
      </w:r>
      <w:r w:rsidRPr="00677258" w:rsidR="00677258">
        <w:rPr>
          <w:rtl/>
        </w:rPr>
        <w:t xml:space="preserve">לדולר, בהתאם לנתונים שנמסרו </w:t>
      </w:r>
      <w:r w:rsidRPr="00677258" w:rsidR="00677258">
        <w:rPr>
          <w:rtl/>
        </w:rPr>
        <w:t>ממי"ה</w:t>
      </w:r>
      <w:r w:rsidRPr="00677258" w:rsidR="00677258">
        <w:rPr>
          <w:rtl/>
        </w:rPr>
        <w:t>.</w:t>
      </w:r>
      <w:r w:rsidRPr="00985E92">
        <w:rPr>
          <w:rFonts w:hint="cs"/>
          <w:rtl/>
        </w:rPr>
        <w:t xml:space="preserve">  </w:t>
      </w:r>
    </w:p>
  </w:footnote>
  <w:footnote w:id="5">
    <w:p w:rsidR="002F03CB" w:rsidRPr="002F03CB" w:rsidP="002B4A75" w14:paraId="576494CB" w14:textId="76BB1848">
      <w:pPr>
        <w:pStyle w:val="733"/>
      </w:pPr>
      <w:r w:rsidRPr="002F03CB">
        <w:rPr>
          <w:rStyle w:val="FootnoteReference1"/>
          <w:vertAlign w:val="baseline"/>
        </w:rPr>
        <w:footnoteRef/>
      </w:r>
      <w:r w:rsidRPr="002F03CB">
        <w:rPr>
          <w:rtl/>
        </w:rPr>
        <w:t xml:space="preserve"> </w:t>
      </w:r>
      <w:r w:rsidRPr="002F03CB">
        <w:rPr>
          <w:rtl/>
        </w:rPr>
        <w:tab/>
        <w:t xml:space="preserve">זאת בנפרד מהמים </w:t>
      </w:r>
      <w:r w:rsidR="00625237">
        <w:rPr>
          <w:rFonts w:hint="cs"/>
          <w:rtl/>
        </w:rPr>
        <w:t>ש</w:t>
      </w:r>
      <w:r w:rsidRPr="002F03CB">
        <w:rPr>
          <w:rtl/>
        </w:rPr>
        <w:t>מי"ה</w:t>
      </w:r>
      <w:r w:rsidRPr="002F03CB">
        <w:rPr>
          <w:rtl/>
        </w:rPr>
        <w:t xml:space="preserve"> שואבת מים המלח. </w:t>
      </w:r>
    </w:p>
  </w:footnote>
  <w:footnote w:id="6">
    <w:p w:rsidR="00985E92" w:rsidRPr="00985E92" w:rsidP="002B4A75" w14:paraId="0ECA4E44" w14:textId="65876094">
      <w:pPr>
        <w:pStyle w:val="733"/>
        <w:rPr>
          <w:b/>
          <w:bCs/>
          <w:rtl/>
        </w:rPr>
      </w:pPr>
      <w:r w:rsidRPr="00985E92">
        <w:rPr>
          <w:rStyle w:val="FootnoteReference1"/>
          <w:vertAlign w:val="baseline"/>
        </w:rPr>
        <w:footnoteRef/>
      </w:r>
      <w:r w:rsidRPr="00985E92">
        <w:rPr>
          <w:rtl/>
        </w:rPr>
        <w:t xml:space="preserve"> </w:t>
      </w:r>
      <w:r w:rsidRPr="00985E92">
        <w:rPr>
          <w:rtl/>
        </w:rPr>
        <w:tab/>
        <w:t>בג"</w:t>
      </w:r>
      <w:r w:rsidR="00625237">
        <w:rPr>
          <w:rFonts w:hint="cs"/>
          <w:rtl/>
        </w:rPr>
        <w:t>ץ</w:t>
      </w:r>
      <w:r w:rsidRPr="00985E92">
        <w:rPr>
          <w:rtl/>
        </w:rPr>
        <w:t xml:space="preserve"> 5784/22 </w:t>
      </w:r>
      <w:r w:rsidRPr="00985E92">
        <w:rPr>
          <w:b/>
          <w:bCs/>
          <w:rtl/>
        </w:rPr>
        <w:t>לובי 99 (</w:t>
      </w:r>
      <w:r w:rsidRPr="00985E92">
        <w:rPr>
          <w:b/>
          <w:bCs/>
          <w:rtl/>
        </w:rPr>
        <w:t>חל"צ</w:t>
      </w:r>
      <w:r w:rsidRPr="00985E92">
        <w:rPr>
          <w:b/>
          <w:bCs/>
          <w:rtl/>
        </w:rPr>
        <w:t xml:space="preserve">) נ' הרשות הממשלתית למים וביוב, היועצת המשפטית לממשלה, מפעלי ים המלח בע"מ. </w:t>
      </w:r>
    </w:p>
  </w:footnote>
  <w:footnote w:id="7">
    <w:p w:rsidR="00985E92" w:rsidRPr="00985E92" w:rsidP="002B4A75" w14:paraId="3DA66A63" w14:textId="77777777">
      <w:pPr>
        <w:pStyle w:val="733"/>
        <w:rPr>
          <w:rtl/>
        </w:rPr>
      </w:pPr>
      <w:r w:rsidRPr="00985E92">
        <w:rPr>
          <w:rStyle w:val="FootnoteReference1"/>
          <w:vertAlign w:val="baseline"/>
        </w:rPr>
        <w:footnoteRef/>
      </w:r>
      <w:r w:rsidRPr="00985E92">
        <w:rPr>
          <w:rtl/>
        </w:rPr>
        <w:t xml:space="preserve"> </w:t>
      </w:r>
      <w:r w:rsidRPr="00985E92">
        <w:rPr>
          <w:rtl/>
        </w:rPr>
        <w:tab/>
      </w:r>
      <w:r w:rsidRPr="00985E92">
        <w:rPr>
          <w:rFonts w:hint="cs"/>
          <w:rtl/>
        </w:rPr>
        <w:t>89,489,412</w:t>
      </w:r>
      <w:r w:rsidRPr="00985E92">
        <w:rPr>
          <w:rtl/>
        </w:rPr>
        <w:t xml:space="preserve"> ש"ח לפי סיווג של בוצה תעשייתית או </w:t>
      </w:r>
      <w:r w:rsidRPr="00985E92">
        <w:rPr>
          <w:rFonts w:hint="cs"/>
          <w:rtl/>
        </w:rPr>
        <w:t xml:space="preserve">134,234,118 </w:t>
      </w:r>
      <w:r w:rsidRPr="00985E92">
        <w:rPr>
          <w:rtl/>
        </w:rPr>
        <w:t>ש"ח לפי סיווג של פסולת יבשה</w:t>
      </w:r>
      <w:r w:rsidRPr="00985E92">
        <w:rPr>
          <w:rFonts w:hint="cs"/>
          <w:rtl/>
        </w:rPr>
        <w:t xml:space="preserve"> </w:t>
      </w:r>
      <w:r w:rsidRPr="00985E92">
        <w:rPr>
          <w:rtl/>
        </w:rPr>
        <w:t>על בסיס הנחת עבודה של הטמנה 2 מיליון טונות ב</w:t>
      </w:r>
      <w:r w:rsidRPr="00985E92">
        <w:rPr>
          <w:rFonts w:hint="cs"/>
          <w:rtl/>
        </w:rPr>
        <w:t>שנת 2023</w:t>
      </w:r>
      <w:r w:rsidRPr="00985E92">
        <w:rPr>
          <w:rtl/>
        </w:rPr>
        <w:t>.</w:t>
      </w:r>
    </w:p>
  </w:footnote>
  <w:footnote w:id="8">
    <w:p w:rsidR="00985E92" w:rsidP="002B4A75" w14:paraId="344C3AF2" w14:textId="77777777">
      <w:pPr>
        <w:pStyle w:val="733"/>
        <w:rPr>
          <w:rtl/>
        </w:rPr>
      </w:pPr>
      <w:r w:rsidRPr="00985E92">
        <w:rPr>
          <w:rStyle w:val="FootnoteReference1"/>
          <w:vertAlign w:val="baseline"/>
        </w:rPr>
        <w:footnoteRef/>
      </w:r>
      <w:r w:rsidRPr="00985E92">
        <w:rPr>
          <w:rtl/>
        </w:rPr>
        <w:t xml:space="preserve"> </w:t>
      </w:r>
      <w:r w:rsidRPr="00985E92">
        <w:rPr>
          <w:rtl/>
        </w:rPr>
        <w:tab/>
      </w:r>
      <w:r w:rsidRPr="00985E92">
        <w:rPr>
          <w:rFonts w:hint="cs"/>
          <w:rtl/>
        </w:rPr>
        <w:t>781,500</w:t>
      </w:r>
      <w:r w:rsidRPr="00985E92">
        <w:rPr>
          <w:rtl/>
        </w:rPr>
        <w:t xml:space="preserve"> </w:t>
      </w:r>
      <w:r w:rsidRPr="00985E92">
        <w:rPr>
          <w:rFonts w:hint="cs"/>
          <w:rtl/>
        </w:rPr>
        <w:t xml:space="preserve">ש"ח לפי סיווג של בוצה תעשייתית ו-1,172,250 ש"ח לפי סיווג של פסולת יבשה, בהתאם </w:t>
      </w:r>
      <w:r w:rsidRPr="00985E92">
        <w:rPr>
          <w:rtl/>
        </w:rPr>
        <w:t>לסכומים הנקובים בתוספת לחוק שמירת הניקיון, ועל בסיס הנחת עבודה של הטמנה של 15,000 טונות בשנה</w:t>
      </w:r>
      <w:r w:rsidRPr="00985E92">
        <w:rPr>
          <w:rFonts w:hint="cs"/>
          <w:rtl/>
        </w:rPr>
        <w:t>.</w:t>
      </w:r>
      <w:r>
        <w:rPr>
          <w:rFonts w:hint="cs"/>
          <w:rtl/>
        </w:rPr>
        <w:t xml:space="preserve"> </w:t>
      </w:r>
    </w:p>
  </w:footnote>
  <w:footnote w:id="9">
    <w:p w:rsidR="006734B0" w:rsidRPr="002B4A75" w:rsidP="002B4A75" w14:paraId="5D47E6C9" w14:textId="77777777">
      <w:pPr>
        <w:pStyle w:val="733"/>
      </w:pPr>
      <w:r w:rsidRPr="002B4A75">
        <w:rPr>
          <w:rStyle w:val="FootnoteReference1"/>
          <w:vertAlign w:val="baseline"/>
        </w:rPr>
        <w:footnoteRef/>
      </w:r>
      <w:r w:rsidRPr="002B4A75">
        <w:rPr>
          <w:rtl/>
        </w:rPr>
        <w:t xml:space="preserve"> </w:t>
      </w:r>
      <w:r w:rsidRPr="002B4A75">
        <w:rPr>
          <w:rtl/>
        </w:rPr>
        <w:tab/>
        <w:t>תרכובת של אשלגן המשמשת בדרך כלל לדישון</w:t>
      </w:r>
      <w:r w:rsidRPr="002B4A75">
        <w:rPr>
          <w:rFonts w:hint="cs"/>
          <w:rtl/>
        </w:rPr>
        <w:t xml:space="preserve"> גידולים.</w:t>
      </w:r>
    </w:p>
  </w:footnote>
  <w:footnote w:id="10">
    <w:p w:rsidR="006734B0" w:rsidRPr="002B4A75" w:rsidP="002B4A75" w14:paraId="2A6DA030" w14:textId="77777777">
      <w:pPr>
        <w:pStyle w:val="733"/>
      </w:pPr>
      <w:r w:rsidRPr="002B4A75">
        <w:rPr>
          <w:rStyle w:val="FootnoteReference1"/>
          <w:vertAlign w:val="baseline"/>
        </w:rPr>
        <w:footnoteRef/>
      </w:r>
      <w:r w:rsidRPr="002B4A75">
        <w:rPr>
          <w:rtl/>
        </w:rPr>
        <w:t xml:space="preserve"> </w:t>
      </w:r>
      <w:r w:rsidRPr="002B4A75">
        <w:rPr>
          <w:rtl/>
        </w:rPr>
        <w:tab/>
        <w:t>חומר מוצא לייצור תרכובות ברום שלהן יישומים רבים בתעשייה.</w:t>
      </w:r>
    </w:p>
  </w:footnote>
  <w:footnote w:id="11">
    <w:p w:rsidR="006734B0" w:rsidRPr="002B4A75" w:rsidP="002B4A75" w14:paraId="4AA70BE2" w14:textId="77777777">
      <w:pPr>
        <w:pStyle w:val="733"/>
        <w:rPr>
          <w:rtl/>
        </w:rPr>
      </w:pPr>
      <w:r w:rsidRPr="002B4A75">
        <w:rPr>
          <w:rStyle w:val="FootnoteReference1"/>
          <w:vertAlign w:val="baseline"/>
        </w:rPr>
        <w:footnoteRef/>
      </w:r>
      <w:r w:rsidRPr="002B4A75">
        <w:rPr>
          <w:rtl/>
        </w:rPr>
        <w:t xml:space="preserve"> </w:t>
      </w:r>
      <w:r w:rsidRPr="002B4A75">
        <w:rPr>
          <w:rtl/>
        </w:rPr>
        <w:tab/>
        <w:t xml:space="preserve">משמש בתעשייה </w:t>
      </w:r>
      <w:r w:rsidRPr="002B4A75">
        <w:rPr>
          <w:rFonts w:hint="cs"/>
          <w:rtl/>
        </w:rPr>
        <w:t>ל</w:t>
      </w:r>
      <w:r w:rsidRPr="002B4A75">
        <w:rPr>
          <w:rtl/>
        </w:rPr>
        <w:t>ייצור ברזל</w:t>
      </w:r>
      <w:r w:rsidRPr="002B4A75">
        <w:rPr>
          <w:rFonts w:hint="cs"/>
          <w:rtl/>
        </w:rPr>
        <w:t>,</w:t>
      </w:r>
      <w:r w:rsidRPr="002B4A75">
        <w:rPr>
          <w:rtl/>
        </w:rPr>
        <w:t xml:space="preserve"> פלדה, זכוכית, מלט ומתכות אחרות</w:t>
      </w:r>
      <w:r w:rsidRPr="002B4A75">
        <w:rPr>
          <w:rFonts w:hint="cs"/>
          <w:rtl/>
        </w:rPr>
        <w:t>.</w:t>
      </w:r>
    </w:p>
  </w:footnote>
  <w:footnote w:id="12">
    <w:p w:rsidR="006734B0" w:rsidP="002B4A75" w14:paraId="057FAAA8" w14:textId="77777777">
      <w:pPr>
        <w:pStyle w:val="733"/>
        <w:rPr>
          <w:rtl/>
        </w:rPr>
      </w:pPr>
      <w:r w:rsidRPr="002B4A75">
        <w:rPr>
          <w:rStyle w:val="FootnoteReference1"/>
          <w:vertAlign w:val="baseline"/>
        </w:rPr>
        <w:footnoteRef/>
      </w:r>
      <w:r w:rsidRPr="002B4A75">
        <w:rPr>
          <w:rFonts w:hint="cs"/>
          <w:rtl/>
        </w:rPr>
        <w:t xml:space="preserve"> </w:t>
      </w:r>
      <w:r w:rsidRPr="002B4A75">
        <w:rPr>
          <w:rFonts w:hint="cs"/>
          <w:rtl/>
        </w:rPr>
        <w:tab/>
        <w:t>חוק זיכיון ים המלח (תיקון מס' 2), התשמ"ו-1986.</w:t>
      </w:r>
      <w:r>
        <w:rPr>
          <w:rFonts w:hint="cs"/>
          <w:rtl/>
        </w:rPr>
        <w:t xml:space="preserve"> </w:t>
      </w:r>
    </w:p>
  </w:footnote>
  <w:footnote w:id="13">
    <w:p w:rsidR="006734B0" w:rsidRPr="002B4A75" w:rsidP="002B4A75" w14:paraId="0DC2A26F" w14:textId="736DF1BD">
      <w:pPr>
        <w:pStyle w:val="733"/>
        <w:rPr>
          <w:rtl/>
        </w:rPr>
      </w:pPr>
      <w:r w:rsidRPr="002B4A75">
        <w:rPr>
          <w:rStyle w:val="FootnoteReference1"/>
          <w:vertAlign w:val="baseline"/>
        </w:rPr>
        <w:footnoteRef/>
      </w:r>
      <w:r w:rsidRPr="002B4A75">
        <w:rPr>
          <w:rtl/>
        </w:rPr>
        <w:t xml:space="preserve"> </w:t>
      </w:r>
      <w:r w:rsidRPr="002B4A75">
        <w:rPr>
          <w:rtl/>
        </w:rPr>
        <w:tab/>
      </w:r>
      <w:r w:rsidRPr="002F03CB" w:rsidR="00784B1E">
        <w:rPr>
          <w:rFonts w:hint="cs"/>
          <w:rtl/>
        </w:rPr>
        <w:t>יצוין כי שם המפעל הוא מפעלי ים המלח בע"מ. בדוח זה</w:t>
      </w:r>
      <w:r w:rsidR="00784B1E">
        <w:rPr>
          <w:rFonts w:hint="cs"/>
          <w:rtl/>
        </w:rPr>
        <w:t xml:space="preserve"> המונח</w:t>
      </w:r>
      <w:r w:rsidRPr="002F03CB" w:rsidR="00784B1E">
        <w:rPr>
          <w:rFonts w:hint="cs"/>
          <w:rtl/>
        </w:rPr>
        <w:t xml:space="preserve"> מפעלי ים המלח או </w:t>
      </w:r>
      <w:r w:rsidRPr="002F03CB" w:rsidR="00784B1E">
        <w:rPr>
          <w:rFonts w:hint="cs"/>
          <w:rtl/>
        </w:rPr>
        <w:t>מי"ה</w:t>
      </w:r>
      <w:r w:rsidR="00784B1E">
        <w:rPr>
          <w:rFonts w:hint="cs"/>
          <w:rtl/>
        </w:rPr>
        <w:t xml:space="preserve"> מציין את</w:t>
      </w:r>
      <w:r w:rsidRPr="002F03CB" w:rsidR="00784B1E">
        <w:rPr>
          <w:rFonts w:hint="cs"/>
          <w:rtl/>
        </w:rPr>
        <w:t xml:space="preserve"> שלוש</w:t>
      </w:r>
      <w:r w:rsidR="00784B1E">
        <w:rPr>
          <w:rFonts w:hint="cs"/>
          <w:rtl/>
        </w:rPr>
        <w:t>ת</w:t>
      </w:r>
      <w:r w:rsidRPr="002F03CB" w:rsidR="00784B1E">
        <w:rPr>
          <w:rFonts w:hint="cs"/>
          <w:rtl/>
        </w:rPr>
        <w:t xml:space="preserve"> המפעלים בתחום הזיכיון, </w:t>
      </w:r>
      <w:r w:rsidR="00784B1E">
        <w:rPr>
          <w:rFonts w:hint="cs"/>
          <w:rtl/>
        </w:rPr>
        <w:t>ש</w:t>
      </w:r>
      <w:r w:rsidRPr="002F03CB" w:rsidR="00784B1E">
        <w:rPr>
          <w:rFonts w:hint="cs"/>
          <w:rtl/>
        </w:rPr>
        <w:t>כל אחד</w:t>
      </w:r>
      <w:r w:rsidR="00784B1E">
        <w:rPr>
          <w:rFonts w:hint="cs"/>
          <w:rtl/>
        </w:rPr>
        <w:t xml:space="preserve"> מהם</w:t>
      </w:r>
      <w:r w:rsidRPr="002F03CB" w:rsidR="00784B1E">
        <w:rPr>
          <w:rFonts w:hint="cs"/>
          <w:rtl/>
        </w:rPr>
        <w:t xml:space="preserve"> הוא </w:t>
      </w:r>
      <w:r w:rsidRPr="002F03CB" w:rsidR="00784B1E">
        <w:rPr>
          <w:rFonts w:hint="cs"/>
          <w:rtl/>
        </w:rPr>
        <w:t>יישות</w:t>
      </w:r>
      <w:r w:rsidRPr="002F03CB" w:rsidR="00784B1E">
        <w:rPr>
          <w:rFonts w:hint="cs"/>
          <w:rtl/>
        </w:rPr>
        <w:t xml:space="preserve"> משפטית נפרדת המחזיקה בהיתרים וברישיונות סביבתיים ייעודיים המותאמים לפעילות</w:t>
      </w:r>
      <w:r w:rsidR="00784B1E">
        <w:rPr>
          <w:rFonts w:hint="cs"/>
          <w:rtl/>
        </w:rPr>
        <w:t>ו</w:t>
      </w:r>
      <w:r w:rsidRPr="002F03CB" w:rsidR="00784B1E">
        <w:rPr>
          <w:rFonts w:hint="cs"/>
          <w:rtl/>
        </w:rPr>
        <w:t>.</w:t>
      </w:r>
    </w:p>
  </w:footnote>
  <w:footnote w:id="14">
    <w:p w:rsidR="006734B0" w:rsidP="002B4A75" w14:paraId="7EDE4706" w14:textId="77777777">
      <w:pPr>
        <w:pStyle w:val="733"/>
      </w:pPr>
      <w:r w:rsidRPr="002B4A75">
        <w:footnoteRef/>
      </w:r>
      <w:r w:rsidRPr="002B4A75">
        <w:rPr>
          <w:rtl/>
        </w:rPr>
        <w:t xml:space="preserve"> </w:t>
      </w:r>
      <w:r>
        <w:rPr>
          <w:rtl/>
        </w:rPr>
        <w:tab/>
      </w:r>
      <w:r w:rsidRPr="00F27858">
        <w:rPr>
          <w:rtl/>
        </w:rPr>
        <w:t>תמיסת מי מלח (בעיקר מלחים המורכבים מיונים של כלור, גופרה, נתרן, סידן ואשלגן) שמליחותה גבוהה ממליחותם של מי ים</w:t>
      </w:r>
      <w:r w:rsidRPr="00F27858">
        <w:rPr>
          <w:rFonts w:hint="cs"/>
          <w:rtl/>
        </w:rPr>
        <w:t>.</w:t>
      </w:r>
    </w:p>
  </w:footnote>
  <w:footnote w:id="15">
    <w:p w:rsidR="006734B0" w:rsidP="002B4A75" w14:paraId="3057B50E" w14:textId="2A54DB4D">
      <w:pPr>
        <w:pStyle w:val="733"/>
        <w:rPr>
          <w:rtl/>
        </w:rPr>
      </w:pPr>
      <w:r w:rsidRPr="002B4A75">
        <w:footnoteRef/>
      </w:r>
      <w:r w:rsidRPr="002B4A75">
        <w:rPr>
          <w:rFonts w:hint="cs"/>
          <w:rtl/>
        </w:rPr>
        <w:t xml:space="preserve"> </w:t>
      </w:r>
      <w:r>
        <w:rPr>
          <w:rFonts w:hint="cs"/>
          <w:rtl/>
        </w:rPr>
        <w:tab/>
      </w:r>
      <w:r w:rsidRPr="008D21EE">
        <w:rPr>
          <w:rFonts w:hint="cs"/>
          <w:rtl/>
        </w:rPr>
        <w:t xml:space="preserve">משרד המשפטים, </w:t>
      </w:r>
      <w:r w:rsidRPr="008D21EE">
        <w:rPr>
          <w:rFonts w:hint="cs"/>
          <w:b/>
          <w:bCs/>
          <w:rtl/>
        </w:rPr>
        <w:t>ביצוע פרויקט הגנות ים המלח ומימונו - חוות דעת משפטית</w:t>
      </w:r>
      <w:r w:rsidRPr="008D21EE">
        <w:rPr>
          <w:rFonts w:hint="cs"/>
          <w:rtl/>
        </w:rPr>
        <w:t xml:space="preserve"> (ספטמבר 2011), סעיף 28 (להלן - </w:t>
      </w:r>
      <w:r w:rsidRPr="008D21EE">
        <w:rPr>
          <w:rFonts w:hint="cs"/>
          <w:rtl/>
        </w:rPr>
        <w:t>חוו"ד</w:t>
      </w:r>
      <w:r w:rsidRPr="008D21EE">
        <w:rPr>
          <w:rFonts w:hint="cs"/>
          <w:rtl/>
        </w:rPr>
        <w:t xml:space="preserve"> </w:t>
      </w:r>
      <w:r w:rsidR="00A31713">
        <w:rPr>
          <w:rFonts w:hint="cs"/>
          <w:rtl/>
        </w:rPr>
        <w:t>משרד המשפטים</w:t>
      </w:r>
      <w:r w:rsidRPr="008D21EE">
        <w:rPr>
          <w:rFonts w:hint="cs"/>
          <w:rtl/>
        </w:rPr>
        <w:t>).</w:t>
      </w:r>
      <w:r>
        <w:rPr>
          <w:rFonts w:hint="cs"/>
          <w:rtl/>
        </w:rPr>
        <w:t xml:space="preserve"> </w:t>
      </w:r>
    </w:p>
  </w:footnote>
  <w:footnote w:id="16">
    <w:p w:rsidR="006734B0" w:rsidRPr="002B4A75" w:rsidP="002B4A75" w14:paraId="2FC9A7F0" w14:textId="77777777">
      <w:pPr>
        <w:pStyle w:val="733"/>
      </w:pPr>
      <w:r w:rsidRPr="002B4A75">
        <w:rPr>
          <w:rStyle w:val="FootnoteReference1"/>
          <w:vertAlign w:val="baseline"/>
        </w:rPr>
        <w:footnoteRef/>
      </w:r>
      <w:r w:rsidRPr="002B4A75">
        <w:rPr>
          <w:rtl/>
        </w:rPr>
        <w:t xml:space="preserve"> </w:t>
      </w:r>
      <w:r w:rsidRPr="002B4A75">
        <w:rPr>
          <w:rtl/>
        </w:rPr>
        <w:tab/>
      </w:r>
      <w:r w:rsidRPr="002B4A75">
        <w:rPr>
          <w:rFonts w:hint="cs"/>
          <w:rtl/>
        </w:rPr>
        <w:t xml:space="preserve">158 מיליון דולר, לפי שער דולר נכון ל-18.8.24 של 3.67 ש"ח לדולר, בהתאם לנתונים שנמסרו </w:t>
      </w:r>
      <w:r w:rsidRPr="002B4A75">
        <w:rPr>
          <w:rFonts w:hint="cs"/>
          <w:rtl/>
        </w:rPr>
        <w:t>ממי"ה</w:t>
      </w:r>
      <w:r w:rsidRPr="002B4A75">
        <w:rPr>
          <w:rFonts w:hint="cs"/>
          <w:rtl/>
        </w:rPr>
        <w:t xml:space="preserve">. </w:t>
      </w:r>
    </w:p>
  </w:footnote>
  <w:footnote w:id="17">
    <w:p w:rsidR="006734B0" w:rsidRPr="002B4A75" w:rsidP="002B4A75" w14:paraId="663C7176" w14:textId="77777777">
      <w:pPr>
        <w:pStyle w:val="733"/>
      </w:pPr>
      <w:r w:rsidRPr="002B4A75">
        <w:rPr>
          <w:rStyle w:val="FootnoteReference1"/>
          <w:vertAlign w:val="baseline"/>
        </w:rPr>
        <w:footnoteRef/>
      </w:r>
      <w:r w:rsidRPr="002B4A75">
        <w:rPr>
          <w:rtl/>
        </w:rPr>
        <w:t xml:space="preserve"> </w:t>
      </w:r>
      <w:r w:rsidRPr="002B4A75">
        <w:rPr>
          <w:rtl/>
        </w:rPr>
        <w:tab/>
      </w:r>
      <w:r w:rsidRPr="002B4A75">
        <w:rPr>
          <w:rFonts w:hint="cs"/>
          <w:rtl/>
        </w:rPr>
        <w:t xml:space="preserve">זאת בנפרד מהמים שאותם </w:t>
      </w:r>
      <w:r w:rsidRPr="002B4A75">
        <w:rPr>
          <w:rFonts w:hint="cs"/>
          <w:rtl/>
        </w:rPr>
        <w:t>מי"ה</w:t>
      </w:r>
      <w:r w:rsidRPr="002B4A75">
        <w:rPr>
          <w:rFonts w:hint="cs"/>
          <w:rtl/>
        </w:rPr>
        <w:t xml:space="preserve"> שואבת מים המלח. </w:t>
      </w:r>
    </w:p>
  </w:footnote>
  <w:footnote w:id="18">
    <w:p w:rsidR="006734B0" w:rsidP="002B4A75" w14:paraId="37D99C73" w14:textId="09AB11DB">
      <w:pPr>
        <w:pStyle w:val="733"/>
      </w:pPr>
      <w:r w:rsidRPr="002B4A75">
        <w:rPr>
          <w:rStyle w:val="FootnoteReference1"/>
          <w:vertAlign w:val="baseline"/>
        </w:rPr>
        <w:footnoteRef/>
      </w:r>
      <w:r w:rsidRPr="002B4A75">
        <w:rPr>
          <w:rFonts w:hint="cs"/>
          <w:rtl/>
        </w:rPr>
        <w:t xml:space="preserve"> </w:t>
      </w:r>
      <w:r w:rsidRPr="002B4A75">
        <w:rPr>
          <w:rFonts w:hint="cs"/>
          <w:rtl/>
        </w:rPr>
        <w:tab/>
      </w:r>
      <w:r w:rsidRPr="002B4A75">
        <w:rPr>
          <w:rFonts w:hint="cs"/>
          <w:rtl/>
        </w:rPr>
        <w:t>חוו"ד</w:t>
      </w:r>
      <w:r w:rsidRPr="002B4A75">
        <w:rPr>
          <w:rFonts w:hint="cs"/>
          <w:rtl/>
        </w:rPr>
        <w:t xml:space="preserve"> </w:t>
      </w:r>
      <w:r w:rsidR="00A31713">
        <w:rPr>
          <w:rFonts w:hint="cs"/>
          <w:rtl/>
        </w:rPr>
        <w:t>משרד המשפטים</w:t>
      </w:r>
      <w:r w:rsidRPr="002B4A75">
        <w:rPr>
          <w:rFonts w:hint="cs"/>
          <w:rtl/>
        </w:rPr>
        <w:t>, סעיף 34. סיבות נוספות לירידת המפלס: שאיבות מים מהירדן וירידת ספיקת המים שבו, שאיבת מים</w:t>
      </w:r>
      <w:r>
        <w:rPr>
          <w:rFonts w:ascii="Arial" w:hAnsi="Arial" w:hint="cs"/>
          <w:sz w:val="24"/>
          <w:rtl/>
        </w:rPr>
        <w:t xml:space="preserve"> מהנחלים השונים שזורמים לים המלח, הן בצד הישראלי והן בצד הירדני, וכן שאיבות מים מהים לצורכי תעשיית הפקת המינרלים בצד הירדני.</w:t>
      </w:r>
      <w:r>
        <w:rPr>
          <w:rFonts w:hint="cs"/>
          <w:rtl/>
        </w:rPr>
        <w:t xml:space="preserve"> </w:t>
      </w:r>
    </w:p>
  </w:footnote>
  <w:footnote w:id="19">
    <w:p w:rsidR="006734B0" w:rsidP="002B4A75" w14:paraId="3253C6CA" w14:textId="064306D9">
      <w:pPr>
        <w:pStyle w:val="733"/>
        <w:rPr>
          <w:rtl/>
        </w:rPr>
      </w:pPr>
      <w:r w:rsidRPr="00943F8C">
        <w:footnoteRef/>
      </w:r>
      <w:r w:rsidRPr="00943F8C">
        <w:rPr>
          <w:rtl/>
        </w:rPr>
        <w:t xml:space="preserve"> </w:t>
      </w:r>
      <w:r w:rsidRPr="00831437">
        <w:rPr>
          <w:rtl/>
        </w:rPr>
        <w:tab/>
      </w:r>
      <w:r w:rsidRPr="00831437">
        <w:rPr>
          <w:rFonts w:hint="cs"/>
          <w:rtl/>
        </w:rPr>
        <w:t>בג"</w:t>
      </w:r>
      <w:r w:rsidR="00F571AD">
        <w:rPr>
          <w:rFonts w:hint="cs"/>
          <w:rtl/>
        </w:rPr>
        <w:t>ץ</w:t>
      </w:r>
      <w:r w:rsidRPr="00831437">
        <w:rPr>
          <w:rFonts w:hint="cs"/>
          <w:rtl/>
        </w:rPr>
        <w:t xml:space="preserve"> 5784/22 </w:t>
      </w:r>
      <w:r w:rsidRPr="00831437">
        <w:rPr>
          <w:rFonts w:hint="cs"/>
          <w:b/>
          <w:bCs/>
          <w:rtl/>
        </w:rPr>
        <w:t>לובי 99 (</w:t>
      </w:r>
      <w:r w:rsidRPr="00831437">
        <w:rPr>
          <w:rFonts w:hint="cs"/>
          <w:b/>
          <w:bCs/>
          <w:rtl/>
        </w:rPr>
        <w:t>חל"צ</w:t>
      </w:r>
      <w:r w:rsidRPr="00831437">
        <w:rPr>
          <w:rFonts w:hint="cs"/>
          <w:b/>
          <w:bCs/>
          <w:rtl/>
        </w:rPr>
        <w:t>) נ' הרשות הממשלתית למים וביוב, היועצת המשפטית לממשלה, מפעלי ים המלח בע"מ</w:t>
      </w:r>
      <w:r w:rsidRPr="00831437">
        <w:rPr>
          <w:rFonts w:hint="cs"/>
          <w:rtl/>
        </w:rPr>
        <w:t xml:space="preserve">. </w:t>
      </w:r>
    </w:p>
  </w:footnote>
  <w:footnote w:id="20">
    <w:p w:rsidR="006734B0" w:rsidP="002B4A75" w14:paraId="52FDF325" w14:textId="77777777">
      <w:pPr>
        <w:pStyle w:val="733"/>
        <w:rPr>
          <w:rtl/>
        </w:rPr>
      </w:pPr>
      <w:r w:rsidRPr="00943F8C">
        <w:footnoteRef/>
      </w:r>
      <w:r w:rsidRPr="00943F8C">
        <w:rPr>
          <w:rFonts w:hint="cs"/>
          <w:rtl/>
        </w:rPr>
        <w:t xml:space="preserve"> </w:t>
      </w:r>
      <w:r>
        <w:rPr>
          <w:rFonts w:hint="cs"/>
          <w:rtl/>
        </w:rPr>
        <w:tab/>
        <w:t xml:space="preserve">סמכויות המשרד </w:t>
      </w:r>
      <w:r>
        <w:rPr>
          <w:rFonts w:hint="cs"/>
          <w:rtl/>
        </w:rPr>
        <w:t>להג"ס</w:t>
      </w:r>
      <w:r>
        <w:rPr>
          <w:rFonts w:hint="cs"/>
          <w:rtl/>
        </w:rPr>
        <w:t xml:space="preserve"> לפי חוק רישוי עסקים הועברו למשרד בשנת 1994 וקודם לכן היו בידי משרד הפנים. המשרד </w:t>
      </w:r>
      <w:r>
        <w:rPr>
          <w:rFonts w:hint="cs"/>
          <w:rtl/>
        </w:rPr>
        <w:t>להג"ס</w:t>
      </w:r>
      <w:r>
        <w:rPr>
          <w:rFonts w:hint="cs"/>
          <w:rtl/>
        </w:rPr>
        <w:t xml:space="preserve"> פועל בין היתר באמצעות שישה מחוזות, לפי החלוקה הגיאוגרפית שהגדיר משרד הפנים (ירושלים, צפון, חיפה, מרכז, תל אביב ודרום) </w:t>
      </w:r>
      <w:r w:rsidRPr="00543C29">
        <w:rPr>
          <w:rFonts w:hint="eastAsia"/>
          <w:rtl/>
        </w:rPr>
        <w:t>ובמחוז</w:t>
      </w:r>
      <w:r w:rsidRPr="00543C29">
        <w:rPr>
          <w:rtl/>
        </w:rPr>
        <w:t xml:space="preserve"> </w:t>
      </w:r>
      <w:r w:rsidRPr="00543C29">
        <w:rPr>
          <w:rFonts w:hint="eastAsia"/>
          <w:rtl/>
        </w:rPr>
        <w:t>יו</w:t>
      </w:r>
      <w:r w:rsidRPr="00543C29">
        <w:rPr>
          <w:rtl/>
        </w:rPr>
        <w:t>"ש</w:t>
      </w:r>
      <w:r>
        <w:rPr>
          <w:rFonts w:hint="cs"/>
          <w:rtl/>
        </w:rPr>
        <w:t xml:space="preserve">. כל מחוז פועל על פי מאפייניו והצרכים הסביבתיים הנהוגים בו. עובדי מחוזות המשרד הוסמכו להתנות תנאים ברישיון עסק מכוח חוק רישוי עסקים. </w:t>
      </w:r>
    </w:p>
  </w:footnote>
  <w:footnote w:id="21">
    <w:p w:rsidR="006734B0" w:rsidP="00943F8C" w14:paraId="7365C262" w14:textId="77777777">
      <w:pPr>
        <w:pStyle w:val="7314"/>
      </w:pPr>
      <w:r w:rsidRPr="00943F8C">
        <w:footnoteRef/>
      </w:r>
      <w:r w:rsidRPr="00943F8C">
        <w:rPr>
          <w:rFonts w:hint="cs"/>
          <w:rtl/>
        </w:rPr>
        <w:t xml:space="preserve"> </w:t>
      </w:r>
      <w:r w:rsidRPr="00943F8C">
        <w:rPr>
          <w:rFonts w:hint="cs"/>
          <w:rtl/>
        </w:rPr>
        <w:tab/>
      </w:r>
      <w:r>
        <w:rPr>
          <w:rFonts w:hint="cs"/>
          <w:rtl/>
        </w:rPr>
        <w:t>עא</w:t>
      </w:r>
      <w:r>
        <w:rPr>
          <w:rFonts w:hint="cs"/>
          <w:rtl/>
        </w:rPr>
        <w:t xml:space="preserve"> (ב"ש) 7/92 </w:t>
      </w:r>
      <w:r w:rsidRPr="0097449C">
        <w:rPr>
          <w:rFonts w:hint="cs"/>
          <w:b/>
          <w:bCs/>
          <w:rtl/>
        </w:rPr>
        <w:t>מלון מרחצאות מוריה ים המלח בע"מ נ' מפעלי ים המלח בע"מ</w:t>
      </w:r>
      <w:r>
        <w:rPr>
          <w:rFonts w:hint="cs"/>
          <w:rtl/>
        </w:rPr>
        <w:t xml:space="preserve">, </w:t>
      </w:r>
      <w:r>
        <w:rPr>
          <w:rFonts w:hint="cs"/>
          <w:rtl/>
        </w:rPr>
        <w:t>פ"מ</w:t>
      </w:r>
      <w:r>
        <w:rPr>
          <w:rFonts w:hint="cs"/>
          <w:rtl/>
        </w:rPr>
        <w:t xml:space="preserve"> תשנ"ג(1) 265. </w:t>
      </w:r>
    </w:p>
  </w:footnote>
  <w:footnote w:id="22">
    <w:p w:rsidR="006734B0" w:rsidRPr="00943F8C" w:rsidP="00943F8C" w14:paraId="21DF11AE" w14:textId="77777777">
      <w:pPr>
        <w:pStyle w:val="7314"/>
        <w:rPr>
          <w:rtl/>
        </w:rPr>
      </w:pPr>
      <w:r w:rsidRPr="00943F8C">
        <w:rPr>
          <w:rStyle w:val="FootnoteReference1"/>
          <w:vertAlign w:val="baseline"/>
        </w:rPr>
        <w:footnoteRef/>
      </w:r>
      <w:r w:rsidRPr="00943F8C">
        <w:rPr>
          <w:rtl/>
        </w:rPr>
        <w:t xml:space="preserve"> </w:t>
      </w:r>
      <w:r w:rsidRPr="00943F8C">
        <w:rPr>
          <w:rtl/>
        </w:rPr>
        <w:tab/>
        <w:t>וכן את ביצוען של שמונה עבודות הבנייה שפורטו בתוספת לחוק הוראות השעה, ובלבד שתחילת ביצוען תהיה לפני מרץ 1995 (בתום שנה ממועד חקיקת חוק הוראות השעה). להלן העבודות המפורטות בתוספת: מפעל לייצור מגנזיום מתכתי, מפעל לייצור מלחים, הגדלה והרחבה של תחנת כוח קיימת, הגבלת סוללות קיימות המקיפות את הבריכות התעשייתיות, תוספת של קומת משרדים בבניין קיים, הקמת מתקן ניסוי מסוים, הקמת מתקן לייצור אשלג טכני ושינויים ושיפורים במתקני ייצור קיימים.</w:t>
      </w:r>
    </w:p>
  </w:footnote>
  <w:footnote w:id="23">
    <w:p w:rsidR="006734B0" w:rsidRPr="00943F8C" w:rsidP="00943F8C" w14:paraId="05B5FF3B" w14:textId="77777777">
      <w:pPr>
        <w:pStyle w:val="7314"/>
        <w:rPr>
          <w:rtl/>
        </w:rPr>
      </w:pPr>
      <w:r w:rsidRPr="00943F8C">
        <w:rPr>
          <w:rStyle w:val="FootnoteReference1"/>
          <w:vertAlign w:val="baseline"/>
        </w:rPr>
        <w:footnoteRef/>
      </w:r>
      <w:r w:rsidRPr="00943F8C">
        <w:rPr>
          <w:rtl/>
        </w:rPr>
        <w:t xml:space="preserve"> </w:t>
      </w:r>
      <w:r w:rsidRPr="00943F8C">
        <w:rPr>
          <w:rtl/>
        </w:rPr>
        <w:tab/>
      </w:r>
      <w:r w:rsidRPr="00943F8C">
        <w:rPr>
          <w:rFonts w:hint="cs"/>
          <w:rtl/>
        </w:rPr>
        <w:t xml:space="preserve">וכן את עסקי עבודות הבנייה שבתוספת לחוק הוראות השעה. </w:t>
      </w:r>
    </w:p>
  </w:footnote>
  <w:footnote w:id="24">
    <w:p w:rsidR="006734B0" w:rsidRPr="00943F8C" w:rsidP="00943F8C" w14:paraId="320D24B2" w14:textId="77777777">
      <w:pPr>
        <w:pStyle w:val="7314"/>
        <w:rPr>
          <w:rtl/>
        </w:rPr>
      </w:pPr>
      <w:r w:rsidRPr="00943F8C">
        <w:rPr>
          <w:rStyle w:val="FootnoteReference1"/>
          <w:vertAlign w:val="baseline"/>
        </w:rPr>
        <w:footnoteRef/>
      </w:r>
      <w:r w:rsidRPr="00943F8C">
        <w:rPr>
          <w:rtl/>
        </w:rPr>
        <w:t xml:space="preserve"> </w:t>
      </w:r>
      <w:r w:rsidRPr="00943F8C">
        <w:rPr>
          <w:rtl/>
        </w:rPr>
        <w:tab/>
        <w:t>יצוין כי במסגרת אותו החוק תוקן בתיקון עקיף גם חוק התכנון והבנייה, ונקבע בו כי הוראותיו והתקנות לפיו יחולו על בעל הזיכיון בשטח הזיכיון, בכפוף לחוק הוראות השעה (סעיף 255ז לחוק).</w:t>
      </w:r>
    </w:p>
  </w:footnote>
  <w:footnote w:id="25">
    <w:p w:rsidR="006734B0" w:rsidRPr="00943F8C" w:rsidP="00943F8C" w14:paraId="3D458539" w14:textId="77777777">
      <w:pPr>
        <w:pStyle w:val="711"/>
        <w:rPr>
          <w:rtl/>
        </w:rPr>
      </w:pPr>
      <w:r w:rsidRPr="00943F8C">
        <w:rPr>
          <w:rStyle w:val="FootnoteReference1"/>
          <w:vertAlign w:val="baseline"/>
        </w:rPr>
        <w:footnoteRef/>
      </w:r>
      <w:r w:rsidRPr="00943F8C">
        <w:rPr>
          <w:rFonts w:hint="cs"/>
          <w:rtl/>
        </w:rPr>
        <w:t xml:space="preserve"> </w:t>
      </w:r>
      <w:r w:rsidRPr="00943F8C">
        <w:rPr>
          <w:rFonts w:hint="cs"/>
          <w:rtl/>
        </w:rPr>
        <w:tab/>
        <w:t xml:space="preserve">לפי רישיון החשמל המותנה להקמת תחנת הכוח מדצמבר 2015. </w:t>
      </w:r>
    </w:p>
  </w:footnote>
  <w:footnote w:id="26">
    <w:p w:rsidR="006734B0" w:rsidRPr="00943F8C" w:rsidP="00943F8C" w14:paraId="2F14BD44" w14:textId="77777777">
      <w:pPr>
        <w:pStyle w:val="733"/>
        <w:rPr>
          <w:rtl/>
        </w:rPr>
      </w:pPr>
      <w:r w:rsidRPr="00943F8C">
        <w:rPr>
          <w:rStyle w:val="FootnoteReference1"/>
          <w:vertAlign w:val="baseline"/>
        </w:rPr>
        <w:footnoteRef/>
      </w:r>
      <w:r w:rsidRPr="00943F8C">
        <w:rPr>
          <w:rFonts w:hint="cs"/>
          <w:rtl/>
        </w:rPr>
        <w:t xml:space="preserve"> </w:t>
      </w:r>
      <w:r w:rsidRPr="00943F8C">
        <w:rPr>
          <w:rFonts w:hint="cs"/>
          <w:rtl/>
        </w:rPr>
        <w:tab/>
        <w:t xml:space="preserve">העלאת נוזל במשאבה על ידי לחץ. </w:t>
      </w:r>
    </w:p>
  </w:footnote>
  <w:footnote w:id="27">
    <w:p w:rsidR="006734B0" w:rsidRPr="00943F8C" w:rsidP="00943F8C" w14:paraId="49ADA036" w14:textId="77777777">
      <w:pPr>
        <w:pStyle w:val="733"/>
      </w:pPr>
      <w:r w:rsidRPr="00943F8C">
        <w:rPr>
          <w:rStyle w:val="FootnoteReference1"/>
          <w:vertAlign w:val="baseline"/>
        </w:rPr>
        <w:footnoteRef/>
      </w:r>
      <w:r w:rsidRPr="00943F8C">
        <w:rPr>
          <w:rFonts w:hint="cs"/>
          <w:rtl/>
        </w:rPr>
        <w:t xml:space="preserve"> </w:t>
      </w:r>
      <w:r w:rsidRPr="00943F8C">
        <w:rPr>
          <w:rFonts w:hint="cs"/>
          <w:rtl/>
        </w:rPr>
        <w:tab/>
        <w:t xml:space="preserve">לצד הקווים האמורים קיים גם צינור להולכת גז טבעי של חברת נתיבי הגז הטבעי לישראל. </w:t>
      </w:r>
    </w:p>
  </w:footnote>
  <w:footnote w:id="28">
    <w:p w:rsidR="006734B0" w:rsidRPr="00D816B7" w:rsidP="00D816B7" w14:paraId="24E80E89" w14:textId="77777777">
      <w:pPr>
        <w:pStyle w:val="733"/>
        <w:rPr>
          <w:rtl/>
        </w:rPr>
      </w:pPr>
      <w:r w:rsidRPr="00D816B7">
        <w:rPr>
          <w:rStyle w:val="FootnoteReference1"/>
          <w:vertAlign w:val="baseline"/>
        </w:rPr>
        <w:footnoteRef/>
      </w:r>
      <w:r w:rsidRPr="00D816B7">
        <w:rPr>
          <w:rtl/>
        </w:rPr>
        <w:t xml:space="preserve"> </w:t>
      </w:r>
      <w:r w:rsidRPr="00D816B7">
        <w:rPr>
          <w:rtl/>
        </w:rPr>
        <w:tab/>
      </w:r>
      <w:r w:rsidRPr="00D816B7">
        <w:rPr>
          <w:rFonts w:hint="cs"/>
          <w:rtl/>
        </w:rPr>
        <w:t xml:space="preserve">מערכת הגנה מפני ההשפעות המזיקות של קורוזיה (שיתוך). </w:t>
      </w:r>
    </w:p>
  </w:footnote>
  <w:footnote w:id="29">
    <w:p w:rsidR="006734B0" w:rsidP="00D816B7" w14:paraId="75826C37" w14:textId="77777777">
      <w:pPr>
        <w:pStyle w:val="733"/>
        <w:rPr>
          <w:rtl/>
        </w:rPr>
      </w:pPr>
      <w:r w:rsidRPr="00D816B7">
        <w:rPr>
          <w:rStyle w:val="FootnoteReference1"/>
          <w:vertAlign w:val="baseline"/>
        </w:rPr>
        <w:footnoteRef/>
      </w:r>
      <w:r w:rsidRPr="00D816B7">
        <w:rPr>
          <w:rtl/>
        </w:rPr>
        <w:t xml:space="preserve"> </w:t>
      </w:r>
      <w:r w:rsidRPr="00D816B7">
        <w:rPr>
          <w:rtl/>
        </w:rPr>
        <w:tab/>
      </w:r>
      <w:r w:rsidRPr="00D816B7">
        <w:rPr>
          <w:rFonts w:hint="cs"/>
          <w:rtl/>
        </w:rPr>
        <w:t>מ</w:t>
      </w:r>
      <w:r w:rsidRPr="00D816B7">
        <w:rPr>
          <w:rtl/>
        </w:rPr>
        <w:t>ניפת סחף היא הצטברות של סחף בצורת מניפה שנוצר</w:t>
      </w:r>
      <w:r w:rsidRPr="00D816B7">
        <w:rPr>
          <w:rFonts w:hint="cs"/>
          <w:rtl/>
        </w:rPr>
        <w:t>ת</w:t>
      </w:r>
      <w:r w:rsidRPr="00D816B7">
        <w:rPr>
          <w:rtl/>
        </w:rPr>
        <w:t xml:space="preserve"> כאשר נחל שזרימתו מהירה מאט, נעשה רדוד, ומתפשט בצורה</w:t>
      </w:r>
      <w:r w:rsidRPr="00473E21">
        <w:rPr>
          <w:rtl/>
        </w:rPr>
        <w:t xml:space="preserve"> אופיינית </w:t>
      </w:r>
      <w:r w:rsidRPr="00473E21">
        <w:rPr>
          <w:rFonts w:hint="cs"/>
          <w:rtl/>
        </w:rPr>
        <w:t xml:space="preserve">זו. </w:t>
      </w:r>
    </w:p>
  </w:footnote>
  <w:footnote w:id="30">
    <w:p w:rsidR="006734B0" w:rsidP="00D816B7" w14:paraId="277E8101" w14:textId="77777777">
      <w:pPr>
        <w:pStyle w:val="7314"/>
        <w:rPr>
          <w:rtl/>
        </w:rPr>
      </w:pPr>
      <w:r w:rsidRPr="00D816B7">
        <w:footnoteRef/>
      </w:r>
      <w:r w:rsidRPr="00D816B7">
        <w:rPr>
          <w:rtl/>
        </w:rPr>
        <w:t xml:space="preserve"> </w:t>
      </w:r>
      <w:r w:rsidRPr="00D816B7">
        <w:rPr>
          <w:rtl/>
        </w:rPr>
        <w:tab/>
      </w:r>
      <w:r>
        <w:rPr>
          <w:rFonts w:hint="cs"/>
          <w:rtl/>
        </w:rPr>
        <w:t xml:space="preserve">כאמור סמכויות המשרד </w:t>
      </w:r>
      <w:r>
        <w:rPr>
          <w:rFonts w:hint="cs"/>
          <w:rtl/>
        </w:rPr>
        <w:t>להג"ס</w:t>
      </w:r>
      <w:r>
        <w:rPr>
          <w:rFonts w:hint="cs"/>
          <w:rtl/>
        </w:rPr>
        <w:t xml:space="preserve"> לפי חוק רישוי עסקים </w:t>
      </w:r>
      <w:r w:rsidRPr="00CC693F">
        <w:rPr>
          <w:rFonts w:hint="eastAsia"/>
          <w:rtl/>
        </w:rPr>
        <w:t>הוסדרו</w:t>
      </w:r>
      <w:r w:rsidRPr="00CC693F">
        <w:rPr>
          <w:rtl/>
        </w:rPr>
        <w:t xml:space="preserve"> </w:t>
      </w:r>
      <w:r w:rsidRPr="00CC693F">
        <w:rPr>
          <w:rFonts w:hint="eastAsia"/>
          <w:rtl/>
        </w:rPr>
        <w:t>רק</w:t>
      </w:r>
      <w:r w:rsidRPr="00CC693F">
        <w:rPr>
          <w:rtl/>
        </w:rPr>
        <w:t xml:space="preserve"> </w:t>
      </w:r>
      <w:r w:rsidRPr="00160A6B">
        <w:rPr>
          <w:rFonts w:hint="cs"/>
          <w:rtl/>
        </w:rPr>
        <w:t>בשנת 1994.</w:t>
      </w:r>
    </w:p>
  </w:footnote>
  <w:footnote w:id="31">
    <w:p w:rsidR="00DC70B8" w:rsidP="00DC70B8" w14:paraId="7097AD86" w14:textId="77777777">
      <w:pPr>
        <w:pStyle w:val="7314"/>
      </w:pPr>
      <w:r w:rsidRPr="00D816B7">
        <w:footnoteRef/>
      </w:r>
      <w:r w:rsidRPr="00D816B7">
        <w:rPr>
          <w:rtl/>
        </w:rPr>
        <w:t xml:space="preserve"> </w:t>
      </w:r>
      <w:r>
        <w:rPr>
          <w:rtl/>
        </w:rPr>
        <w:tab/>
      </w:r>
      <w:r w:rsidRPr="00B41F7E">
        <w:rPr>
          <w:rFonts w:hint="cs"/>
          <w:rtl/>
        </w:rPr>
        <w:t xml:space="preserve">יוער כי קדם </w:t>
      </w:r>
      <w:r w:rsidRPr="000F49AA">
        <w:rPr>
          <w:rFonts w:hint="cs"/>
          <w:rtl/>
        </w:rPr>
        <w:t>לצוות הבי</w:t>
      </w:r>
      <w:r w:rsidRPr="000F49AA">
        <w:rPr>
          <w:rFonts w:hint="eastAsia"/>
          <w:rtl/>
        </w:rPr>
        <w:t>ן</w:t>
      </w:r>
      <w:r w:rsidRPr="000F49AA">
        <w:rPr>
          <w:rtl/>
        </w:rPr>
        <w:t>-</w:t>
      </w:r>
      <w:r>
        <w:rPr>
          <w:rFonts w:hint="cs"/>
          <w:rtl/>
        </w:rPr>
        <w:t>י</w:t>
      </w:r>
      <w:r w:rsidRPr="000F49AA">
        <w:rPr>
          <w:rFonts w:hint="cs"/>
          <w:rtl/>
        </w:rPr>
        <w:t>משרדי</w:t>
      </w:r>
      <w:r w:rsidRPr="00B41F7E">
        <w:rPr>
          <w:rFonts w:hint="cs"/>
          <w:rtl/>
        </w:rPr>
        <w:t xml:space="preserve"> האמור צוות בראשות הכלכלן הראשי (דאז) במשרד האוצר, מר יואל </w:t>
      </w:r>
      <w:r w:rsidRPr="00B41F7E">
        <w:rPr>
          <w:rFonts w:hint="cs"/>
          <w:rtl/>
        </w:rPr>
        <w:t>נוה</w:t>
      </w:r>
      <w:r>
        <w:rPr>
          <w:rFonts w:hint="cs"/>
          <w:rtl/>
        </w:rPr>
        <w:t xml:space="preserve">, </w:t>
      </w:r>
      <w:r w:rsidRPr="00B41F7E">
        <w:rPr>
          <w:rFonts w:hint="cs"/>
          <w:rtl/>
        </w:rPr>
        <w:t xml:space="preserve">אשר </w:t>
      </w:r>
      <w:r w:rsidRPr="000F4229">
        <w:rPr>
          <w:rFonts w:hint="cs"/>
          <w:rtl/>
        </w:rPr>
        <w:t>הוקם בהתאם ל</w:t>
      </w:r>
      <w:r w:rsidRPr="000F4229">
        <w:rPr>
          <w:rtl/>
        </w:rPr>
        <w:t xml:space="preserve">החלטת </w:t>
      </w:r>
      <w:r w:rsidRPr="000F4229">
        <w:rPr>
          <w:rFonts w:hint="eastAsia"/>
          <w:rtl/>
        </w:rPr>
        <w:t>ה</w:t>
      </w:r>
      <w:r w:rsidRPr="000F4229">
        <w:rPr>
          <w:rtl/>
        </w:rPr>
        <w:t xml:space="preserve">ממשלה 2219 (20.10.14) שעניינה "אימוץ המלצות הוועדה לבחינת חלק המדינה המתקבל בעד השימוש של גורמים פרטיים במשאבי טבע לאומיים (דו"ח </w:t>
      </w:r>
      <w:r w:rsidRPr="000F4229">
        <w:rPr>
          <w:rtl/>
        </w:rPr>
        <w:t>ששינסקי</w:t>
      </w:r>
      <w:r w:rsidRPr="000F4229">
        <w:rPr>
          <w:rtl/>
        </w:rPr>
        <w:t xml:space="preserve"> 2)"</w:t>
      </w:r>
      <w:r w:rsidRPr="000F4229">
        <w:rPr>
          <w:rFonts w:hint="cs"/>
          <w:rtl/>
        </w:rPr>
        <w:t>. צוות זה הגיש</w:t>
      </w:r>
      <w:r>
        <w:rPr>
          <w:rFonts w:hint="cs"/>
          <w:rtl/>
        </w:rPr>
        <w:t xml:space="preserve"> </w:t>
      </w:r>
      <w:r w:rsidRPr="000F4229">
        <w:rPr>
          <w:rFonts w:hint="cs"/>
          <w:rtl/>
        </w:rPr>
        <w:t xml:space="preserve">בינואר 2019 </w:t>
      </w:r>
      <w:r w:rsidRPr="000F4229">
        <w:rPr>
          <w:rFonts w:hint="eastAsia"/>
          <w:rtl/>
        </w:rPr>
        <w:t>את</w:t>
      </w:r>
      <w:r w:rsidRPr="000F4229">
        <w:rPr>
          <w:rFonts w:hint="cs"/>
          <w:rtl/>
        </w:rPr>
        <w:t xml:space="preserve"> המלצותיו </w:t>
      </w:r>
      <w:r w:rsidRPr="000F4229">
        <w:rPr>
          <w:rFonts w:hint="eastAsia"/>
          <w:rtl/>
        </w:rPr>
        <w:t>בנוגע</w:t>
      </w:r>
      <w:r w:rsidRPr="000F4229">
        <w:rPr>
          <w:rtl/>
        </w:rPr>
        <w:t xml:space="preserve"> לפעולות הממשלה הנדרשות לקראת תום תקופת </w:t>
      </w:r>
      <w:r w:rsidRPr="000F4229">
        <w:rPr>
          <w:rFonts w:hint="cs"/>
          <w:rtl/>
        </w:rPr>
        <w:t>ה</w:t>
      </w:r>
      <w:r w:rsidRPr="000F4229">
        <w:rPr>
          <w:rtl/>
        </w:rPr>
        <w:t>זיכיון</w:t>
      </w:r>
      <w:r>
        <w:rPr>
          <w:rFonts w:hint="cs"/>
          <w:rtl/>
        </w:rPr>
        <w:t xml:space="preserve"> </w:t>
      </w:r>
      <w:r w:rsidRPr="004531B1">
        <w:rPr>
          <w:rtl/>
        </w:rPr>
        <w:t>(להלן - דוח נווה)</w:t>
      </w:r>
      <w:r w:rsidRPr="000F4229">
        <w:rPr>
          <w:rFonts w:hint="cs"/>
          <w:rtl/>
        </w:rPr>
        <w:t>.</w:t>
      </w:r>
      <w:r w:rsidRPr="000F49AA">
        <w:t> </w:t>
      </w:r>
      <w:r w:rsidRPr="005C676B">
        <w:t> </w:t>
      </w:r>
    </w:p>
  </w:footnote>
  <w:footnote w:id="32">
    <w:p w:rsidR="006734B0" w:rsidRPr="00D0542F" w:rsidP="00D0542F" w14:paraId="7F759290" w14:textId="77777777">
      <w:pPr>
        <w:pStyle w:val="733"/>
        <w:rPr>
          <w:rtl/>
        </w:rPr>
      </w:pPr>
      <w:r w:rsidRPr="00D0542F">
        <w:rPr>
          <w:rStyle w:val="FootnoteReference1"/>
          <w:vertAlign w:val="baseline"/>
        </w:rPr>
        <w:footnoteRef/>
      </w:r>
      <w:r w:rsidRPr="00D0542F">
        <w:rPr>
          <w:rtl/>
        </w:rPr>
        <w:t xml:space="preserve"> </w:t>
      </w:r>
      <w:r w:rsidRPr="00D0542F">
        <w:rPr>
          <w:rtl/>
        </w:rPr>
        <w:tab/>
      </w:r>
      <w:r w:rsidRPr="00D0542F">
        <w:rPr>
          <w:rFonts w:hint="cs"/>
          <w:rtl/>
        </w:rPr>
        <w:t xml:space="preserve">עיקרון לפיו </w:t>
      </w:r>
      <w:r w:rsidRPr="00D0542F">
        <w:rPr>
          <w:rFonts w:hint="eastAsia"/>
          <w:rtl/>
        </w:rPr>
        <w:t>האחריות</w:t>
      </w:r>
      <w:r w:rsidRPr="00D0542F">
        <w:rPr>
          <w:rtl/>
        </w:rPr>
        <w:t xml:space="preserve"> </w:t>
      </w:r>
      <w:r w:rsidRPr="00D0542F">
        <w:rPr>
          <w:rFonts w:hint="eastAsia"/>
          <w:rtl/>
        </w:rPr>
        <w:t>לטיפול</w:t>
      </w:r>
      <w:r w:rsidRPr="00D0542F">
        <w:rPr>
          <w:rtl/>
        </w:rPr>
        <w:t xml:space="preserve"> </w:t>
      </w:r>
      <w:r w:rsidRPr="00D0542F">
        <w:rPr>
          <w:rFonts w:hint="eastAsia"/>
          <w:rtl/>
        </w:rPr>
        <w:t>בסילוק</w:t>
      </w:r>
      <w:r w:rsidRPr="00D0542F">
        <w:rPr>
          <w:rtl/>
        </w:rPr>
        <w:t xml:space="preserve"> </w:t>
      </w:r>
      <w:r w:rsidRPr="00D0542F">
        <w:rPr>
          <w:rFonts w:hint="eastAsia"/>
          <w:rtl/>
        </w:rPr>
        <w:t>הזיהומים</w:t>
      </w:r>
      <w:r w:rsidRPr="00D0542F">
        <w:rPr>
          <w:rtl/>
        </w:rPr>
        <w:t xml:space="preserve"> </w:t>
      </w:r>
      <w:r w:rsidRPr="00D0542F">
        <w:rPr>
          <w:rFonts w:hint="eastAsia"/>
          <w:rtl/>
        </w:rPr>
        <w:t>שנגרמו</w:t>
      </w:r>
      <w:r w:rsidRPr="00D0542F">
        <w:rPr>
          <w:rtl/>
        </w:rPr>
        <w:t xml:space="preserve"> </w:t>
      </w:r>
      <w:r w:rsidRPr="00D0542F">
        <w:rPr>
          <w:rFonts w:hint="eastAsia"/>
          <w:rtl/>
        </w:rPr>
        <w:t>ולמימונו</w:t>
      </w:r>
      <w:r w:rsidRPr="00D0542F">
        <w:rPr>
          <w:rtl/>
        </w:rPr>
        <w:t xml:space="preserve"> </w:t>
      </w:r>
      <w:r w:rsidRPr="00D0542F">
        <w:rPr>
          <w:rFonts w:hint="eastAsia"/>
          <w:rtl/>
        </w:rPr>
        <w:t>חלה</w:t>
      </w:r>
      <w:r w:rsidRPr="00D0542F">
        <w:rPr>
          <w:rtl/>
        </w:rPr>
        <w:t xml:space="preserve"> </w:t>
      </w:r>
      <w:r w:rsidRPr="00D0542F">
        <w:rPr>
          <w:rFonts w:hint="eastAsia"/>
          <w:rtl/>
        </w:rPr>
        <w:t>על</w:t>
      </w:r>
      <w:r w:rsidRPr="00D0542F">
        <w:rPr>
          <w:rtl/>
        </w:rPr>
        <w:t xml:space="preserve"> </w:t>
      </w:r>
      <w:r w:rsidRPr="00D0542F">
        <w:rPr>
          <w:rFonts w:hint="eastAsia"/>
          <w:rtl/>
        </w:rPr>
        <w:t>הגורם</w:t>
      </w:r>
      <w:r w:rsidRPr="00D0542F">
        <w:rPr>
          <w:rtl/>
        </w:rPr>
        <w:t xml:space="preserve"> </w:t>
      </w:r>
      <w:r w:rsidRPr="00D0542F">
        <w:rPr>
          <w:rFonts w:hint="eastAsia"/>
          <w:rtl/>
        </w:rPr>
        <w:t>המזהם</w:t>
      </w:r>
      <w:r w:rsidRPr="00D0542F">
        <w:rPr>
          <w:rtl/>
        </w:rPr>
        <w:t>.</w:t>
      </w:r>
      <w:r w:rsidRPr="00D0542F">
        <w:rPr>
          <w:rFonts w:hint="cs"/>
          <w:rtl/>
        </w:rPr>
        <w:t xml:space="preserve"> </w:t>
      </w:r>
    </w:p>
  </w:footnote>
  <w:footnote w:id="33">
    <w:p w:rsidR="006734B0" w:rsidP="00D0542F" w14:paraId="5C84ACC0" w14:textId="77777777">
      <w:pPr>
        <w:pStyle w:val="733"/>
      </w:pPr>
      <w:r w:rsidRPr="00D0542F">
        <w:rPr>
          <w:rStyle w:val="FootnoteReference1"/>
          <w:vertAlign w:val="baseline"/>
        </w:rPr>
        <w:footnoteRef/>
      </w:r>
      <w:r w:rsidRPr="00D0542F">
        <w:rPr>
          <w:rtl/>
        </w:rPr>
        <w:t xml:space="preserve"> </w:t>
      </w:r>
      <w:r w:rsidRPr="00D0542F">
        <w:rPr>
          <w:rtl/>
        </w:rPr>
        <w:tab/>
      </w:r>
      <w:r>
        <w:rPr>
          <w:rFonts w:ascii="Rubik" w:hAnsi="Rubik" w:hint="cs"/>
          <w:sz w:val="24"/>
          <w:shd w:val="clear" w:color="auto" w:fill="FFFFFF"/>
          <w:rtl/>
        </w:rPr>
        <w:t>עד שנת 1996 תחום החציבה והכרייה היה באחריות ה</w:t>
      </w:r>
      <w:r>
        <w:rPr>
          <w:rFonts w:hint="cs"/>
          <w:rtl/>
        </w:rPr>
        <w:t xml:space="preserve">משרד לתעשייה ומסחר. </w:t>
      </w:r>
    </w:p>
  </w:footnote>
  <w:footnote w:id="34">
    <w:p w:rsidR="006734B0" w:rsidRPr="00D816B7" w:rsidP="00D816B7" w14:paraId="68E42720" w14:textId="5DBD9320">
      <w:pPr>
        <w:pStyle w:val="733"/>
      </w:pPr>
      <w:r w:rsidRPr="00D816B7">
        <w:rPr>
          <w:rStyle w:val="FootnoteReference1"/>
          <w:vertAlign w:val="baseline"/>
        </w:rPr>
        <w:footnoteRef/>
      </w:r>
      <w:r w:rsidRPr="00D816B7">
        <w:rPr>
          <w:rFonts w:hint="cs"/>
          <w:rtl/>
        </w:rPr>
        <w:t xml:space="preserve"> </w:t>
      </w:r>
      <w:r w:rsidRPr="00D816B7">
        <w:rPr>
          <w:rFonts w:hint="cs"/>
          <w:rtl/>
        </w:rPr>
        <w:tab/>
        <w:t>מדפי אתר המרשתת של אגף מחצבות ומכרות. נצפ</w:t>
      </w:r>
      <w:r w:rsidR="004A537A">
        <w:rPr>
          <w:rFonts w:hint="cs"/>
          <w:rtl/>
        </w:rPr>
        <w:t>ה</w:t>
      </w:r>
      <w:r w:rsidRPr="00D816B7">
        <w:rPr>
          <w:rFonts w:hint="cs"/>
          <w:rtl/>
        </w:rPr>
        <w:t xml:space="preserve"> לאחרונה ב-27.5.24</w:t>
      </w:r>
      <w:r w:rsidR="00361EA9">
        <w:rPr>
          <w:rFonts w:hint="cs"/>
          <w:rtl/>
        </w:rPr>
        <w:t>.</w:t>
      </w:r>
    </w:p>
  </w:footnote>
  <w:footnote w:id="35">
    <w:p w:rsidR="006734B0" w:rsidRPr="00D816B7" w:rsidP="00D816B7" w14:paraId="13BDED9D" w14:textId="77777777">
      <w:pPr>
        <w:pStyle w:val="733"/>
        <w:rPr>
          <w:rtl/>
        </w:rPr>
      </w:pPr>
      <w:r w:rsidRPr="00D816B7">
        <w:rPr>
          <w:rStyle w:val="FootnoteReference1"/>
          <w:vertAlign w:val="baseline"/>
        </w:rPr>
        <w:footnoteRef/>
      </w:r>
      <w:r w:rsidRPr="00D816B7">
        <w:rPr>
          <w:rFonts w:hint="cs"/>
          <w:rtl/>
        </w:rPr>
        <w:t xml:space="preserve"> </w:t>
      </w:r>
      <w:r w:rsidRPr="00D816B7">
        <w:rPr>
          <w:rFonts w:hint="cs"/>
          <w:rtl/>
        </w:rPr>
        <w:tab/>
        <w:t xml:space="preserve">סעיף 2(ד) לחוק הזיכיון. </w:t>
      </w:r>
    </w:p>
  </w:footnote>
  <w:footnote w:id="36">
    <w:p w:rsidR="006734B0" w:rsidP="00D816B7" w14:paraId="78516497" w14:textId="64528509">
      <w:pPr>
        <w:pStyle w:val="733"/>
      </w:pPr>
      <w:r w:rsidRPr="00D816B7">
        <w:rPr>
          <w:rStyle w:val="FootnoteReference1"/>
          <w:vertAlign w:val="baseline"/>
        </w:rPr>
        <w:footnoteRef/>
      </w:r>
      <w:r w:rsidRPr="00D816B7">
        <w:rPr>
          <w:rtl/>
        </w:rPr>
        <w:t xml:space="preserve"> </w:t>
      </w:r>
      <w:r w:rsidRPr="00D816B7">
        <w:rPr>
          <w:rtl/>
        </w:rPr>
        <w:tab/>
      </w:r>
      <w:r w:rsidRPr="00D816B7">
        <w:rPr>
          <w:rFonts w:hint="cs"/>
          <w:rtl/>
        </w:rPr>
        <w:t xml:space="preserve">יצוין </w:t>
      </w:r>
      <w:r w:rsidRPr="00B92DE5" w:rsidR="00B92DE5">
        <w:rPr>
          <w:rtl/>
        </w:rPr>
        <w:t xml:space="preserve">כי החוק אינו מגדיר מפורשת מהי הרשות המוסמכת, אולם יש לפרש זאת כמשרד </w:t>
      </w:r>
      <w:r w:rsidRPr="00B92DE5" w:rsidR="00B92DE5">
        <w:rPr>
          <w:rtl/>
        </w:rPr>
        <w:t>האנרגייה</w:t>
      </w:r>
      <w:r w:rsidRPr="00B92DE5" w:rsidR="00B92DE5">
        <w:rPr>
          <w:rtl/>
        </w:rPr>
        <w:t xml:space="preserve"> מאחר שהוא המשרד האחראי </w:t>
      </w:r>
      <w:r w:rsidRPr="00B92DE5" w:rsidR="00B92DE5">
        <w:rPr>
          <w:rtl/>
        </w:rPr>
        <w:t>לאסדרת</w:t>
      </w:r>
      <w:r w:rsidRPr="00B92DE5" w:rsidR="00B92DE5">
        <w:rPr>
          <w:rtl/>
        </w:rPr>
        <w:t xml:space="preserve"> תחום הכרייה והחציבה </w:t>
      </w:r>
      <w:r w:rsidRPr="007544FE">
        <w:rPr>
          <w:rFonts w:hint="cs"/>
          <w:rtl/>
        </w:rPr>
        <w:t>בארץ.</w:t>
      </w:r>
      <w:r w:rsidRPr="007544FE">
        <w:rPr>
          <w:rtl/>
        </w:rPr>
        <w:t xml:space="preserve"> </w:t>
      </w:r>
    </w:p>
  </w:footnote>
  <w:footnote w:id="37">
    <w:p w:rsidR="006734B0" w:rsidRPr="00BF2E27" w:rsidP="00B92DE5" w14:paraId="658CFCC6" w14:textId="5D828909">
      <w:pPr>
        <w:pStyle w:val="733"/>
        <w:rPr>
          <w:rtl/>
        </w:rPr>
      </w:pPr>
      <w:r w:rsidRPr="00D816B7">
        <w:rPr>
          <w:rStyle w:val="FootnoteReference1"/>
          <w:vertAlign w:val="baseline"/>
        </w:rPr>
        <w:footnoteRef/>
      </w:r>
      <w:r w:rsidR="00D816B7">
        <w:rPr>
          <w:rtl/>
        </w:rPr>
        <w:tab/>
      </w:r>
      <w:r w:rsidR="00332288">
        <w:t>https</w:t>
      </w:r>
      <w:r w:rsidRPr="00D816B7">
        <w:t>://www.gov.il/BlobFolder/news/press_16092024_b/he/PressReleases_files_press_16092024_file.pdf</w:t>
      </w:r>
    </w:p>
  </w:footnote>
  <w:footnote w:id="38">
    <w:p w:rsidR="006734B0" w:rsidRPr="00332288" w:rsidP="00D816B7" w14:paraId="6CCA24F3" w14:textId="1539E6EE">
      <w:pPr>
        <w:pStyle w:val="733"/>
        <w:rPr>
          <w:rtl/>
          <w:lang w:val="ru-RU"/>
        </w:rPr>
      </w:pPr>
      <w:r w:rsidRPr="00D816B7">
        <w:rPr>
          <w:rStyle w:val="FootnoteReference1"/>
          <w:vertAlign w:val="baseline"/>
        </w:rPr>
        <w:footnoteRef/>
      </w:r>
      <w:r w:rsidRPr="00D816B7">
        <w:rPr>
          <w:rtl/>
        </w:rPr>
        <w:t xml:space="preserve"> </w:t>
      </w:r>
      <w:r w:rsidRPr="00D816B7">
        <w:rPr>
          <w:rtl/>
        </w:rPr>
        <w:tab/>
      </w:r>
      <w:r w:rsidRPr="00D816B7">
        <w:rPr>
          <w:rFonts w:hint="cs"/>
          <w:rtl/>
        </w:rPr>
        <w:t xml:space="preserve">טיוטת המלצות הצוות </w:t>
      </w:r>
      <w:r w:rsidRPr="00D816B7">
        <w:rPr>
          <w:rtl/>
        </w:rPr>
        <w:t>הבי</w:t>
      </w:r>
      <w:r w:rsidRPr="00D816B7">
        <w:rPr>
          <w:rFonts w:hint="cs"/>
          <w:rtl/>
        </w:rPr>
        <w:t>ן-</w:t>
      </w:r>
      <w:r w:rsidRPr="00D816B7">
        <w:rPr>
          <w:rtl/>
        </w:rPr>
        <w:t xml:space="preserve">משרדי להיערכות לתום </w:t>
      </w:r>
      <w:r w:rsidRPr="00D816B7">
        <w:rPr>
          <w:rFonts w:hint="cs"/>
          <w:rtl/>
        </w:rPr>
        <w:t xml:space="preserve">תקופת </w:t>
      </w:r>
      <w:r w:rsidRPr="00D816B7">
        <w:rPr>
          <w:rtl/>
        </w:rPr>
        <w:t>הזיכיון</w:t>
      </w:r>
      <w:r w:rsidRPr="00D816B7">
        <w:rPr>
          <w:rFonts w:hint="cs"/>
          <w:rtl/>
        </w:rPr>
        <w:t xml:space="preserve">, עמ' 39. </w:t>
      </w:r>
      <w:r w:rsidRPr="00332288" w:rsidR="00332288">
        <w:rPr>
          <w:rtl/>
        </w:rPr>
        <w:t>יוער כי ההמלצות מציינות כי להבדיל מחומר הוואדי, עתודות חומר החרסית צפויות להספיק לשנים רבות</w:t>
      </w:r>
      <w:r w:rsidR="00332288">
        <w:rPr>
          <w:rFonts w:hint="cs"/>
          <w:rtl/>
          <w:lang w:val="ru-RU"/>
        </w:rPr>
        <w:t>.</w:t>
      </w:r>
    </w:p>
  </w:footnote>
  <w:footnote w:id="39">
    <w:p w:rsidR="006734B0" w:rsidP="002B4A75" w14:paraId="50FFD5B5" w14:textId="695D00EA">
      <w:pPr>
        <w:pStyle w:val="733"/>
        <w:rPr>
          <w:rtl/>
        </w:rPr>
      </w:pPr>
      <w:r w:rsidRPr="00D816B7">
        <w:footnoteRef/>
      </w:r>
      <w:r w:rsidRPr="00D816B7">
        <w:rPr>
          <w:rFonts w:hint="cs"/>
          <w:rtl/>
        </w:rPr>
        <w:t xml:space="preserve"> </w:t>
      </w:r>
      <w:r>
        <w:rPr>
          <w:rFonts w:hint="cs"/>
          <w:rtl/>
        </w:rPr>
        <w:tab/>
        <w:t xml:space="preserve">הקרן לשיקום מחצבות הוקמה ברקע חובתם של בעלי המחצבות לשקם את המחצבה בתום החציבה. בעלי המחצבות מעבירים לקרן תשלומים שגובהם נקבע לפי היקף החציבה של כל מחצבה. גובה התשלומים הוא בהתאם </w:t>
      </w:r>
      <w:r w:rsidRPr="003B413C">
        <w:rPr>
          <w:rFonts w:hint="cs"/>
          <w:rtl/>
        </w:rPr>
        <w:t xml:space="preserve">לסוג החומר הנחצב. נאמן הגבייה מבעלי המחצבות הוא </w:t>
      </w:r>
      <w:r w:rsidR="009A33AB">
        <w:rPr>
          <w:rFonts w:hint="cs"/>
          <w:rtl/>
        </w:rPr>
        <w:t>רמ״י</w:t>
      </w:r>
      <w:r w:rsidRPr="003B413C">
        <w:rPr>
          <w:rFonts w:hint="cs"/>
          <w:rtl/>
        </w:rPr>
        <w:t xml:space="preserve"> (מתוך הדוח הכספי של </w:t>
      </w:r>
      <w:r w:rsidRPr="003B413C">
        <w:rPr>
          <w:rFonts w:hint="eastAsia"/>
          <w:rtl/>
        </w:rPr>
        <w:t>הק</w:t>
      </w:r>
      <w:r w:rsidRPr="003B413C">
        <w:rPr>
          <w:rFonts w:hint="cs"/>
          <w:rtl/>
        </w:rPr>
        <w:t>רן לשיקום מחצבות לשנת 2022</w:t>
      </w:r>
      <w:r>
        <w:rPr>
          <w:rFonts w:hint="cs"/>
          <w:rtl/>
        </w:rPr>
        <w:t xml:space="preserve">). הקרן פועלת לייזום אתרים לשיקום, בדיקת אתרים מוצעים לשיקום, תכנון השיקום וביצועו מכספי הקרן. השיקום מתבצע על פי תוכנית מפורטת שאושרה לפי חוק התכנון והבנייה או חוק הניקוז (אתר המרשתת של הקרן לשיקום מחצבות, נצפה לאחרונה ב-8.5.24). </w:t>
      </w:r>
    </w:p>
  </w:footnote>
  <w:footnote w:id="40">
    <w:p w:rsidR="006734B0" w:rsidP="002B4A75" w14:paraId="01B6701A" w14:textId="77777777">
      <w:pPr>
        <w:pStyle w:val="733"/>
        <w:rPr>
          <w:rtl/>
        </w:rPr>
      </w:pPr>
      <w:r w:rsidRPr="00D816B7">
        <w:footnoteRef/>
      </w:r>
      <w:r w:rsidRPr="00D816B7">
        <w:rPr>
          <w:rFonts w:hint="cs"/>
          <w:rtl/>
        </w:rPr>
        <w:t xml:space="preserve"> </w:t>
      </w:r>
      <w:r>
        <w:rPr>
          <w:rtl/>
        </w:rPr>
        <w:tab/>
      </w:r>
      <w:r>
        <w:rPr>
          <w:rFonts w:hint="cs"/>
          <w:rtl/>
        </w:rPr>
        <w:t xml:space="preserve">סעיף 7.9 בקובץ החלטות מועצת מקרקעי ישראל. </w:t>
      </w:r>
    </w:p>
  </w:footnote>
  <w:footnote w:id="41">
    <w:p w:rsidR="006734B0" w:rsidP="002B4A75" w14:paraId="4EF745C6" w14:textId="77777777">
      <w:pPr>
        <w:pStyle w:val="733"/>
      </w:pPr>
      <w:r w:rsidRPr="00D816B7">
        <w:footnoteRef/>
      </w:r>
      <w:r w:rsidRPr="00D816B7">
        <w:rPr>
          <w:rtl/>
        </w:rPr>
        <w:t xml:space="preserve"> </w:t>
      </w:r>
      <w:r>
        <w:rPr>
          <w:rtl/>
        </w:rPr>
        <w:tab/>
      </w:r>
      <w:r>
        <w:rPr>
          <w:rFonts w:hint="cs"/>
          <w:rtl/>
        </w:rPr>
        <w:t xml:space="preserve">זאת למעט שלוש שנים שבמסגרתן היא שילמה לקרן לאתרי ים המלח, כמפורט להלן. </w:t>
      </w:r>
    </w:p>
  </w:footnote>
  <w:footnote w:id="42">
    <w:p w:rsidR="006734B0" w:rsidP="002B4A75" w14:paraId="7F3C9CD6" w14:textId="77777777">
      <w:pPr>
        <w:pStyle w:val="733"/>
        <w:rPr>
          <w:rtl/>
        </w:rPr>
      </w:pPr>
      <w:r w:rsidRPr="00D816B7">
        <w:footnoteRef/>
      </w:r>
      <w:r w:rsidRPr="00D816B7">
        <w:rPr>
          <w:rFonts w:hint="cs"/>
          <w:rtl/>
        </w:rPr>
        <w:t xml:space="preserve"> </w:t>
      </w:r>
      <w:r>
        <w:rPr>
          <w:rFonts w:hint="cs"/>
          <w:rtl/>
        </w:rPr>
        <w:tab/>
      </w:r>
      <w:r>
        <w:rPr>
          <w:rFonts w:hint="cs"/>
          <w:rtl/>
        </w:rPr>
        <w:t>עח"</w:t>
      </w:r>
      <w:r w:rsidRPr="00B67034">
        <w:rPr>
          <w:rFonts w:hint="cs"/>
          <w:rtl/>
        </w:rPr>
        <w:t>ק</w:t>
      </w:r>
      <w:r w:rsidRPr="00B67034">
        <w:rPr>
          <w:rFonts w:hint="cs"/>
          <w:rtl/>
        </w:rPr>
        <w:t xml:space="preserve"> 14047-06-15 </w:t>
      </w:r>
      <w:r w:rsidRPr="00B67034">
        <w:rPr>
          <w:rFonts w:hint="cs"/>
          <w:b/>
          <w:bCs/>
          <w:rtl/>
        </w:rPr>
        <w:t>אדם טבע ודין - אגודה ישראלית להגנת הסביבה נ' הרשות הממשלתית למים וביוב ואח'</w:t>
      </w:r>
      <w:r w:rsidRPr="00B932DB">
        <w:rPr>
          <w:rFonts w:hint="cs"/>
          <w:b/>
          <w:bCs/>
          <w:rtl/>
        </w:rPr>
        <w:t xml:space="preserve">, </w:t>
      </w:r>
      <w:r w:rsidRPr="00B67034">
        <w:rPr>
          <w:rFonts w:hint="eastAsia"/>
          <w:rtl/>
        </w:rPr>
        <w:t>פורסם</w:t>
      </w:r>
      <w:r w:rsidRPr="00B67034">
        <w:rPr>
          <w:rtl/>
        </w:rPr>
        <w:t xml:space="preserve"> </w:t>
      </w:r>
      <w:r w:rsidRPr="00B67034">
        <w:rPr>
          <w:rFonts w:hint="eastAsia"/>
          <w:rtl/>
        </w:rPr>
        <w:t>במאגר</w:t>
      </w:r>
      <w:r w:rsidRPr="00B67034">
        <w:rPr>
          <w:rtl/>
        </w:rPr>
        <w:t xml:space="preserve"> </w:t>
      </w:r>
      <w:r w:rsidRPr="00B67034">
        <w:rPr>
          <w:rFonts w:hint="eastAsia"/>
          <w:rtl/>
        </w:rPr>
        <w:t>ממוחשב</w:t>
      </w:r>
      <w:r w:rsidRPr="00B67034">
        <w:rPr>
          <w:rtl/>
        </w:rPr>
        <w:t xml:space="preserve"> </w:t>
      </w:r>
      <w:r>
        <w:rPr>
          <w:rFonts w:hint="cs"/>
          <w:rtl/>
        </w:rPr>
        <w:t>ב-</w:t>
      </w:r>
      <w:r w:rsidRPr="00B67034">
        <w:rPr>
          <w:rtl/>
        </w:rPr>
        <w:t>4.9.19</w:t>
      </w:r>
      <w:r w:rsidRPr="00B67034">
        <w:rPr>
          <w:rFonts w:hint="cs"/>
          <w:rtl/>
        </w:rPr>
        <w:t>.</w:t>
      </w:r>
    </w:p>
  </w:footnote>
  <w:footnote w:id="43">
    <w:p w:rsidR="006734B0" w:rsidRPr="00D816B7" w:rsidP="00D816B7" w14:paraId="5359C1C4" w14:textId="77777777">
      <w:pPr>
        <w:pStyle w:val="733"/>
        <w:rPr>
          <w:rtl/>
        </w:rPr>
      </w:pPr>
      <w:r w:rsidRPr="00D816B7">
        <w:rPr>
          <w:rStyle w:val="FootnoteReference1"/>
          <w:vertAlign w:val="baseline"/>
        </w:rPr>
        <w:footnoteRef/>
      </w:r>
      <w:r w:rsidRPr="00D816B7">
        <w:rPr>
          <w:rFonts w:hint="cs"/>
          <w:rtl/>
        </w:rPr>
        <w:t xml:space="preserve"> </w:t>
      </w:r>
      <w:r w:rsidRPr="00D816B7">
        <w:rPr>
          <w:rFonts w:hint="cs"/>
          <w:rtl/>
        </w:rPr>
        <w:tab/>
        <w:t xml:space="preserve">מכון ירושלים למחקרי מדיניות, משאבי טבע סחירים (אוגוסט 2012). </w:t>
      </w:r>
    </w:p>
  </w:footnote>
  <w:footnote w:id="44">
    <w:p w:rsidR="006734B0" w:rsidRPr="00F129DB" w:rsidP="00F129DB" w14:paraId="356B5824" w14:textId="77777777">
      <w:pPr>
        <w:pStyle w:val="733"/>
        <w:rPr>
          <w:rtl/>
        </w:rPr>
      </w:pPr>
      <w:r w:rsidRPr="00F129DB">
        <w:rPr>
          <w:rStyle w:val="FootnoteReference1"/>
          <w:vertAlign w:val="baseline"/>
        </w:rPr>
        <w:footnoteRef/>
      </w:r>
      <w:r w:rsidRPr="00F129DB">
        <w:rPr>
          <w:rtl/>
        </w:rPr>
        <w:t xml:space="preserve"> </w:t>
      </w:r>
      <w:r w:rsidRPr="00F129DB">
        <w:rPr>
          <w:rtl/>
        </w:rPr>
        <w:tab/>
        <w:t>5,368,828</w:t>
      </w:r>
      <w:r w:rsidRPr="00F129DB">
        <w:rPr>
          <w:rFonts w:hint="cs"/>
          <w:rtl/>
        </w:rPr>
        <w:t xml:space="preserve"> ש"ח ו-482,080 ש"ח בהתאמה, לפי המחירונים לחומרי גלם לשנת 2010 של </w:t>
      </w:r>
      <w:r w:rsidRPr="00F129DB">
        <w:rPr>
          <w:rFonts w:hint="cs"/>
          <w:rtl/>
        </w:rPr>
        <w:t>רמ"י</w:t>
      </w:r>
      <w:r w:rsidRPr="00F129DB">
        <w:rPr>
          <w:rFonts w:hint="cs"/>
          <w:rtl/>
        </w:rPr>
        <w:t xml:space="preserve">. החישוב נעשה בהתאם להיקפי הכרייה שדווחו ולתעריף "חצץ ואבן - גיר ודולומיט" להיקפי הכרייה באתרי נחל </w:t>
      </w:r>
      <w:r w:rsidRPr="00F129DB">
        <w:rPr>
          <w:rFonts w:hint="cs"/>
          <w:rtl/>
        </w:rPr>
        <w:t>חימר</w:t>
      </w:r>
      <w:r w:rsidRPr="00F129DB">
        <w:rPr>
          <w:rFonts w:hint="cs"/>
          <w:rtl/>
        </w:rPr>
        <w:t xml:space="preserve"> ונחל צין ולתעריף "חרסיות לתעשייה" להיקפי הכרייה באתר נחל אשלים. </w:t>
      </w:r>
    </w:p>
  </w:footnote>
  <w:footnote w:id="45">
    <w:p w:rsidR="006734B0" w:rsidRPr="00F129DB" w:rsidP="00F129DB" w14:paraId="7221320B" w14:textId="77777777">
      <w:pPr>
        <w:pStyle w:val="733"/>
        <w:rPr>
          <w:rtl/>
        </w:rPr>
      </w:pPr>
      <w:r w:rsidRPr="00F129DB">
        <w:rPr>
          <w:rStyle w:val="FootnoteReference1"/>
          <w:vertAlign w:val="baseline"/>
        </w:rPr>
        <w:footnoteRef/>
      </w:r>
      <w:r w:rsidRPr="00F129DB">
        <w:rPr>
          <w:rtl/>
        </w:rPr>
        <w:t xml:space="preserve"> </w:t>
      </w:r>
      <w:r w:rsidRPr="00F129DB">
        <w:rPr>
          <w:rtl/>
        </w:rPr>
        <w:tab/>
      </w:r>
      <w:r w:rsidRPr="00F129DB">
        <w:rPr>
          <w:rFonts w:hint="cs"/>
          <w:rtl/>
        </w:rPr>
        <w:t xml:space="preserve">תחשיב הצמדה למדד על ידי </w:t>
      </w:r>
      <w:r w:rsidRPr="00F129DB">
        <w:rPr>
          <w:rtl/>
        </w:rPr>
        <w:t xml:space="preserve">מכפלת היקף התמלוגים לשנת 2010 בשיעור שינוי מדד חצץ (201050 במדד </w:t>
      </w:r>
      <w:r w:rsidRPr="00F129DB">
        <w:rPr>
          <w:rtl/>
        </w:rPr>
        <w:t>הלמ"ס</w:t>
      </w:r>
      <w:r w:rsidRPr="00F129DB">
        <w:rPr>
          <w:rtl/>
        </w:rPr>
        <w:t>) בין התקופות (31.12.10 ועד 23.5.24)</w:t>
      </w:r>
      <w:r w:rsidRPr="00F129DB">
        <w:rPr>
          <w:rFonts w:hint="cs"/>
          <w:rtl/>
        </w:rPr>
        <w:t xml:space="preserve">; תחשיב היוון </w:t>
      </w:r>
      <w:r w:rsidRPr="00F129DB">
        <w:rPr>
          <w:rtl/>
        </w:rPr>
        <w:t>על בסיס ריבית צמודה של החשב הכללי במשרד האוצר. ריבית ממוצעת לשנים 2010</w:t>
      </w:r>
      <w:r w:rsidRPr="00F129DB">
        <w:rPr>
          <w:rFonts w:hint="cs"/>
          <w:rtl/>
        </w:rPr>
        <w:t xml:space="preserve"> </w:t>
      </w:r>
      <w:r w:rsidRPr="00F129DB">
        <w:rPr>
          <w:rtl/>
        </w:rPr>
        <w:t>-</w:t>
      </w:r>
      <w:r w:rsidRPr="00F129DB">
        <w:rPr>
          <w:rFonts w:hint="cs"/>
          <w:rtl/>
        </w:rPr>
        <w:t xml:space="preserve"> </w:t>
      </w:r>
      <w:r w:rsidRPr="00F129DB">
        <w:rPr>
          <w:rtl/>
        </w:rPr>
        <w:t>2024</w:t>
      </w:r>
      <w:r w:rsidRPr="00F129DB">
        <w:rPr>
          <w:rFonts w:hint="cs"/>
          <w:rtl/>
        </w:rPr>
        <w:t xml:space="preserve"> העומדת על 1.3%. </w:t>
      </w:r>
    </w:p>
  </w:footnote>
  <w:footnote w:id="46">
    <w:p w:rsidR="006734B0" w:rsidRPr="00F129DB" w:rsidP="00F129DB" w14:paraId="7E89CF72" w14:textId="77777777">
      <w:pPr>
        <w:pStyle w:val="733"/>
        <w:rPr>
          <w:rtl/>
        </w:rPr>
      </w:pPr>
      <w:r w:rsidRPr="00F129DB">
        <w:rPr>
          <w:rStyle w:val="FootnoteReference1"/>
          <w:vertAlign w:val="baseline"/>
        </w:rPr>
        <w:footnoteRef/>
      </w:r>
      <w:r w:rsidRPr="00F129DB">
        <w:rPr>
          <w:rtl/>
        </w:rPr>
        <w:t xml:space="preserve"> </w:t>
      </w:r>
      <w:r w:rsidRPr="00F129DB">
        <w:rPr>
          <w:rtl/>
        </w:rPr>
        <w:tab/>
      </w:r>
      <w:r w:rsidRPr="00F129DB">
        <w:rPr>
          <w:rFonts w:hint="cs"/>
          <w:rtl/>
        </w:rPr>
        <w:t xml:space="preserve">מאוקטובר 2013 עד דצמבר 2023. </w:t>
      </w:r>
    </w:p>
  </w:footnote>
  <w:footnote w:id="47">
    <w:p w:rsidR="006734B0" w:rsidP="00F129DB" w14:paraId="07E84792" w14:textId="77777777">
      <w:pPr>
        <w:pStyle w:val="733"/>
        <w:rPr>
          <w:rtl/>
        </w:rPr>
      </w:pPr>
      <w:r w:rsidRPr="00F129DB">
        <w:rPr>
          <w:rStyle w:val="FootnoteReference1"/>
          <w:vertAlign w:val="baseline"/>
        </w:rPr>
        <w:footnoteRef/>
      </w:r>
      <w:r w:rsidRPr="00F129DB">
        <w:rPr>
          <w:rtl/>
        </w:rPr>
        <w:t xml:space="preserve"> </w:t>
      </w:r>
      <w:r w:rsidRPr="00F129DB">
        <w:rPr>
          <w:rtl/>
        </w:rPr>
        <w:tab/>
      </w:r>
      <w:r w:rsidRPr="00F129DB">
        <w:rPr>
          <w:rFonts w:hint="cs"/>
          <w:rtl/>
        </w:rPr>
        <w:t xml:space="preserve">112,227,606 ש"ח תמלוגי </w:t>
      </w:r>
      <w:r w:rsidRPr="00F129DB">
        <w:rPr>
          <w:rFonts w:hint="cs"/>
          <w:rtl/>
        </w:rPr>
        <w:t>רמ"י</w:t>
      </w:r>
      <w:r w:rsidRPr="00F129DB">
        <w:rPr>
          <w:rFonts w:hint="cs"/>
          <w:rtl/>
        </w:rPr>
        <w:t xml:space="preserve"> ו-8,768,284 ש"ח תמלוגים לקרן לשיקום מחצבות. הסכום חושב לפי מחירון לחומרי גלם של </w:t>
      </w:r>
      <w:r w:rsidRPr="00F129DB">
        <w:rPr>
          <w:rFonts w:hint="cs"/>
          <w:rtl/>
        </w:rPr>
        <w:t>רמ</w:t>
      </w:r>
      <w:r>
        <w:rPr>
          <w:rFonts w:hint="cs"/>
          <w:rtl/>
        </w:rPr>
        <w:t>"י</w:t>
      </w:r>
      <w:r>
        <w:rPr>
          <w:rFonts w:hint="cs"/>
          <w:rtl/>
        </w:rPr>
        <w:t xml:space="preserve">. מאחר שלא אותרו חלק מהמחירונים, החישוב לתקופה שמהרבעון הרביעי 2018 עד הרבעון הרביעי (כולל) של שנת 2020 בוצע לפי המחירון לרבעון השלישי לשנת 2018, והחישוב לרבעונים הראשון עד השלישי לשנת 2021, וכן החל מהרבעון השני של שנת 2022 עד הרבעון הרביעי של שנת 2023, בוצעו לפי המחירון לחומרים גלם מיום 1.1.21. ההיוון בוצע על בסיס </w:t>
      </w:r>
      <w:r w:rsidRPr="00723013">
        <w:rPr>
          <w:rtl/>
        </w:rPr>
        <w:t>ריבית צמודה של החשב הכללי במשרד האוצר. ריבית ממוצעת לשנים 2014</w:t>
      </w:r>
      <w:r>
        <w:rPr>
          <w:rFonts w:hint="cs"/>
          <w:rtl/>
        </w:rPr>
        <w:t xml:space="preserve"> </w:t>
      </w:r>
      <w:r w:rsidRPr="00723013">
        <w:rPr>
          <w:rtl/>
        </w:rPr>
        <w:t>-</w:t>
      </w:r>
      <w:r>
        <w:rPr>
          <w:rFonts w:hint="cs"/>
          <w:rtl/>
        </w:rPr>
        <w:t xml:space="preserve"> </w:t>
      </w:r>
      <w:r w:rsidRPr="00723013">
        <w:rPr>
          <w:rtl/>
        </w:rPr>
        <w:t>2023</w:t>
      </w:r>
      <w:r>
        <w:rPr>
          <w:rFonts w:hint="cs"/>
          <w:rtl/>
        </w:rPr>
        <w:t xml:space="preserve"> העומדת על 1.2%. </w:t>
      </w:r>
    </w:p>
  </w:footnote>
  <w:footnote w:id="48">
    <w:p w:rsidR="006734B0" w:rsidP="002B4A75" w14:paraId="750E68F4" w14:textId="77777777">
      <w:pPr>
        <w:pStyle w:val="733"/>
        <w:rPr>
          <w:rtl/>
        </w:rPr>
      </w:pPr>
      <w:r w:rsidRPr="00F129DB">
        <w:footnoteRef/>
      </w:r>
      <w:r w:rsidRPr="00F129DB">
        <w:rPr>
          <w:rtl/>
        </w:rPr>
        <w:t xml:space="preserve"> </w:t>
      </w:r>
      <w:r w:rsidRPr="00527171">
        <w:rPr>
          <w:rtl/>
        </w:rPr>
        <w:tab/>
      </w:r>
      <w:r w:rsidRPr="00527171">
        <w:rPr>
          <w:rFonts w:hint="eastAsia"/>
          <w:rtl/>
        </w:rPr>
        <w:t>בעניין</w:t>
      </w:r>
      <w:r w:rsidRPr="00527171">
        <w:rPr>
          <w:rtl/>
        </w:rPr>
        <w:t xml:space="preserve"> </w:t>
      </w:r>
      <w:r w:rsidRPr="00527171">
        <w:rPr>
          <w:rFonts w:hint="eastAsia"/>
          <w:rtl/>
        </w:rPr>
        <w:t>זה</w:t>
      </w:r>
      <w:r w:rsidRPr="00527171">
        <w:rPr>
          <w:rtl/>
        </w:rPr>
        <w:t xml:space="preserve"> </w:t>
      </w:r>
      <w:r w:rsidRPr="00527171">
        <w:rPr>
          <w:rFonts w:hint="eastAsia"/>
          <w:rtl/>
        </w:rPr>
        <w:t>ראו</w:t>
      </w:r>
      <w:r w:rsidRPr="00527171">
        <w:rPr>
          <w:rtl/>
        </w:rPr>
        <w:t xml:space="preserve"> </w:t>
      </w:r>
      <w:r w:rsidRPr="00527171">
        <w:rPr>
          <w:rFonts w:hint="eastAsia"/>
          <w:rtl/>
        </w:rPr>
        <w:t>להלן</w:t>
      </w:r>
      <w:r w:rsidRPr="00527171">
        <w:rPr>
          <w:rFonts w:hint="cs"/>
          <w:rtl/>
        </w:rPr>
        <w:t xml:space="preserve"> בפרק </w:t>
      </w:r>
      <w:r>
        <w:rPr>
          <w:rFonts w:hint="cs"/>
          <w:rtl/>
        </w:rPr>
        <w:t xml:space="preserve">על </w:t>
      </w:r>
      <w:r w:rsidRPr="00527171">
        <w:rPr>
          <w:rtl/>
        </w:rPr>
        <w:t xml:space="preserve">האסדרה והפיקוח של </w:t>
      </w:r>
      <w:r w:rsidRPr="00527171">
        <w:rPr>
          <w:rtl/>
        </w:rPr>
        <w:t>רמ"י</w:t>
      </w:r>
      <w:r w:rsidRPr="00527171">
        <w:rPr>
          <w:rtl/>
        </w:rPr>
        <w:t xml:space="preserve"> על השימושים </w:t>
      </w:r>
      <w:r w:rsidRPr="00527171">
        <w:rPr>
          <w:rtl/>
        </w:rPr>
        <w:t>שמי"ה</w:t>
      </w:r>
      <w:r w:rsidRPr="00527171">
        <w:rPr>
          <w:rtl/>
        </w:rPr>
        <w:t xml:space="preserve"> מבצעת בשטח הזיכיון.</w:t>
      </w:r>
    </w:p>
  </w:footnote>
  <w:footnote w:id="49">
    <w:p w:rsidR="006734B0" w:rsidP="002B4A75" w14:paraId="44DD4C54" w14:textId="77777777">
      <w:pPr>
        <w:pStyle w:val="733"/>
      </w:pPr>
      <w:r w:rsidRPr="00F129DB">
        <w:footnoteRef/>
      </w:r>
      <w:r w:rsidRPr="00F129DB">
        <w:rPr>
          <w:rFonts w:hint="cs"/>
          <w:rtl/>
        </w:rPr>
        <w:t xml:space="preserve"> </w:t>
      </w:r>
      <w:r>
        <w:rPr>
          <w:rFonts w:hint="cs"/>
          <w:rtl/>
        </w:rPr>
        <w:tab/>
        <w:t xml:space="preserve">מבקר המדינה, </w:t>
      </w:r>
      <w:r w:rsidRPr="00E90C42">
        <w:rPr>
          <w:rFonts w:hint="eastAsia"/>
          <w:b/>
          <w:bCs/>
          <w:rtl/>
        </w:rPr>
        <w:t>דוח</w:t>
      </w:r>
      <w:r w:rsidRPr="00E90C42">
        <w:rPr>
          <w:b/>
          <w:bCs/>
          <w:rtl/>
        </w:rPr>
        <w:t xml:space="preserve"> </w:t>
      </w:r>
      <w:r w:rsidRPr="00E90C42">
        <w:rPr>
          <w:rFonts w:hint="eastAsia"/>
          <w:b/>
          <w:bCs/>
          <w:rtl/>
        </w:rPr>
        <w:t>שנתי</w:t>
      </w:r>
      <w:r w:rsidRPr="00E90C42">
        <w:rPr>
          <w:b/>
          <w:bCs/>
          <w:rtl/>
        </w:rPr>
        <w:t xml:space="preserve"> 71ג</w:t>
      </w:r>
      <w:r>
        <w:rPr>
          <w:rFonts w:hint="cs"/>
          <w:rtl/>
        </w:rPr>
        <w:t xml:space="preserve"> (2021), </w:t>
      </w:r>
      <w:r w:rsidRPr="0045203D">
        <w:rPr>
          <w:rFonts w:hint="cs"/>
          <w:rtl/>
        </w:rPr>
        <w:t>"</w:t>
      </w:r>
      <w:r w:rsidRPr="00E90C42">
        <w:rPr>
          <w:rFonts w:hint="eastAsia"/>
          <w:rtl/>
        </w:rPr>
        <w:t>היבטים</w:t>
      </w:r>
      <w:r w:rsidRPr="00E90C42">
        <w:rPr>
          <w:rtl/>
        </w:rPr>
        <w:t xml:space="preserve"> </w:t>
      </w:r>
      <w:r w:rsidRPr="00E90C42">
        <w:rPr>
          <w:rFonts w:hint="eastAsia"/>
          <w:rtl/>
        </w:rPr>
        <w:t>סביבתיים</w:t>
      </w:r>
      <w:r w:rsidRPr="00E90C42">
        <w:rPr>
          <w:rtl/>
        </w:rPr>
        <w:t xml:space="preserve"> </w:t>
      </w:r>
      <w:r w:rsidRPr="00E90C42">
        <w:rPr>
          <w:rFonts w:hint="eastAsia"/>
          <w:rtl/>
        </w:rPr>
        <w:t>בשיקום</w:t>
      </w:r>
      <w:r w:rsidRPr="00E90C42">
        <w:rPr>
          <w:rtl/>
        </w:rPr>
        <w:t xml:space="preserve"> </w:t>
      </w:r>
      <w:r w:rsidRPr="00E90C42">
        <w:rPr>
          <w:rFonts w:hint="eastAsia"/>
          <w:rtl/>
        </w:rPr>
        <w:t>מחצבות</w:t>
      </w:r>
      <w:r w:rsidRPr="00E90C42">
        <w:rPr>
          <w:rtl/>
        </w:rPr>
        <w:t>"</w:t>
      </w:r>
      <w:r w:rsidRPr="0045203D">
        <w:rPr>
          <w:rFonts w:hint="cs"/>
          <w:rtl/>
        </w:rPr>
        <w:t>,</w:t>
      </w:r>
      <w:r>
        <w:rPr>
          <w:rFonts w:hint="cs"/>
          <w:rtl/>
        </w:rPr>
        <w:t xml:space="preserve"> עמ' 364 - 365. </w:t>
      </w:r>
    </w:p>
  </w:footnote>
  <w:footnote w:id="50">
    <w:p w:rsidR="006734B0" w:rsidP="00F129DB" w14:paraId="78C61DBC" w14:textId="77777777">
      <w:pPr>
        <w:pStyle w:val="7314"/>
        <w:rPr>
          <w:rtl/>
        </w:rPr>
      </w:pPr>
      <w:r w:rsidRPr="00F129DB">
        <w:footnoteRef/>
      </w:r>
      <w:r w:rsidRPr="00F129DB">
        <w:rPr>
          <w:rtl/>
        </w:rPr>
        <w:t xml:space="preserve"> </w:t>
      </w:r>
      <w:r w:rsidRPr="00F129DB">
        <w:rPr>
          <w:rtl/>
        </w:rPr>
        <w:tab/>
      </w:r>
      <w:r>
        <w:rPr>
          <w:rFonts w:hint="cs"/>
          <w:rtl/>
        </w:rPr>
        <w:t xml:space="preserve">באתרים נחל רחף ושפך מור, נחל אדמון תיכון, נחל אשלים, מעלה יאיר ונחל יעלים. </w:t>
      </w:r>
    </w:p>
  </w:footnote>
  <w:footnote w:id="51">
    <w:p w:rsidR="006734B0" w:rsidP="00F129DB" w14:paraId="4F28661B" w14:textId="11D30F2B">
      <w:pPr>
        <w:pStyle w:val="7314"/>
        <w:rPr>
          <w:rtl/>
        </w:rPr>
      </w:pPr>
      <w:r w:rsidRPr="00F129DB">
        <w:footnoteRef/>
      </w:r>
      <w:r w:rsidRPr="00F129DB">
        <w:rPr>
          <w:rFonts w:hint="cs"/>
          <w:rtl/>
        </w:rPr>
        <w:t xml:space="preserve"> </w:t>
      </w:r>
      <w:r>
        <w:rPr>
          <w:rFonts w:hint="cs"/>
          <w:rtl/>
        </w:rPr>
        <w:tab/>
      </w:r>
      <w:r w:rsidRPr="005817FE" w:rsidR="005817FE">
        <w:rPr>
          <w:rtl/>
        </w:rPr>
        <w:t>כאמור</w:t>
      </w:r>
      <w:r w:rsidR="005817FE">
        <w:rPr>
          <w:rFonts w:hint="cs"/>
          <w:rtl/>
        </w:rPr>
        <w:t xml:space="preserve"> </w:t>
      </w:r>
      <w:r>
        <w:rPr>
          <w:rFonts w:hint="cs"/>
          <w:rtl/>
        </w:rPr>
        <w:t xml:space="preserve">הוראות השעה משנת 1994 קבעו הסדר מיוחד לעניין האסדרה התכנונית של מתקנים ושימושים שהיו קיימים בתחום הזיכיון ערב חקיקת הוראות השעה. </w:t>
      </w:r>
    </w:p>
  </w:footnote>
  <w:footnote w:id="52">
    <w:p w:rsidR="006734B0" w:rsidRPr="00727D4C" w:rsidP="002B4A75" w14:paraId="5BE20029" w14:textId="77777777">
      <w:pPr>
        <w:pStyle w:val="733"/>
      </w:pPr>
      <w:r w:rsidRPr="00727D4C">
        <w:footnoteRef/>
      </w:r>
      <w:r w:rsidRPr="00727D4C">
        <w:rPr>
          <w:rtl/>
        </w:rPr>
        <w:t xml:space="preserve"> </w:t>
      </w:r>
      <w:r w:rsidRPr="00727D4C">
        <w:rPr>
          <w:rtl/>
        </w:rPr>
        <w:tab/>
        <w:t xml:space="preserve">בג"ץ 244/00 </w:t>
      </w:r>
      <w:r w:rsidRPr="00727D4C">
        <w:rPr>
          <w:b/>
          <w:bCs/>
          <w:rtl/>
        </w:rPr>
        <w:t>עמותת שיח חדש, למען השיח הדמוקרטי נ' שר התשתיות הלאומיות</w:t>
      </w:r>
      <w:r w:rsidRPr="00727D4C">
        <w:rPr>
          <w:rtl/>
        </w:rPr>
        <w:t xml:space="preserve">, פ"ד נו(6) 25, פסקה 36 </w:t>
      </w:r>
      <w:r w:rsidRPr="00727D4C">
        <w:t>(2002)</w:t>
      </w:r>
      <w:r w:rsidRPr="00727D4C">
        <w:rPr>
          <w:rtl/>
        </w:rPr>
        <w:t>.</w:t>
      </w:r>
    </w:p>
  </w:footnote>
  <w:footnote w:id="53">
    <w:p w:rsidR="006734B0" w:rsidRPr="00545FFF" w:rsidP="00545FFF" w14:paraId="082D0362" w14:textId="77777777">
      <w:pPr>
        <w:pStyle w:val="7314"/>
      </w:pPr>
      <w:r w:rsidRPr="00545FFF">
        <w:rPr>
          <w:rStyle w:val="FootnoteReference1"/>
          <w:vertAlign w:val="baseline"/>
        </w:rPr>
        <w:footnoteRef/>
      </w:r>
      <w:r w:rsidRPr="00545FFF">
        <w:rPr>
          <w:rFonts w:hint="cs"/>
          <w:rtl/>
        </w:rPr>
        <w:t xml:space="preserve"> </w:t>
      </w:r>
      <w:r w:rsidRPr="00545FFF">
        <w:rPr>
          <w:rFonts w:hint="cs"/>
          <w:rtl/>
        </w:rPr>
        <w:tab/>
        <w:t xml:space="preserve">בין השאר, דמי חכירה, דמי שימוש ודמי הרשאה, לפי העניין. </w:t>
      </w:r>
    </w:p>
  </w:footnote>
  <w:footnote w:id="54">
    <w:p w:rsidR="006734B0" w:rsidRPr="00545FFF" w:rsidP="00545FFF" w14:paraId="41E77BF3" w14:textId="77777777">
      <w:pPr>
        <w:pStyle w:val="7314"/>
      </w:pPr>
      <w:r w:rsidRPr="00545FFF">
        <w:rPr>
          <w:rStyle w:val="FootnoteReference1"/>
          <w:vertAlign w:val="baseline"/>
        </w:rPr>
        <w:footnoteRef/>
      </w:r>
      <w:r w:rsidRPr="00545FFF">
        <w:rPr>
          <w:rFonts w:hint="cs"/>
          <w:rtl/>
        </w:rPr>
        <w:t xml:space="preserve"> </w:t>
      </w:r>
      <w:r w:rsidRPr="00545FFF">
        <w:rPr>
          <w:rFonts w:hint="cs"/>
          <w:rtl/>
        </w:rPr>
        <w:tab/>
        <w:t xml:space="preserve">מתוך אתר המרשתת של </w:t>
      </w:r>
      <w:r w:rsidRPr="00545FFF">
        <w:rPr>
          <w:rFonts w:hint="cs"/>
          <w:rtl/>
        </w:rPr>
        <w:t>רמ"י</w:t>
      </w:r>
      <w:r w:rsidRPr="00545FFF">
        <w:rPr>
          <w:rFonts w:hint="cs"/>
          <w:rtl/>
        </w:rPr>
        <w:t xml:space="preserve">. </w:t>
      </w:r>
    </w:p>
  </w:footnote>
  <w:footnote w:id="55">
    <w:p w:rsidR="006734B0" w:rsidRPr="00545FFF" w:rsidP="00545FFF" w14:paraId="378081D8" w14:textId="77777777">
      <w:pPr>
        <w:pStyle w:val="711"/>
      </w:pPr>
      <w:r w:rsidRPr="00545FFF">
        <w:rPr>
          <w:rStyle w:val="FootnoteReference1"/>
          <w:vertAlign w:val="baseline"/>
        </w:rPr>
        <w:footnoteRef/>
      </w:r>
      <w:r w:rsidRPr="00545FFF">
        <w:rPr>
          <w:rtl/>
        </w:rPr>
        <w:t xml:space="preserve"> </w:t>
      </w:r>
      <w:r w:rsidRPr="00545FFF">
        <w:rPr>
          <w:rtl/>
        </w:rPr>
        <w:tab/>
      </w:r>
      <w:r w:rsidRPr="00545FFF">
        <w:rPr>
          <w:rFonts w:hint="cs"/>
          <w:rtl/>
        </w:rPr>
        <w:t>סעיף 6(ד) לחוק.</w:t>
      </w:r>
    </w:p>
  </w:footnote>
  <w:footnote w:id="56">
    <w:p w:rsidR="006734B0" w:rsidRPr="00331AB4" w:rsidP="00331AB4" w14:paraId="5802130F" w14:textId="77777777">
      <w:pPr>
        <w:pStyle w:val="733"/>
        <w:rPr>
          <w:rtl/>
        </w:rPr>
      </w:pPr>
      <w:r w:rsidRPr="00331AB4">
        <w:rPr>
          <w:rStyle w:val="FootnoteReference1"/>
          <w:vertAlign w:val="baseline"/>
        </w:rPr>
        <w:footnoteRef/>
      </w:r>
      <w:r w:rsidRPr="00331AB4">
        <w:rPr>
          <w:rFonts w:hint="cs"/>
          <w:rtl/>
        </w:rPr>
        <w:t xml:space="preserve"> </w:t>
      </w:r>
      <w:r w:rsidRPr="00331AB4">
        <w:rPr>
          <w:rFonts w:hint="cs"/>
          <w:rtl/>
        </w:rPr>
        <w:tab/>
        <w:t xml:space="preserve">סעיף 9 לחוק. </w:t>
      </w:r>
    </w:p>
  </w:footnote>
  <w:footnote w:id="57">
    <w:p w:rsidR="006734B0" w:rsidRPr="00331AB4" w:rsidP="00331AB4" w14:paraId="62A20D40" w14:textId="77777777">
      <w:pPr>
        <w:pStyle w:val="733"/>
        <w:rPr>
          <w:rtl/>
        </w:rPr>
      </w:pPr>
      <w:r w:rsidRPr="00331AB4">
        <w:rPr>
          <w:rStyle w:val="FootnoteReference1"/>
          <w:vertAlign w:val="baseline"/>
        </w:rPr>
        <w:footnoteRef/>
      </w:r>
      <w:r w:rsidRPr="00331AB4">
        <w:rPr>
          <w:rFonts w:hint="cs"/>
          <w:rtl/>
        </w:rPr>
        <w:t xml:space="preserve"> </w:t>
      </w:r>
      <w:r w:rsidRPr="00331AB4">
        <w:rPr>
          <w:rFonts w:hint="cs"/>
          <w:rtl/>
        </w:rPr>
        <w:tab/>
        <w:t xml:space="preserve">סעיף 6(ג) לחוק. </w:t>
      </w:r>
    </w:p>
  </w:footnote>
  <w:footnote w:id="58">
    <w:p w:rsidR="006734B0" w:rsidP="00331AB4" w14:paraId="7DE3322E" w14:textId="77777777">
      <w:pPr>
        <w:pStyle w:val="733"/>
      </w:pPr>
      <w:r w:rsidRPr="00331AB4">
        <w:rPr>
          <w:rStyle w:val="FootnoteReference1"/>
          <w:vertAlign w:val="baseline"/>
        </w:rPr>
        <w:footnoteRef/>
      </w:r>
      <w:r w:rsidRPr="00331AB4">
        <w:rPr>
          <w:rtl/>
        </w:rPr>
        <w:t xml:space="preserve"> </w:t>
      </w:r>
      <w:r w:rsidRPr="00331AB4">
        <w:rPr>
          <w:rtl/>
        </w:rPr>
        <w:tab/>
      </w:r>
      <w:r w:rsidRPr="00331AB4">
        <w:rPr>
          <w:rFonts w:hint="cs"/>
          <w:rtl/>
        </w:rPr>
        <w:t>לפי החוק על השווי להיקבע מבלי להתחשב בעלייה בשווי הקרקע עקב פעולותיו או צרכיו של בעל הזיכיון, בדומה להסדר</w:t>
      </w:r>
      <w:r>
        <w:rPr>
          <w:rFonts w:hint="cs"/>
          <w:rtl/>
        </w:rPr>
        <w:t xml:space="preserve"> הקבוע בחוק לגבי חישוב השווי ההוגן של הקרקעות החכורות. </w:t>
      </w:r>
    </w:p>
  </w:footnote>
  <w:footnote w:id="59">
    <w:p w:rsidR="006734B0" w:rsidP="002B4A75" w14:paraId="43214046" w14:textId="77777777">
      <w:pPr>
        <w:pStyle w:val="733"/>
        <w:rPr>
          <w:rtl/>
        </w:rPr>
      </w:pPr>
      <w:r w:rsidRPr="00331AB4">
        <w:footnoteRef/>
      </w:r>
      <w:r w:rsidRPr="00331AB4">
        <w:rPr>
          <w:rtl/>
        </w:rPr>
        <w:t xml:space="preserve"> </w:t>
      </w:r>
      <w:r>
        <w:rPr>
          <w:rtl/>
        </w:rPr>
        <w:tab/>
      </w:r>
      <w:r w:rsidRPr="00E71972">
        <w:rPr>
          <w:rFonts w:hint="cs"/>
          <w:rtl/>
        </w:rPr>
        <w:t xml:space="preserve">לתקופה שבין שנת 2014 לשנת 2023. </w:t>
      </w:r>
      <w:r w:rsidRPr="00E71972">
        <w:rPr>
          <w:rtl/>
        </w:rPr>
        <w:t xml:space="preserve">בהתבסס על מחירון </w:t>
      </w:r>
      <w:r w:rsidRPr="00E71972">
        <w:rPr>
          <w:rtl/>
        </w:rPr>
        <w:t>רמ"י</w:t>
      </w:r>
      <w:r w:rsidRPr="00E71972">
        <w:rPr>
          <w:rFonts w:hint="cs"/>
          <w:rtl/>
        </w:rPr>
        <w:t xml:space="preserve"> בתעריף מפעל. תשלום זה הוכפל </w:t>
      </w:r>
      <w:r w:rsidRPr="00E71972">
        <w:rPr>
          <w:rtl/>
        </w:rPr>
        <w:t>במדד המחירים לצרכן (כללי) בין התקופות (כל אחת מהשנים ביחס לשנת 2023).</w:t>
      </w:r>
      <w:r w:rsidRPr="00E71972">
        <w:rPr>
          <w:rFonts w:hint="cs"/>
          <w:rtl/>
        </w:rPr>
        <w:t xml:space="preserve"> </w:t>
      </w:r>
      <w:r w:rsidRPr="00E71972">
        <w:rPr>
          <w:rtl/>
        </w:rPr>
        <w:t>שער היוון: על בסיס ריבית צמודה של החשב הכללי במשרד האוצר. ריבית ממוצעת לשנים 2014</w:t>
      </w:r>
      <w:r>
        <w:rPr>
          <w:rFonts w:hint="cs"/>
          <w:rtl/>
        </w:rPr>
        <w:t xml:space="preserve"> </w:t>
      </w:r>
      <w:r w:rsidRPr="00E71972">
        <w:rPr>
          <w:rtl/>
        </w:rPr>
        <w:t>-</w:t>
      </w:r>
      <w:r>
        <w:rPr>
          <w:rFonts w:hint="cs"/>
          <w:rtl/>
        </w:rPr>
        <w:t xml:space="preserve"> </w:t>
      </w:r>
      <w:r w:rsidRPr="00E71972">
        <w:rPr>
          <w:rtl/>
        </w:rPr>
        <w:t>2023.</w:t>
      </w:r>
    </w:p>
  </w:footnote>
  <w:footnote w:id="60">
    <w:p w:rsidR="006734B0" w:rsidRPr="00331AB4" w:rsidP="00331AB4" w14:paraId="6DAB9BB0" w14:textId="77777777">
      <w:pPr>
        <w:pStyle w:val="733"/>
        <w:rPr>
          <w:rtl/>
        </w:rPr>
      </w:pPr>
      <w:r w:rsidRPr="00331AB4">
        <w:rPr>
          <w:rStyle w:val="FootnoteReference1"/>
          <w:vertAlign w:val="baseline"/>
        </w:rPr>
        <w:footnoteRef/>
      </w:r>
      <w:r w:rsidRPr="00331AB4">
        <w:rPr>
          <w:rFonts w:hint="cs"/>
          <w:rtl/>
        </w:rPr>
        <w:t xml:space="preserve"> </w:t>
      </w:r>
      <w:r w:rsidRPr="00331AB4">
        <w:rPr>
          <w:rFonts w:hint="cs"/>
          <w:rtl/>
        </w:rPr>
        <w:tab/>
        <w:t xml:space="preserve">ייצור משולב של חשמל וחום. </w:t>
      </w:r>
    </w:p>
  </w:footnote>
  <w:footnote w:id="61">
    <w:p w:rsidR="006734B0" w:rsidRPr="00331AB4" w:rsidP="00331AB4" w14:paraId="6B809C1B" w14:textId="77777777">
      <w:pPr>
        <w:pStyle w:val="733"/>
        <w:rPr>
          <w:rtl/>
        </w:rPr>
      </w:pPr>
      <w:r w:rsidRPr="00331AB4">
        <w:rPr>
          <w:rStyle w:val="FootnoteReference1"/>
          <w:vertAlign w:val="baseline"/>
        </w:rPr>
        <w:footnoteRef/>
      </w:r>
      <w:r w:rsidRPr="00331AB4">
        <w:rPr>
          <w:rStyle w:val="FootnoteReference1"/>
          <w:rFonts w:hint="cs"/>
          <w:vertAlign w:val="baseline"/>
          <w:rtl/>
        </w:rPr>
        <w:t xml:space="preserve"> </w:t>
      </w:r>
      <w:r w:rsidRPr="00331AB4">
        <w:rPr>
          <w:rFonts w:hint="cs"/>
          <w:rtl/>
        </w:rPr>
        <w:tab/>
        <w:t xml:space="preserve">בעניין תחנה זו ראו לעיל בפרק העוסק </w:t>
      </w:r>
      <w:r w:rsidRPr="00331AB4">
        <w:rPr>
          <w:rFonts w:hint="cs"/>
          <w:rtl/>
        </w:rPr>
        <w:t>ב</w:t>
      </w:r>
      <w:r w:rsidRPr="00331AB4">
        <w:rPr>
          <w:rtl/>
        </w:rPr>
        <w:t>אסדרת</w:t>
      </w:r>
      <w:r w:rsidRPr="00331AB4">
        <w:rPr>
          <w:rFonts w:hint="cs"/>
          <w:rtl/>
        </w:rPr>
        <w:t xml:space="preserve"> פעילות מתקני </w:t>
      </w:r>
      <w:r w:rsidRPr="00331AB4">
        <w:rPr>
          <w:rFonts w:hint="cs"/>
          <w:rtl/>
        </w:rPr>
        <w:t>מי"ה</w:t>
      </w:r>
      <w:r w:rsidRPr="00331AB4">
        <w:rPr>
          <w:rFonts w:hint="cs"/>
          <w:rtl/>
        </w:rPr>
        <w:t xml:space="preserve"> באמצעות תנאים ברישיון העסק.</w:t>
      </w:r>
    </w:p>
  </w:footnote>
  <w:footnote w:id="62">
    <w:p w:rsidR="006734B0" w:rsidRPr="00331AB4" w:rsidP="00331AB4" w14:paraId="3FF1AAAD" w14:textId="77777777">
      <w:pPr>
        <w:pStyle w:val="733"/>
      </w:pPr>
      <w:r w:rsidRPr="00331AB4">
        <w:rPr>
          <w:rStyle w:val="FootnoteReference1"/>
          <w:vertAlign w:val="baseline"/>
        </w:rPr>
        <w:footnoteRef/>
      </w:r>
      <w:r w:rsidRPr="00331AB4">
        <w:rPr>
          <w:rFonts w:hint="cs"/>
          <w:rtl/>
        </w:rPr>
        <w:t xml:space="preserve"> </w:t>
      </w:r>
      <w:r w:rsidRPr="00331AB4">
        <w:rPr>
          <w:rFonts w:hint="cs"/>
          <w:rtl/>
        </w:rPr>
        <w:tab/>
        <w:t xml:space="preserve">השומה נתנה שתי חלופות לדרך שומת הקרקע, אחת הכוללת גם את השווי של האפשרות לייצור קיטור והשנייה ללא השווי. </w:t>
      </w:r>
    </w:p>
  </w:footnote>
  <w:footnote w:id="63">
    <w:p w:rsidR="006734B0" w:rsidP="002B4A75" w14:paraId="352D73DC" w14:textId="18FDCA72">
      <w:pPr>
        <w:pStyle w:val="733"/>
      </w:pPr>
      <w:r w:rsidRPr="00331AB4">
        <w:footnoteRef/>
      </w:r>
      <w:r w:rsidRPr="00331AB4">
        <w:rPr>
          <w:rFonts w:hint="cs"/>
          <w:rtl/>
        </w:rPr>
        <w:t xml:space="preserve"> </w:t>
      </w:r>
      <w:r>
        <w:rPr>
          <w:rFonts w:hint="cs"/>
          <w:rtl/>
        </w:rPr>
        <w:tab/>
      </w:r>
      <w:r w:rsidRPr="00F56159">
        <w:rPr>
          <w:rFonts w:hint="cs"/>
          <w:rtl/>
        </w:rPr>
        <w:t xml:space="preserve">ע"א 8325/12 </w:t>
      </w:r>
      <w:r w:rsidRPr="00F56159">
        <w:rPr>
          <w:rFonts w:hint="cs"/>
          <w:b/>
          <w:bCs/>
          <w:rtl/>
        </w:rPr>
        <w:t xml:space="preserve">מדינת ישראל </w:t>
      </w:r>
      <w:r w:rsidRPr="00F56159">
        <w:rPr>
          <w:rFonts w:hint="cs"/>
          <w:b/>
          <w:bCs/>
          <w:rtl/>
        </w:rPr>
        <w:t>מינהל</w:t>
      </w:r>
      <w:r w:rsidRPr="00F56159">
        <w:rPr>
          <w:rFonts w:hint="cs"/>
          <w:b/>
          <w:bCs/>
          <w:rtl/>
        </w:rPr>
        <w:t xml:space="preserve"> מקרקעי ישראל נ' מהדרין בע"מ </w:t>
      </w:r>
      <w:r w:rsidRPr="00F56159">
        <w:rPr>
          <w:rFonts w:hint="cs"/>
          <w:rtl/>
        </w:rPr>
        <w:t xml:space="preserve">(פורסם במאגר </w:t>
      </w:r>
      <w:r w:rsidRPr="000D40E0">
        <w:rPr>
          <w:rFonts w:hint="cs"/>
          <w:rtl/>
        </w:rPr>
        <w:t xml:space="preserve">ממחשב, </w:t>
      </w:r>
      <w:r w:rsidRPr="000D40E0">
        <w:rPr>
          <w:rtl/>
        </w:rPr>
        <w:t xml:space="preserve">5.6.14), </w:t>
      </w:r>
      <w:r w:rsidRPr="000D40E0">
        <w:rPr>
          <w:rFonts w:hint="eastAsia"/>
          <w:rtl/>
        </w:rPr>
        <w:t>פסקה</w:t>
      </w:r>
      <w:r w:rsidRPr="000D40E0">
        <w:rPr>
          <w:rtl/>
        </w:rPr>
        <w:t xml:space="preserve"> </w:t>
      </w:r>
      <w:r w:rsidRPr="000D40E0">
        <w:rPr>
          <w:rFonts w:hint="eastAsia"/>
          <w:rtl/>
        </w:rPr>
        <w:t>מ</w:t>
      </w:r>
      <w:r w:rsidRPr="000D40E0">
        <w:rPr>
          <w:rtl/>
        </w:rPr>
        <w:t xml:space="preserve">"ז </w:t>
      </w:r>
      <w:r w:rsidRPr="000D40E0">
        <w:rPr>
          <w:rFonts w:hint="eastAsia"/>
          <w:rtl/>
        </w:rPr>
        <w:t>לפסק</w:t>
      </w:r>
      <w:r w:rsidRPr="000D40E0">
        <w:rPr>
          <w:rtl/>
        </w:rPr>
        <w:t xml:space="preserve"> </w:t>
      </w:r>
      <w:r w:rsidRPr="000D40E0">
        <w:rPr>
          <w:rFonts w:hint="eastAsia"/>
          <w:rtl/>
        </w:rPr>
        <w:t>דינו</w:t>
      </w:r>
      <w:r w:rsidRPr="000D40E0">
        <w:rPr>
          <w:rtl/>
        </w:rPr>
        <w:t xml:space="preserve"> </w:t>
      </w:r>
      <w:r w:rsidRPr="000D40E0">
        <w:rPr>
          <w:rFonts w:hint="eastAsia"/>
          <w:rtl/>
        </w:rPr>
        <w:t>של</w:t>
      </w:r>
      <w:r w:rsidRPr="000D40E0">
        <w:rPr>
          <w:rtl/>
        </w:rPr>
        <w:t xml:space="preserve"> </w:t>
      </w:r>
      <w:r w:rsidRPr="000D40E0">
        <w:rPr>
          <w:rFonts w:hint="eastAsia"/>
          <w:rtl/>
        </w:rPr>
        <w:t>השופט</w:t>
      </w:r>
      <w:r w:rsidRPr="000D40E0">
        <w:rPr>
          <w:rtl/>
        </w:rPr>
        <w:t xml:space="preserve"> </w:t>
      </w:r>
      <w:r w:rsidRPr="000D40E0">
        <w:rPr>
          <w:rFonts w:hint="eastAsia"/>
          <w:rtl/>
        </w:rPr>
        <w:t>רובינשטיין‏‏</w:t>
      </w:r>
      <w:r w:rsidRPr="000D40E0">
        <w:rPr>
          <w:rtl/>
        </w:rPr>
        <w:t>.</w:t>
      </w:r>
    </w:p>
  </w:footnote>
  <w:footnote w:id="64">
    <w:p w:rsidR="00863E87" w:rsidRPr="00863E87" w:rsidP="000300E0" w14:paraId="6ED0101F" w14:textId="5B4338BC">
      <w:pPr>
        <w:pStyle w:val="FootnoteText"/>
        <w:ind w:left="424" w:hanging="425"/>
        <w:rPr>
          <w:lang w:val="en-GB"/>
        </w:rPr>
      </w:pPr>
      <w:r w:rsidRPr="00863E87">
        <w:rPr>
          <w:rFonts w:ascii="Tahoma" w:hAnsi="Tahoma" w:cs="Tahoma"/>
          <w:color w:val="0D0D0D" w:themeColor="text1" w:themeTint="F2"/>
          <w:sz w:val="14"/>
          <w:szCs w:val="14"/>
        </w:rPr>
        <w:footnoteRef/>
      </w:r>
      <w:r w:rsidR="000300E0">
        <w:rPr>
          <w:rFonts w:ascii="Tahoma" w:hAnsi="Tahoma" w:cs="Tahoma" w:hint="cs"/>
          <w:color w:val="0D0D0D" w:themeColor="text1" w:themeTint="F2"/>
          <w:sz w:val="14"/>
          <w:szCs w:val="14"/>
          <w:rtl/>
        </w:rPr>
        <w:t xml:space="preserve">      </w:t>
      </w:r>
      <w:r w:rsidRPr="000300E0" w:rsidR="000300E0">
        <w:rPr>
          <w:rFonts w:ascii="Tahoma" w:hAnsi="Tahoma" w:cs="Tahoma"/>
          <w:color w:val="0D0D0D" w:themeColor="text1" w:themeTint="F2"/>
          <w:sz w:val="14"/>
          <w:szCs w:val="14"/>
          <w:rtl/>
        </w:rPr>
        <w:t xml:space="preserve">יוער כי גם דוח נווה </w:t>
      </w:r>
      <w:r w:rsidRPr="000300E0" w:rsidR="000300E0">
        <w:rPr>
          <w:rFonts w:ascii="Tahoma" w:hAnsi="Tahoma" w:cs="Tahoma"/>
          <w:color w:val="0D0D0D" w:themeColor="text1" w:themeTint="F2"/>
          <w:sz w:val="14"/>
          <w:szCs w:val="14"/>
          <w:rtl/>
        </w:rPr>
        <w:t>כלל</w:t>
      </w:r>
      <w:r w:rsidRPr="00863E87">
        <w:rPr>
          <w:rFonts w:ascii="Tahoma" w:hAnsi="Tahoma" w:cs="Tahoma"/>
          <w:color w:val="0D0D0D" w:themeColor="text1" w:themeTint="F2"/>
          <w:sz w:val="14"/>
          <w:szCs w:val="14"/>
          <w:rtl/>
        </w:rPr>
        <w:t>המלצה</w:t>
      </w:r>
      <w:r w:rsidRPr="00863E87">
        <w:rPr>
          <w:rFonts w:ascii="Tahoma" w:hAnsi="Tahoma" w:cs="Tahoma"/>
          <w:color w:val="0D0D0D" w:themeColor="text1" w:themeTint="F2"/>
          <w:sz w:val="14"/>
          <w:szCs w:val="14"/>
          <w:rtl/>
        </w:rPr>
        <w:t xml:space="preserve"> לצמצם במידה ניכרת את שטח הזיכיון באופן שייכללו בו רק שטחים שנדרשים לשם פעילות המפעלים, תוך קביעת מגבלות על שימושי הקרקע</w:t>
      </w:r>
      <w:r w:rsidRPr="00863E87">
        <w:rPr>
          <w:rtl/>
        </w:rPr>
        <w:t>. </w:t>
      </w:r>
    </w:p>
  </w:footnote>
  <w:footnote w:id="65">
    <w:p w:rsidR="006734B0" w:rsidRPr="005C1160" w:rsidP="002B4A75" w14:paraId="2BC27D90" w14:textId="77777777">
      <w:pPr>
        <w:pStyle w:val="733"/>
        <w:rPr>
          <w:rtl/>
        </w:rPr>
      </w:pPr>
      <w:r w:rsidRPr="00331AB4">
        <w:rPr>
          <w:rStyle w:val="71Char"/>
        </w:rPr>
        <w:footnoteRef/>
      </w:r>
      <w:r w:rsidRPr="00331AB4">
        <w:rPr>
          <w:rStyle w:val="71Char"/>
          <w:rFonts w:hint="cs"/>
          <w:rtl/>
        </w:rPr>
        <w:t xml:space="preserve"> </w:t>
      </w:r>
      <w:r>
        <w:rPr>
          <w:rFonts w:hint="cs"/>
          <w:rtl/>
        </w:rPr>
        <w:tab/>
        <w:t xml:space="preserve">זאת לאחר שיוספו לדמי החכירה ששולמו עד למועד כאמור הפרשי הצמדה. יצוין כי לימים התגלעה מחלוקת בנוגע לאופן חישוב דמי החכירה בגין הקרקעות החכורות. עמדת </w:t>
      </w:r>
      <w:r>
        <w:rPr>
          <w:rFonts w:hint="cs"/>
          <w:rtl/>
        </w:rPr>
        <w:t>רמ"י</w:t>
      </w:r>
      <w:r>
        <w:rPr>
          <w:rFonts w:hint="cs"/>
          <w:rtl/>
        </w:rPr>
        <w:t xml:space="preserve"> לאורך השנים הייתה כי דמי החכירה צריכים להיות מוגדלים בשיעור של 35% ביחס לדמי החכירה ששולמו בתקופת שבע השנים הקודמות לה, לעומתה </w:t>
      </w:r>
      <w:r>
        <w:rPr>
          <w:rFonts w:hint="cs"/>
          <w:rtl/>
        </w:rPr>
        <w:t>מי"ה</w:t>
      </w:r>
      <w:r>
        <w:rPr>
          <w:rFonts w:hint="cs"/>
          <w:rtl/>
        </w:rPr>
        <w:t xml:space="preserve"> סברה כי דמי החכירה צריכים להיות מוגדלים באופן חד-פעמי לכל אורך תקופת ההתקשרות, בשיעור של 35% ביחס לדמי החכירה ששולמו בעבור השנים 1974 - 1981, וכי בתום כל תקופה של שבע שנים יתעדכנו רק הפרשי ההצמדה. לאורך השנים שילמה </w:t>
      </w:r>
      <w:r>
        <w:rPr>
          <w:rFonts w:hint="cs"/>
          <w:rtl/>
        </w:rPr>
        <w:t>מי"ה</w:t>
      </w:r>
      <w:r>
        <w:rPr>
          <w:rFonts w:hint="cs"/>
          <w:rtl/>
        </w:rPr>
        <w:t xml:space="preserve"> </w:t>
      </w:r>
      <w:r>
        <w:rPr>
          <w:rFonts w:hint="cs"/>
          <w:rtl/>
        </w:rPr>
        <w:t>לרמ"י</w:t>
      </w:r>
      <w:r>
        <w:rPr>
          <w:rFonts w:hint="cs"/>
          <w:rtl/>
        </w:rPr>
        <w:t xml:space="preserve"> דמי חכירה על פי פרשנות </w:t>
      </w:r>
      <w:r>
        <w:rPr>
          <w:rFonts w:hint="cs"/>
          <w:rtl/>
        </w:rPr>
        <w:t>מי"ה</w:t>
      </w:r>
      <w:r>
        <w:rPr>
          <w:rFonts w:hint="cs"/>
          <w:rtl/>
        </w:rPr>
        <w:t xml:space="preserve">, תוך הבהרה כי היא מודעת לכך שעל פי הפירוש של </w:t>
      </w:r>
      <w:r>
        <w:rPr>
          <w:rFonts w:hint="cs"/>
          <w:rtl/>
        </w:rPr>
        <w:t>רמ"י</w:t>
      </w:r>
      <w:r>
        <w:rPr>
          <w:rFonts w:hint="cs"/>
          <w:rtl/>
        </w:rPr>
        <w:t xml:space="preserve"> דמי החכירה שעליה לשלם גבוהים יותר, וכי ככל שתהיה יתרה לתשלום לאחר יישוב המחלוקת הרי שהיא תשולם על ידם. במסגרת משא ומתן בין הצדדים סוכם </w:t>
      </w:r>
      <w:r w:rsidRPr="00F56159">
        <w:rPr>
          <w:rFonts w:hint="cs"/>
          <w:rtl/>
        </w:rPr>
        <w:t>בשנת 2014</w:t>
      </w:r>
      <w:r>
        <w:rPr>
          <w:rFonts w:hint="cs"/>
          <w:rtl/>
        </w:rPr>
        <w:t xml:space="preserve"> כי זיכרון הדברים יפורש בדרך שלישית, ולפיה בתום כל תקופה של שבע שנים, דמי החכירה יוגדלו בשיעור של 35% </w:t>
      </w:r>
      <w:r>
        <w:rPr>
          <w:rFonts w:hint="cs"/>
          <w:b/>
          <w:bCs/>
          <w:rtl/>
        </w:rPr>
        <w:t>ביחס לדמי החכירה ששולמו בעבור השנים 1974 - 1981</w:t>
      </w:r>
      <w:r>
        <w:rPr>
          <w:rFonts w:hint="cs"/>
          <w:rtl/>
        </w:rPr>
        <w:t xml:space="preserve"> </w:t>
      </w:r>
      <w:r w:rsidRPr="005C1160">
        <w:rPr>
          <w:rFonts w:hint="cs"/>
          <w:rtl/>
        </w:rPr>
        <w:t xml:space="preserve">בתוספת שערוך על פי דין. בעקבות סיכום דברים זה שילמה </w:t>
      </w:r>
      <w:r w:rsidRPr="005C1160">
        <w:rPr>
          <w:rFonts w:hint="cs"/>
          <w:rtl/>
        </w:rPr>
        <w:t>מי"ה</w:t>
      </w:r>
      <w:r w:rsidRPr="005C1160">
        <w:rPr>
          <w:rFonts w:hint="cs"/>
          <w:rtl/>
        </w:rPr>
        <w:t xml:space="preserve"> </w:t>
      </w:r>
      <w:r w:rsidRPr="005C1160">
        <w:rPr>
          <w:rFonts w:hint="cs"/>
          <w:rtl/>
        </w:rPr>
        <w:t>לרמ"י</w:t>
      </w:r>
      <w:r w:rsidRPr="005C1160">
        <w:rPr>
          <w:rFonts w:hint="cs"/>
          <w:rtl/>
        </w:rPr>
        <w:t xml:space="preserve"> סכום של כ</w:t>
      </w:r>
      <w:r w:rsidRPr="00F56159">
        <w:rPr>
          <w:rFonts w:hint="cs"/>
          <w:rtl/>
        </w:rPr>
        <w:t>-17 מיליון</w:t>
      </w:r>
      <w:r w:rsidRPr="005C1160">
        <w:rPr>
          <w:rFonts w:hint="cs"/>
          <w:rtl/>
        </w:rPr>
        <w:t xml:space="preserve"> ש"ח. </w:t>
      </w:r>
    </w:p>
  </w:footnote>
  <w:footnote w:id="66">
    <w:p w:rsidR="006734B0" w:rsidRPr="00331AB4" w:rsidP="00331AB4" w14:paraId="5F57D175" w14:textId="77777777">
      <w:pPr>
        <w:pStyle w:val="733"/>
        <w:rPr>
          <w:rtl/>
        </w:rPr>
      </w:pPr>
      <w:r w:rsidRPr="00331AB4">
        <w:rPr>
          <w:rStyle w:val="FootnoteReference1"/>
          <w:vertAlign w:val="baseline"/>
        </w:rPr>
        <w:footnoteRef/>
      </w:r>
      <w:r w:rsidRPr="00331AB4">
        <w:rPr>
          <w:rFonts w:hint="cs"/>
          <w:rtl/>
        </w:rPr>
        <w:t xml:space="preserve"> </w:t>
      </w:r>
      <w:r w:rsidRPr="00331AB4">
        <w:rPr>
          <w:rFonts w:hint="cs"/>
          <w:rtl/>
        </w:rPr>
        <w:tab/>
      </w:r>
      <w:r w:rsidRPr="00331AB4">
        <w:t>Directive 2008/98/EC on Waste</w:t>
      </w:r>
      <w:r w:rsidRPr="00331AB4">
        <w:rPr>
          <w:rFonts w:hint="cs"/>
          <w:rtl/>
        </w:rPr>
        <w:t xml:space="preserve"> </w:t>
      </w:r>
    </w:p>
  </w:footnote>
  <w:footnote w:id="67">
    <w:p w:rsidR="006734B0" w:rsidRPr="00331AB4" w:rsidP="00331AB4" w14:paraId="470B4EAB" w14:textId="13A8FA01">
      <w:pPr>
        <w:pStyle w:val="733"/>
      </w:pPr>
      <w:r w:rsidRPr="00331AB4">
        <w:rPr>
          <w:rStyle w:val="FootnoteReference1"/>
          <w:vertAlign w:val="baseline"/>
        </w:rPr>
        <w:footnoteRef/>
      </w:r>
      <w:r w:rsidRPr="00331AB4">
        <w:rPr>
          <w:rFonts w:hint="cs"/>
          <w:rtl/>
        </w:rPr>
        <w:t xml:space="preserve"> </w:t>
      </w:r>
      <w:r w:rsidRPr="00331AB4">
        <w:rPr>
          <w:rFonts w:hint="cs"/>
          <w:rtl/>
        </w:rPr>
        <w:tab/>
        <w:t xml:space="preserve">אתר המשרד </w:t>
      </w:r>
      <w:r w:rsidRPr="00331AB4">
        <w:rPr>
          <w:rFonts w:hint="cs"/>
          <w:rtl/>
        </w:rPr>
        <w:t>להג"ס</w:t>
      </w:r>
      <w:r w:rsidR="006229CF">
        <w:rPr>
          <w:rFonts w:hint="cs"/>
          <w:rtl/>
        </w:rPr>
        <w:t xml:space="preserve"> במרשתת</w:t>
      </w:r>
      <w:r w:rsidRPr="00331AB4">
        <w:rPr>
          <w:rFonts w:hint="cs"/>
          <w:rtl/>
        </w:rPr>
        <w:t xml:space="preserve">, נצפה לאחרונה ב-22.5.24. </w:t>
      </w:r>
    </w:p>
  </w:footnote>
  <w:footnote w:id="68">
    <w:p w:rsidR="006734B0" w:rsidP="00331AB4" w14:paraId="17D5D5CF" w14:textId="77777777">
      <w:pPr>
        <w:pStyle w:val="733"/>
        <w:rPr>
          <w:rtl/>
        </w:rPr>
      </w:pPr>
      <w:r w:rsidRPr="00331AB4">
        <w:rPr>
          <w:rStyle w:val="FootnoteReference1"/>
          <w:vertAlign w:val="baseline"/>
        </w:rPr>
        <w:footnoteRef/>
      </w:r>
      <w:r w:rsidRPr="00331AB4">
        <w:rPr>
          <w:rtl/>
        </w:rPr>
        <w:t xml:space="preserve"> </w:t>
      </w:r>
      <w:r w:rsidRPr="00331AB4">
        <w:rPr>
          <w:rtl/>
        </w:rPr>
        <w:tab/>
      </w:r>
      <w:r w:rsidRPr="00331AB4">
        <w:rPr>
          <w:rFonts w:hint="cs"/>
          <w:rtl/>
        </w:rPr>
        <w:t>לדוגמה</w:t>
      </w:r>
      <w:r>
        <w:rPr>
          <w:rFonts w:hint="cs"/>
          <w:rtl/>
        </w:rPr>
        <w:t xml:space="preserve"> מחזור או השבה. </w:t>
      </w:r>
    </w:p>
  </w:footnote>
  <w:footnote w:id="69">
    <w:p w:rsidR="006734B0" w:rsidRPr="00331AB4" w:rsidP="00331AB4" w14:paraId="017817F5" w14:textId="0F73DFA4">
      <w:pPr>
        <w:pStyle w:val="733"/>
        <w:rPr>
          <w:rtl/>
        </w:rPr>
      </w:pPr>
      <w:r w:rsidRPr="00331AB4">
        <w:rPr>
          <w:rStyle w:val="FootnoteReference1"/>
          <w:vertAlign w:val="baseline"/>
        </w:rPr>
        <w:footnoteRef/>
      </w:r>
      <w:r w:rsidRPr="00331AB4">
        <w:rPr>
          <w:rtl/>
        </w:rPr>
        <w:t xml:space="preserve"> </w:t>
      </w:r>
      <w:r w:rsidRPr="00331AB4">
        <w:rPr>
          <w:rtl/>
        </w:rPr>
        <w:tab/>
      </w:r>
      <w:r w:rsidRPr="006229CF" w:rsidR="006229CF">
        <w:rPr>
          <w:rtl/>
        </w:rPr>
        <w:t>חוק שמירת הניקיון (תיקון מס' 9), התשס"ז-2007, ס"ח 88</w:t>
      </w:r>
      <w:r w:rsidRPr="00331AB4">
        <w:rPr>
          <w:rFonts w:hint="cs"/>
          <w:rtl/>
        </w:rPr>
        <w:t xml:space="preserve">. </w:t>
      </w:r>
    </w:p>
  </w:footnote>
  <w:footnote w:id="70">
    <w:p w:rsidR="006734B0" w:rsidP="00331AB4" w14:paraId="773BB67E" w14:textId="77777777">
      <w:pPr>
        <w:pStyle w:val="733"/>
        <w:rPr>
          <w:rtl/>
        </w:rPr>
      </w:pPr>
      <w:r w:rsidRPr="00331AB4">
        <w:rPr>
          <w:rStyle w:val="FootnoteReference1"/>
          <w:vertAlign w:val="baseline"/>
        </w:rPr>
        <w:footnoteRef/>
      </w:r>
      <w:r w:rsidRPr="00331AB4">
        <w:rPr>
          <w:rFonts w:hint="cs"/>
          <w:rtl/>
        </w:rPr>
        <w:t xml:space="preserve"> </w:t>
      </w:r>
      <w:r w:rsidRPr="00331AB4">
        <w:rPr>
          <w:rFonts w:hint="cs"/>
          <w:rtl/>
        </w:rPr>
        <w:tab/>
      </w:r>
      <w:r>
        <w:rPr>
          <w:rFonts w:hint="cs"/>
          <w:b/>
          <w:bCs/>
          <w:rtl/>
        </w:rPr>
        <w:t>דוח מבקר המדינה</w:t>
      </w:r>
      <w:r>
        <w:rPr>
          <w:rFonts w:hint="cs"/>
          <w:rtl/>
        </w:rPr>
        <w:t xml:space="preserve"> (מאי 2022),</w:t>
      </w:r>
      <w:r w:rsidRPr="00F56159">
        <w:rPr>
          <w:rFonts w:hint="cs"/>
          <w:rtl/>
        </w:rPr>
        <w:t xml:space="preserve"> הקרן לשמירת הניקיון - היבטים כספיים</w:t>
      </w:r>
      <w:r>
        <w:rPr>
          <w:rFonts w:hint="cs"/>
          <w:rtl/>
        </w:rPr>
        <w:t>, 2022, עמ' 1875.</w:t>
      </w:r>
    </w:p>
  </w:footnote>
  <w:footnote w:id="71">
    <w:p w:rsidR="006734B0" w:rsidP="002B4A75" w14:paraId="48D4EB39" w14:textId="77777777">
      <w:pPr>
        <w:pStyle w:val="733"/>
        <w:rPr>
          <w:rtl/>
        </w:rPr>
      </w:pPr>
      <w:r w:rsidRPr="00331AB4">
        <w:footnoteRef/>
      </w:r>
      <w:r w:rsidRPr="00331AB4">
        <w:rPr>
          <w:rFonts w:hint="cs"/>
          <w:rtl/>
        </w:rPr>
        <w:t xml:space="preserve"> </w:t>
      </w:r>
      <w:r>
        <w:rPr>
          <w:rFonts w:hint="cs"/>
          <w:rtl/>
        </w:rPr>
        <w:tab/>
        <w:t xml:space="preserve">יצוין כי נוסף על זרמים אלו </w:t>
      </w:r>
      <w:r>
        <w:rPr>
          <w:rFonts w:hint="cs"/>
          <w:rtl/>
        </w:rPr>
        <w:t>למי"ה</w:t>
      </w:r>
      <w:r>
        <w:rPr>
          <w:rFonts w:hint="cs"/>
          <w:rtl/>
        </w:rPr>
        <w:t xml:space="preserve"> יש פסולות מזרמים שונים לרבות פסולת חומרים מסוכנים, פסולת בניין ופסולת ביתית, להם פתרונות קצה שונים.</w:t>
      </w:r>
    </w:p>
  </w:footnote>
  <w:footnote w:id="72">
    <w:p w:rsidR="006734B0" w:rsidP="002B4A75" w14:paraId="2B50BADB" w14:textId="77777777">
      <w:pPr>
        <w:pStyle w:val="733"/>
      </w:pPr>
      <w:r w:rsidRPr="00331AB4">
        <w:rPr>
          <w:rStyle w:val="71Char"/>
        </w:rPr>
        <w:footnoteRef/>
      </w:r>
      <w:r w:rsidRPr="00331AB4">
        <w:rPr>
          <w:rStyle w:val="71Char"/>
          <w:rtl/>
        </w:rPr>
        <w:t xml:space="preserve"> </w:t>
      </w:r>
      <w:r w:rsidRPr="00331AB4">
        <w:rPr>
          <w:rStyle w:val="71Char"/>
          <w:rtl/>
        </w:rPr>
        <w:tab/>
      </w:r>
      <w:r w:rsidRPr="00AC6752">
        <w:t>Directive 2006/21/EC on the management of waste from extractive industries.</w:t>
      </w:r>
    </w:p>
  </w:footnote>
  <w:footnote w:id="73">
    <w:p w:rsidR="006734B0" w:rsidP="002B4A75" w14:paraId="531D3288" w14:textId="4C83A229">
      <w:pPr>
        <w:pStyle w:val="733"/>
        <w:rPr>
          <w:rtl/>
        </w:rPr>
      </w:pPr>
      <w:r w:rsidRPr="00331AB4">
        <w:footnoteRef/>
      </w:r>
      <w:r w:rsidRPr="00331AB4">
        <w:rPr>
          <w:rFonts w:hint="cs"/>
          <w:rtl/>
        </w:rPr>
        <w:t xml:space="preserve"> </w:t>
      </w:r>
      <w:r>
        <w:rPr>
          <w:rFonts w:hint="cs"/>
          <w:rtl/>
        </w:rPr>
        <w:tab/>
        <w:t>מרשם הפליטות לסביבה (</w:t>
      </w:r>
      <w:r>
        <w:rPr>
          <w:rFonts w:hint="cs"/>
          <w:rtl/>
        </w:rPr>
        <w:t>המפל"ס</w:t>
      </w:r>
      <w:r>
        <w:rPr>
          <w:rFonts w:hint="cs"/>
          <w:rtl/>
        </w:rPr>
        <w:t xml:space="preserve">) הוקם בישראל מתוקף חוק הגנת הסביבה (פליטות והעברות לסביבה - חובות דיווח ומרשם), התשע"ב-2012. </w:t>
      </w:r>
      <w:r>
        <w:rPr>
          <w:rFonts w:hint="cs"/>
          <w:rtl/>
        </w:rPr>
        <w:t>המפל"ס</w:t>
      </w:r>
      <w:r>
        <w:rPr>
          <w:rFonts w:hint="cs"/>
          <w:rtl/>
        </w:rPr>
        <w:t xml:space="preserve"> כולל מידע מקיף על אודות פליטות מזהמים לאוויר, לים, לקרקע ולמקורות מים ונכון לשנת 2022, </w:t>
      </w:r>
      <w:r w:rsidRPr="007C029D" w:rsidR="007C029D">
        <w:rPr>
          <w:rtl/>
        </w:rPr>
        <w:t>הציג</w:t>
      </w:r>
      <w:r w:rsidR="007C029D">
        <w:rPr>
          <w:rFonts w:hint="cs"/>
          <w:rtl/>
        </w:rPr>
        <w:t xml:space="preserve"> </w:t>
      </w:r>
      <w:r>
        <w:rPr>
          <w:rFonts w:hint="cs"/>
          <w:rtl/>
        </w:rPr>
        <w:t xml:space="preserve">את פליטות המזהמים של כ-570 המפעלים הגדולים בישראל. </w:t>
      </w:r>
    </w:p>
  </w:footnote>
  <w:footnote w:id="74">
    <w:p w:rsidR="006734B0" w:rsidRPr="00331AB4" w:rsidP="00331AB4" w14:paraId="2228767B" w14:textId="77777777">
      <w:pPr>
        <w:pStyle w:val="733"/>
        <w:rPr>
          <w:rtl/>
        </w:rPr>
      </w:pPr>
      <w:r w:rsidRPr="00331AB4">
        <w:rPr>
          <w:rStyle w:val="FootnoteReference1"/>
          <w:vertAlign w:val="baseline"/>
        </w:rPr>
        <w:footnoteRef/>
      </w:r>
      <w:r w:rsidRPr="00331AB4">
        <w:rPr>
          <w:rFonts w:hint="cs"/>
          <w:rtl/>
        </w:rPr>
        <w:t xml:space="preserve"> </w:t>
      </w:r>
      <w:r w:rsidRPr="00331AB4">
        <w:rPr>
          <w:rFonts w:hint="cs"/>
          <w:rtl/>
        </w:rPr>
        <w:tab/>
        <w:t xml:space="preserve">781,500 ש"ח לפי סיווג של בוצה תעשייתית או 1,172,250 ש"ח לפי סיווג של פסולת יבשה, בהתאם לסכומים הנקובים בתוספת לחוק שמירת הניקיון, ועל בסיס הנחת עבודה של הטמנה של 15,000 טונות בשנה. </w:t>
      </w:r>
    </w:p>
  </w:footnote>
  <w:footnote w:id="75">
    <w:p w:rsidR="006734B0" w:rsidP="00331AB4" w14:paraId="055615D1" w14:textId="77777777">
      <w:pPr>
        <w:pStyle w:val="733"/>
        <w:rPr>
          <w:rtl/>
        </w:rPr>
      </w:pPr>
      <w:r w:rsidRPr="00331AB4">
        <w:rPr>
          <w:rStyle w:val="FootnoteReference1"/>
          <w:vertAlign w:val="baseline"/>
        </w:rPr>
        <w:footnoteRef/>
      </w:r>
      <w:r w:rsidRPr="00331AB4">
        <w:rPr>
          <w:rtl/>
        </w:rPr>
        <w:t xml:space="preserve"> </w:t>
      </w:r>
      <w:r w:rsidRPr="00331AB4">
        <w:rPr>
          <w:rtl/>
        </w:rPr>
        <w:tab/>
      </w:r>
      <w:r w:rsidRPr="00331AB4">
        <w:rPr>
          <w:rFonts w:hint="cs"/>
          <w:rtl/>
        </w:rPr>
        <w:t xml:space="preserve">לעניין עמדת </w:t>
      </w:r>
      <w:r w:rsidRPr="00331AB4">
        <w:rPr>
          <w:rFonts w:hint="cs"/>
          <w:rtl/>
        </w:rPr>
        <w:t>מי"ה</w:t>
      </w:r>
      <w:r w:rsidRPr="00331AB4">
        <w:rPr>
          <w:rFonts w:hint="cs"/>
          <w:rtl/>
        </w:rPr>
        <w:t xml:space="preserve"> העקרונית בנוגע לסוגיית החיוב בהיטל ההטמנה ראו לעיל.</w:t>
      </w:r>
      <w:r>
        <w:rPr>
          <w:rFonts w:hint="cs"/>
          <w:rtl/>
        </w:rPr>
        <w:t xml:space="preserve"> </w:t>
      </w:r>
    </w:p>
  </w:footnote>
  <w:footnote w:id="76">
    <w:p w:rsidR="006734B0" w:rsidRPr="008C362D" w:rsidP="008C362D" w14:paraId="528FB131" w14:textId="77777777">
      <w:pPr>
        <w:pStyle w:val="7314"/>
      </w:pPr>
      <w:r w:rsidRPr="008C362D">
        <w:rPr>
          <w:rStyle w:val="FootnoteReference1"/>
          <w:vertAlign w:val="baseline"/>
        </w:rPr>
        <w:footnoteRef/>
      </w:r>
      <w:r w:rsidRPr="008C362D">
        <w:rPr>
          <w:rFonts w:hint="cs"/>
          <w:rtl/>
        </w:rPr>
        <w:t xml:space="preserve"> </w:t>
      </w:r>
      <w:r w:rsidRPr="008C362D">
        <w:rPr>
          <w:rFonts w:hint="cs"/>
          <w:rtl/>
        </w:rPr>
        <w:tab/>
        <w:t xml:space="preserve">בחינת ההשפעות הסביבתיות של מאגר המלח התפעולי, הוכן עבור </w:t>
      </w:r>
      <w:r w:rsidRPr="008C362D">
        <w:rPr>
          <w:rFonts w:hint="cs"/>
          <w:rtl/>
        </w:rPr>
        <w:t>מי"ה</w:t>
      </w:r>
      <w:r w:rsidRPr="008C362D">
        <w:rPr>
          <w:rFonts w:hint="cs"/>
          <w:rtl/>
        </w:rPr>
        <w:t xml:space="preserve">, יולי 2014. </w:t>
      </w:r>
    </w:p>
  </w:footnote>
  <w:footnote w:id="77">
    <w:p w:rsidR="006734B0" w:rsidRPr="008C362D" w:rsidP="008C362D" w14:paraId="67ECCF00" w14:textId="77777777">
      <w:pPr>
        <w:pStyle w:val="733"/>
        <w:rPr>
          <w:rtl/>
        </w:rPr>
      </w:pPr>
      <w:r w:rsidRPr="008C362D">
        <w:rPr>
          <w:rStyle w:val="FootnoteReference1"/>
          <w:vertAlign w:val="baseline"/>
        </w:rPr>
        <w:footnoteRef/>
      </w:r>
      <w:r w:rsidRPr="008C362D">
        <w:rPr>
          <w:rFonts w:hint="cs"/>
          <w:rtl/>
        </w:rPr>
        <w:t xml:space="preserve"> </w:t>
      </w:r>
      <w:r w:rsidRPr="008C362D">
        <w:rPr>
          <w:rFonts w:hint="cs"/>
          <w:rtl/>
        </w:rPr>
        <w:tab/>
        <w:t xml:space="preserve">מלחה היא בית גידול לח המאופיין במליחות קרקע קיצונית, ובה משטר מים ייחודי המכתיב את מליחותה ואת הצומח הגדל בה. במלחה מינים ייחודיים של צמחים, חיידקים ופטריות אשר חייבים תנאי קיצון אלו לצורך רבייה והתפתחות. על בסיסם מתקיימים במלחה גם בעלי חיים ייחודיים. המלחות נמצאות בסכנת הכחדה בישראל. </w:t>
      </w:r>
    </w:p>
  </w:footnote>
  <w:footnote w:id="78">
    <w:p w:rsidR="006734B0" w:rsidRPr="008C362D" w:rsidP="008C362D" w14:paraId="02CE10E4" w14:textId="77777777">
      <w:pPr>
        <w:pStyle w:val="733"/>
        <w:rPr>
          <w:rtl/>
        </w:rPr>
      </w:pPr>
      <w:r w:rsidRPr="008C362D">
        <w:rPr>
          <w:rStyle w:val="FootnoteReference1"/>
          <w:vertAlign w:val="baseline"/>
        </w:rPr>
        <w:footnoteRef/>
      </w:r>
      <w:r w:rsidRPr="008C362D">
        <w:rPr>
          <w:rtl/>
        </w:rPr>
        <w:t xml:space="preserve"> </w:t>
      </w:r>
      <w:r w:rsidRPr="008C362D">
        <w:rPr>
          <w:rtl/>
        </w:rPr>
        <w:tab/>
      </w:r>
      <w:r w:rsidRPr="008C362D">
        <w:rPr>
          <w:rFonts w:hint="cs"/>
          <w:rtl/>
        </w:rPr>
        <w:t xml:space="preserve">דלק נוזלי ותוצר של זיקוק נפט. </w:t>
      </w:r>
    </w:p>
  </w:footnote>
  <w:footnote w:id="79">
    <w:p w:rsidR="006734B0" w:rsidP="008C362D" w14:paraId="366A9ECB" w14:textId="77777777">
      <w:pPr>
        <w:pStyle w:val="7314"/>
      </w:pPr>
      <w:r w:rsidRPr="008C362D">
        <w:footnoteRef/>
      </w:r>
      <w:r w:rsidRPr="008C362D">
        <w:rPr>
          <w:rFonts w:hint="cs"/>
          <w:rtl/>
        </w:rPr>
        <w:t xml:space="preserve"> </w:t>
      </w:r>
      <w:r w:rsidRPr="008C362D">
        <w:rPr>
          <w:rFonts w:hint="cs"/>
          <w:rtl/>
        </w:rPr>
        <w:tab/>
        <w:t>עודפי</w:t>
      </w:r>
      <w:r>
        <w:rPr>
          <w:rFonts w:hint="cs"/>
          <w:rtl/>
        </w:rPr>
        <w:t xml:space="preserve"> מלח אלה נוצרים ומטופלים בנפרד מהמלח השוקע בבריכות האידוי, שדרך הטיפול בו היא קציר המלח (ראו להלן).</w:t>
      </w:r>
    </w:p>
  </w:footnote>
  <w:footnote w:id="80">
    <w:p w:rsidR="006734B0" w:rsidRPr="008C362D" w:rsidP="008C362D" w14:paraId="335AB2C8" w14:textId="77777777">
      <w:pPr>
        <w:pStyle w:val="733"/>
      </w:pPr>
      <w:r w:rsidRPr="008C362D">
        <w:rPr>
          <w:rStyle w:val="FootnoteReference1"/>
          <w:vertAlign w:val="baseline"/>
        </w:rPr>
        <w:footnoteRef/>
      </w:r>
      <w:r w:rsidRPr="008C362D">
        <w:rPr>
          <w:rtl/>
        </w:rPr>
        <w:t xml:space="preserve"> </w:t>
      </w:r>
      <w:r w:rsidRPr="008C362D">
        <w:rPr>
          <w:rtl/>
        </w:rPr>
        <w:tab/>
      </w:r>
      <w:r w:rsidRPr="008C362D">
        <w:rPr>
          <w:rFonts w:hint="cs"/>
          <w:rtl/>
        </w:rPr>
        <w:t xml:space="preserve">דלק נוזלי ותוצר של זיקוק נפט. </w:t>
      </w:r>
    </w:p>
  </w:footnote>
  <w:footnote w:id="81">
    <w:p w:rsidR="006734B0" w:rsidRPr="008C362D" w:rsidP="008C362D" w14:paraId="398975C1" w14:textId="77777777">
      <w:pPr>
        <w:pStyle w:val="733"/>
        <w:rPr>
          <w:rtl/>
        </w:rPr>
      </w:pPr>
      <w:r w:rsidRPr="008C362D">
        <w:rPr>
          <w:rStyle w:val="FootnoteReference1"/>
          <w:vertAlign w:val="baseline"/>
        </w:rPr>
        <w:footnoteRef/>
      </w:r>
      <w:r w:rsidRPr="008C362D">
        <w:rPr>
          <w:rFonts w:hint="cs"/>
          <w:rtl/>
        </w:rPr>
        <w:t xml:space="preserve"> </w:t>
      </w:r>
      <w:r w:rsidRPr="008C362D">
        <w:rPr>
          <w:rFonts w:hint="cs"/>
          <w:rtl/>
        </w:rPr>
        <w:tab/>
        <w:t xml:space="preserve">89,489,412 ש"ח לפי סיווג של בוצה תעשייתית או 134,234,118 ש"ח לפי סיווג של פסולת יבשה, על בסיס הנחת עבודה של הטמנה של 2 מיליון טונות באותה השנה. </w:t>
      </w:r>
    </w:p>
  </w:footnote>
  <w:footnote w:id="82">
    <w:p w:rsidR="006734B0" w:rsidP="008C362D" w14:paraId="69773172" w14:textId="77777777">
      <w:pPr>
        <w:pStyle w:val="733"/>
      </w:pPr>
      <w:r w:rsidRPr="008C362D">
        <w:rPr>
          <w:rStyle w:val="FootnoteReference1"/>
          <w:vertAlign w:val="baseline"/>
        </w:rPr>
        <w:footnoteRef/>
      </w:r>
      <w:r w:rsidRPr="008C362D">
        <w:rPr>
          <w:rtl/>
        </w:rPr>
        <w:t xml:space="preserve"> </w:t>
      </w:r>
      <w:r w:rsidRPr="008C362D">
        <w:rPr>
          <w:rtl/>
        </w:rPr>
        <w:tab/>
      </w:r>
      <w:r w:rsidRPr="008C362D">
        <w:rPr>
          <w:rFonts w:hint="cs"/>
          <w:rtl/>
        </w:rPr>
        <w:t>לעניין</w:t>
      </w:r>
      <w:r>
        <w:rPr>
          <w:rFonts w:hint="cs"/>
          <w:rtl/>
        </w:rPr>
        <w:t xml:space="preserve"> עמדת </w:t>
      </w:r>
      <w:r>
        <w:rPr>
          <w:rFonts w:hint="cs"/>
          <w:rtl/>
        </w:rPr>
        <w:t>מי"</w:t>
      </w:r>
      <w:r w:rsidRPr="00774F70">
        <w:rPr>
          <w:rFonts w:hint="cs"/>
          <w:rtl/>
        </w:rPr>
        <w:t>ה</w:t>
      </w:r>
      <w:r w:rsidRPr="00774F70">
        <w:rPr>
          <w:rFonts w:hint="cs"/>
          <w:rtl/>
        </w:rPr>
        <w:t xml:space="preserve"> העקרונית </w:t>
      </w:r>
      <w:r w:rsidRPr="00774F70">
        <w:rPr>
          <w:rFonts w:hint="eastAsia"/>
          <w:rtl/>
        </w:rPr>
        <w:t>בנוגע</w:t>
      </w:r>
      <w:r w:rsidRPr="00774F70">
        <w:rPr>
          <w:rFonts w:hint="cs"/>
          <w:rtl/>
        </w:rPr>
        <w:t xml:space="preserve"> לסוגיית</w:t>
      </w:r>
      <w:r>
        <w:rPr>
          <w:rFonts w:hint="cs"/>
          <w:rtl/>
        </w:rPr>
        <w:t xml:space="preserve"> החיוב בהיטל ההטמנה ראו לעיל.</w:t>
      </w:r>
    </w:p>
  </w:footnote>
  <w:footnote w:id="83">
    <w:p w:rsidR="006734B0" w:rsidP="002B4A75" w14:paraId="1CB0D56E" w14:textId="77777777">
      <w:pPr>
        <w:pStyle w:val="733"/>
        <w:rPr>
          <w:rtl/>
        </w:rPr>
      </w:pPr>
      <w:r w:rsidRPr="008C362D">
        <w:footnoteRef/>
      </w:r>
      <w:r w:rsidRPr="008C362D">
        <w:rPr>
          <w:rFonts w:hint="cs"/>
          <w:rtl/>
        </w:rPr>
        <w:t xml:space="preserve"> </w:t>
      </w:r>
      <w:r>
        <w:rPr>
          <w:rFonts w:hint="cs"/>
          <w:rtl/>
        </w:rPr>
        <w:tab/>
        <w:t>החלטת הממשלה 4060 בנושא "ביצוע פרויקט הגנות הקבע בים המלח ומימונו והגדלת התמלוגים המשולמים למדינה" (ינואר 2012).</w:t>
      </w:r>
    </w:p>
  </w:footnote>
  <w:footnote w:id="84">
    <w:p w:rsidR="006734B0" w:rsidP="002B4A75" w14:paraId="4D7E542C" w14:textId="77777777">
      <w:pPr>
        <w:pStyle w:val="733"/>
      </w:pPr>
      <w:r w:rsidRPr="008C362D">
        <w:footnoteRef/>
      </w:r>
      <w:r w:rsidRPr="008C362D">
        <w:rPr>
          <w:rFonts w:hint="cs"/>
          <w:rtl/>
        </w:rPr>
        <w:t xml:space="preserve"> </w:t>
      </w:r>
      <w:r>
        <w:rPr>
          <w:rFonts w:hint="cs"/>
          <w:rtl/>
        </w:rPr>
        <w:tab/>
        <w:t xml:space="preserve">בעניין זה ראו מבקר המדינה, </w:t>
      </w:r>
      <w:r w:rsidRPr="00F8535F">
        <w:rPr>
          <w:rFonts w:hint="eastAsia"/>
          <w:b/>
          <w:bCs/>
          <w:rtl/>
        </w:rPr>
        <w:t>דוח</w:t>
      </w:r>
      <w:r w:rsidRPr="00F8535F">
        <w:rPr>
          <w:b/>
          <w:bCs/>
          <w:rtl/>
        </w:rPr>
        <w:t xml:space="preserve"> </w:t>
      </w:r>
      <w:r w:rsidRPr="00F8535F">
        <w:rPr>
          <w:rFonts w:hint="eastAsia"/>
          <w:b/>
          <w:bCs/>
          <w:rtl/>
        </w:rPr>
        <w:t>שנתי</w:t>
      </w:r>
      <w:r w:rsidRPr="00F8535F">
        <w:rPr>
          <w:b/>
          <w:bCs/>
          <w:rtl/>
        </w:rPr>
        <w:t xml:space="preserve"> 66ג</w:t>
      </w:r>
      <w:r>
        <w:rPr>
          <w:rFonts w:hint="cs"/>
          <w:rtl/>
        </w:rPr>
        <w:t xml:space="preserve"> (2016), "</w:t>
      </w:r>
      <w:r w:rsidRPr="00F8535F">
        <w:rPr>
          <w:rFonts w:hint="eastAsia"/>
          <w:rtl/>
        </w:rPr>
        <w:t>משרד</w:t>
      </w:r>
      <w:r w:rsidRPr="00F8535F">
        <w:rPr>
          <w:rtl/>
        </w:rPr>
        <w:t xml:space="preserve"> </w:t>
      </w:r>
      <w:r w:rsidRPr="00F8535F">
        <w:rPr>
          <w:rFonts w:hint="eastAsia"/>
          <w:rtl/>
        </w:rPr>
        <w:t>האוצר</w:t>
      </w:r>
      <w:r>
        <w:rPr>
          <w:rFonts w:hint="cs"/>
          <w:rtl/>
        </w:rPr>
        <w:t xml:space="preserve"> </w:t>
      </w:r>
      <w:r w:rsidRPr="00F8535F">
        <w:rPr>
          <w:rtl/>
        </w:rPr>
        <w:t xml:space="preserve">- </w:t>
      </w:r>
      <w:r w:rsidRPr="00F8535F">
        <w:rPr>
          <w:rFonts w:hint="eastAsia"/>
          <w:rtl/>
        </w:rPr>
        <w:t>אגף</w:t>
      </w:r>
      <w:r w:rsidRPr="00F8535F">
        <w:rPr>
          <w:rtl/>
        </w:rPr>
        <w:t xml:space="preserve"> </w:t>
      </w:r>
      <w:r w:rsidRPr="00F8535F">
        <w:rPr>
          <w:rFonts w:hint="eastAsia"/>
          <w:rtl/>
        </w:rPr>
        <w:t>החשב</w:t>
      </w:r>
      <w:r w:rsidRPr="00F8535F">
        <w:rPr>
          <w:rtl/>
        </w:rPr>
        <w:t xml:space="preserve"> </w:t>
      </w:r>
      <w:r w:rsidRPr="00F8535F">
        <w:rPr>
          <w:rFonts w:hint="eastAsia"/>
          <w:rtl/>
        </w:rPr>
        <w:t>הכללי</w:t>
      </w:r>
      <w:r w:rsidRPr="00F8535F">
        <w:rPr>
          <w:rtl/>
        </w:rPr>
        <w:t xml:space="preserve"> - </w:t>
      </w:r>
      <w:r w:rsidRPr="00F8535F">
        <w:rPr>
          <w:rFonts w:hint="eastAsia"/>
          <w:rtl/>
        </w:rPr>
        <w:t>יישום</w:t>
      </w:r>
      <w:r w:rsidRPr="00F8535F">
        <w:rPr>
          <w:rtl/>
        </w:rPr>
        <w:t xml:space="preserve"> </w:t>
      </w:r>
      <w:r w:rsidRPr="00F8535F">
        <w:rPr>
          <w:rFonts w:hint="eastAsia"/>
          <w:rtl/>
        </w:rPr>
        <w:t>החלטת</w:t>
      </w:r>
      <w:r w:rsidRPr="00F8535F">
        <w:rPr>
          <w:rtl/>
        </w:rPr>
        <w:t xml:space="preserve"> </w:t>
      </w:r>
      <w:r w:rsidRPr="00F8535F">
        <w:rPr>
          <w:rFonts w:hint="eastAsia"/>
          <w:rtl/>
        </w:rPr>
        <w:t>הממשלה</w:t>
      </w:r>
      <w:r w:rsidRPr="00F8535F">
        <w:rPr>
          <w:rtl/>
        </w:rPr>
        <w:t xml:space="preserve"> </w:t>
      </w:r>
      <w:r w:rsidRPr="00F8535F">
        <w:rPr>
          <w:rFonts w:hint="eastAsia"/>
          <w:rtl/>
        </w:rPr>
        <w:t>בנושא</w:t>
      </w:r>
      <w:r w:rsidRPr="00F8535F">
        <w:rPr>
          <w:rtl/>
        </w:rPr>
        <w:t xml:space="preserve"> </w:t>
      </w:r>
      <w:r w:rsidRPr="00F8535F">
        <w:rPr>
          <w:rFonts w:hint="eastAsia"/>
          <w:rtl/>
        </w:rPr>
        <w:t>קציר</w:t>
      </w:r>
      <w:r w:rsidRPr="00F8535F">
        <w:rPr>
          <w:rtl/>
        </w:rPr>
        <w:t xml:space="preserve"> </w:t>
      </w:r>
      <w:r w:rsidRPr="00F8535F">
        <w:rPr>
          <w:rFonts w:hint="eastAsia"/>
          <w:rtl/>
        </w:rPr>
        <w:t>המלח</w:t>
      </w:r>
      <w:r>
        <w:rPr>
          <w:rFonts w:hint="cs"/>
          <w:rtl/>
        </w:rPr>
        <w:t>". יובהר כי דוח הביקורת הנוכחי אינו עוסק ביישום פרויקט הקציר.</w:t>
      </w:r>
    </w:p>
  </w:footnote>
  <w:footnote w:id="85">
    <w:p w:rsidR="00C22DE8" w:rsidP="0043134C" w14:paraId="28BE54E5" w14:textId="5EEF5113">
      <w:pPr>
        <w:pStyle w:val="FootnoteText"/>
        <w:ind w:left="424" w:hanging="425"/>
      </w:pPr>
      <w:r w:rsidRPr="00C22DE8">
        <w:rPr>
          <w:rFonts w:ascii="Tahoma" w:hAnsi="Tahoma" w:cs="Tahoma"/>
          <w:color w:val="0D0D0D" w:themeColor="text1" w:themeTint="F2"/>
          <w:sz w:val="14"/>
          <w:szCs w:val="14"/>
        </w:rPr>
        <w:footnoteRef/>
      </w:r>
      <w:r w:rsidR="0043134C">
        <w:rPr>
          <w:rFonts w:ascii="Tahoma" w:hAnsi="Tahoma" w:cs="Tahoma" w:hint="cs"/>
          <w:color w:val="0D0D0D" w:themeColor="text1" w:themeTint="F2"/>
          <w:sz w:val="14"/>
          <w:szCs w:val="14"/>
          <w:rtl/>
        </w:rPr>
        <w:t xml:space="preserve">     </w:t>
      </w:r>
      <w:r w:rsidRPr="00C22DE8">
        <w:rPr>
          <w:rFonts w:ascii="Tahoma" w:hAnsi="Tahoma" w:cs="Tahoma"/>
          <w:color w:val="0D0D0D" w:themeColor="text1" w:themeTint="F2"/>
          <w:sz w:val="14"/>
          <w:szCs w:val="14"/>
          <w:rtl/>
        </w:rPr>
        <w:t xml:space="preserve">יצוין כי למשרד </w:t>
      </w:r>
      <w:r w:rsidRPr="00C22DE8">
        <w:rPr>
          <w:rFonts w:ascii="Tahoma" w:hAnsi="Tahoma" w:cs="Tahoma"/>
          <w:color w:val="0D0D0D" w:themeColor="text1" w:themeTint="F2"/>
          <w:sz w:val="14"/>
          <w:szCs w:val="14"/>
          <w:rtl/>
        </w:rPr>
        <w:t>להג"ס</w:t>
      </w:r>
      <w:r w:rsidRPr="00C22DE8">
        <w:rPr>
          <w:rFonts w:ascii="Tahoma" w:hAnsi="Tahoma" w:cs="Tahoma"/>
          <w:color w:val="0D0D0D" w:themeColor="text1" w:themeTint="F2"/>
          <w:sz w:val="14"/>
          <w:szCs w:val="14"/>
          <w:rtl/>
        </w:rPr>
        <w:t xml:space="preserve"> </w:t>
      </w:r>
      <w:r w:rsidRPr="00C22DE8">
        <w:rPr>
          <w:rFonts w:ascii="Tahoma" w:hAnsi="Tahoma" w:cs="Tahoma"/>
          <w:color w:val="0D0D0D" w:themeColor="text1" w:themeTint="F2"/>
          <w:sz w:val="14"/>
          <w:szCs w:val="14"/>
          <w:rtl/>
        </w:rPr>
        <w:t>ולות"ל</w:t>
      </w:r>
      <w:r w:rsidRPr="00C22DE8">
        <w:rPr>
          <w:rFonts w:ascii="Tahoma" w:hAnsi="Tahoma" w:cs="Tahoma"/>
          <w:color w:val="0D0D0D" w:themeColor="text1" w:themeTint="F2"/>
          <w:sz w:val="14"/>
          <w:szCs w:val="14"/>
          <w:rtl/>
        </w:rPr>
        <w:t xml:space="preserve"> אין נתונים רשמיים בנוגע למשקל המלח שנקצר עד כה ולכן לא ניתן היה להעריך את </w:t>
      </w:r>
      <w:r w:rsidR="0043134C">
        <w:rPr>
          <w:rFonts w:ascii="Tahoma" w:hAnsi="Tahoma" w:cs="Tahoma" w:hint="cs"/>
          <w:color w:val="0D0D0D" w:themeColor="text1" w:themeTint="F2"/>
          <w:sz w:val="14"/>
          <w:szCs w:val="14"/>
          <w:rtl/>
        </w:rPr>
        <w:t xml:space="preserve"> </w:t>
      </w:r>
      <w:r w:rsidRPr="00C22DE8">
        <w:rPr>
          <w:rFonts w:ascii="Tahoma" w:hAnsi="Tahoma" w:cs="Tahoma"/>
          <w:color w:val="0D0D0D" w:themeColor="text1" w:themeTint="F2"/>
          <w:sz w:val="14"/>
          <w:szCs w:val="14"/>
          <w:rtl/>
        </w:rPr>
        <w:t>גובה היטל ההטמנה המשוער במידה ויוחלט להטילו</w:t>
      </w:r>
      <w:r w:rsidRPr="00C22DE8">
        <w:rPr>
          <w:rtl/>
        </w:rPr>
        <w:t>.</w:t>
      </w:r>
    </w:p>
  </w:footnote>
  <w:footnote w:id="86">
    <w:p w:rsidR="006734B0" w:rsidP="002B4A75" w14:paraId="026FF501" w14:textId="77777777">
      <w:pPr>
        <w:pStyle w:val="733"/>
        <w:rPr>
          <w:rtl/>
        </w:rPr>
      </w:pPr>
      <w:r w:rsidRPr="008D2DC1">
        <w:rPr>
          <w:rStyle w:val="71Char"/>
        </w:rPr>
        <w:footnoteRef/>
      </w:r>
      <w:r w:rsidRPr="008D2DC1">
        <w:rPr>
          <w:rStyle w:val="71Char"/>
          <w:rtl/>
        </w:rPr>
        <w:t xml:space="preserve"> </w:t>
      </w:r>
      <w:r>
        <w:rPr>
          <w:rtl/>
        </w:rPr>
        <w:tab/>
      </w:r>
      <w:r>
        <w:rPr>
          <w:rFonts w:hint="cs"/>
          <w:rtl/>
        </w:rPr>
        <w:t xml:space="preserve">וכן את ביצוען של שמונה עבודות הבנייה </w:t>
      </w:r>
      <w:r w:rsidRPr="001846B3">
        <w:rPr>
          <w:rFonts w:hint="cs"/>
          <w:rtl/>
        </w:rPr>
        <w:t>שפורטו בתוספת לחוק</w:t>
      </w:r>
      <w:r w:rsidRPr="001846B3">
        <w:rPr>
          <w:rtl/>
        </w:rPr>
        <w:t>,</w:t>
      </w:r>
      <w:r w:rsidRPr="001846B3">
        <w:rPr>
          <w:rFonts w:hint="cs"/>
          <w:rtl/>
        </w:rPr>
        <w:t xml:space="preserve"> ובלבד שתחילת ביצוען תהיה לפני מרץ 1995 (בתום שנה ממועד חקיקת חוק הוראות השעה).</w:t>
      </w:r>
    </w:p>
  </w:footnote>
  <w:footnote w:id="87">
    <w:p w:rsidR="006734B0" w:rsidP="008D2DC1" w14:paraId="1C16D2C0" w14:textId="77777777">
      <w:pPr>
        <w:pStyle w:val="7314"/>
        <w:rPr>
          <w:rtl/>
        </w:rPr>
      </w:pPr>
      <w:r w:rsidRPr="008D2DC1">
        <w:footnoteRef/>
      </w:r>
      <w:r w:rsidRPr="008D2DC1">
        <w:rPr>
          <w:rtl/>
        </w:rPr>
        <w:t xml:space="preserve"> </w:t>
      </w:r>
      <w:r>
        <w:rPr>
          <w:rtl/>
        </w:rPr>
        <w:tab/>
      </w:r>
      <w:r>
        <w:rPr>
          <w:rFonts w:hint="cs"/>
          <w:rtl/>
        </w:rPr>
        <w:t>בעניין זה ר</w:t>
      </w:r>
      <w:r w:rsidRPr="001846B3">
        <w:rPr>
          <w:rFonts w:hint="cs"/>
          <w:rtl/>
        </w:rPr>
        <w:t>א</w:t>
      </w:r>
      <w:r w:rsidRPr="001846B3">
        <w:rPr>
          <w:rFonts w:hint="eastAsia"/>
          <w:rtl/>
        </w:rPr>
        <w:t>ו</w:t>
      </w:r>
      <w:r>
        <w:rPr>
          <w:rFonts w:hint="cs"/>
          <w:rtl/>
        </w:rPr>
        <w:t xml:space="preserve"> פירוט לעיל בפרק העוסק באסדרה ובפיקוח של </w:t>
      </w:r>
      <w:r>
        <w:rPr>
          <w:rFonts w:hint="cs"/>
          <w:rtl/>
        </w:rPr>
        <w:t>רמ"י</w:t>
      </w:r>
      <w:r>
        <w:rPr>
          <w:rFonts w:hint="cs"/>
          <w:rtl/>
        </w:rPr>
        <w:t xml:space="preserve"> בנוגע לשימושים המתקיימים בתחום הזיכיון. </w:t>
      </w:r>
    </w:p>
  </w:footnote>
  <w:footnote w:id="88">
    <w:p w:rsidR="006734B0" w:rsidP="008C362D" w14:paraId="329FC9BF" w14:textId="77777777">
      <w:pPr>
        <w:pStyle w:val="7314"/>
      </w:pPr>
      <w:r w:rsidRPr="008C362D">
        <w:footnoteRef/>
      </w:r>
      <w:r w:rsidRPr="008C362D">
        <w:rPr>
          <w:rtl/>
        </w:rPr>
        <w:t xml:space="preserve"> </w:t>
      </w:r>
      <w:r>
        <w:rPr>
          <w:rtl/>
        </w:rPr>
        <w:tab/>
      </w:r>
      <w:r>
        <w:rPr>
          <w:rFonts w:hint="cs"/>
          <w:rtl/>
        </w:rPr>
        <w:t xml:space="preserve">לפי רשות המים, היא החלה בשנת 2012 לטפל בהפקת המים מים המלח בדרך של הגעה להסדרים עם הזכיין ומסמך הנחיות. </w:t>
      </w:r>
    </w:p>
  </w:footnote>
  <w:footnote w:id="89">
    <w:p w:rsidR="006734B0" w:rsidP="008C362D" w14:paraId="370B857F" w14:textId="77777777">
      <w:pPr>
        <w:pStyle w:val="7314"/>
      </w:pPr>
      <w:r w:rsidRPr="008C362D">
        <w:footnoteRef/>
      </w:r>
      <w:r w:rsidRPr="008C362D">
        <w:rPr>
          <w:rtl/>
        </w:rPr>
        <w:t xml:space="preserve"> </w:t>
      </w:r>
      <w:r>
        <w:rPr>
          <w:rtl/>
        </w:rPr>
        <w:tab/>
      </w:r>
      <w:r>
        <w:rPr>
          <w:rFonts w:hint="cs"/>
          <w:rtl/>
        </w:rPr>
        <w:t>עח"ק</w:t>
      </w:r>
      <w:r>
        <w:rPr>
          <w:rFonts w:hint="cs"/>
          <w:rtl/>
        </w:rPr>
        <w:t xml:space="preserve"> (חי') 14047-06-15 </w:t>
      </w:r>
      <w:r>
        <w:rPr>
          <w:rFonts w:hint="cs"/>
          <w:b/>
          <w:bCs/>
          <w:rtl/>
        </w:rPr>
        <w:t>אדם טבע ודין - אגודה ישראלית להגנת הסביבה נ' הרשות הממשלתית למים וביוב ואח'</w:t>
      </w:r>
      <w:r>
        <w:rPr>
          <w:rFonts w:hint="cs"/>
          <w:rtl/>
        </w:rPr>
        <w:t xml:space="preserve"> (פורסם במאגר ממוחשב, 4.8.19).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73EE0" w:rsidP="007255AF" w14:paraId="5CDEE855" w14:textId="7B9EDBB5">
    <w:pPr>
      <w:pStyle w:val="Header"/>
      <w:tabs>
        <w:tab w:val="left" w:pos="493"/>
        <w:tab w:val="center" w:pos="4111"/>
        <w:tab w:val="clear" w:pos="4153"/>
        <w:tab w:val="right" w:pos="7478"/>
        <w:tab w:val="right" w:pos="8222"/>
        <w:tab w:val="clear" w:pos="8306"/>
      </w:tabs>
      <w:jc w:val="left"/>
      <w:rPr>
        <w:rFonts w:ascii="Tahoma" w:hAnsi="Tahoma" w:cs="Tahoma"/>
        <w:color w:val="002060"/>
        <w:sz w:val="18"/>
        <w:szCs w:val="18"/>
      </w:rPr>
    </w:pPr>
  </w:p>
  <w:p w:rsidR="00F73EE0" w:rsidP="00F2565F" w14:paraId="5465C61E" w14:textId="4E2E39C0">
    <w:pPr>
      <w:pStyle w:val="Header"/>
      <w:tabs>
        <w:tab w:val="left" w:pos="493"/>
        <w:tab w:val="center" w:pos="4111"/>
        <w:tab w:val="clear" w:pos="4153"/>
        <w:tab w:val="right" w:pos="7478"/>
        <w:tab w:val="right" w:pos="8222"/>
        <w:tab w:val="clear" w:pos="8306"/>
      </w:tabs>
      <w:jc w:val="right"/>
      <w:rPr>
        <w:rFonts w:ascii="Tahoma" w:hAnsi="Tahoma" w:cs="Tahoma"/>
        <w:color w:val="002060"/>
        <w:sz w:val="18"/>
        <w:szCs w:val="18"/>
      </w:rPr>
    </w:pPr>
  </w:p>
  <w:p w:rsidR="00F73EE0" w:rsidP="007255AF" w14:paraId="268AFC17" w14:textId="6F16F421">
    <w:pPr>
      <w:pStyle w:val="Header"/>
      <w:tabs>
        <w:tab w:val="left" w:pos="493"/>
        <w:tab w:val="center" w:pos="4111"/>
        <w:tab w:val="clear" w:pos="4153"/>
        <w:tab w:val="right" w:pos="7478"/>
        <w:tab w:val="right" w:pos="8222"/>
        <w:tab w:val="clear" w:pos="8306"/>
      </w:tabs>
      <w:jc w:val="left"/>
      <w:rPr>
        <w:rFonts w:ascii="Tahoma" w:hAnsi="Tahoma" w:cs="Tahoma"/>
        <w:color w:val="002060"/>
        <w:sz w:val="18"/>
        <w:szCs w:val="18"/>
      </w:rPr>
    </w:pPr>
  </w:p>
  <w:p w:rsidR="00F73EE0" w:rsidP="007255AF" w14:paraId="3BA5282B" w14:textId="0DF822A9">
    <w:pPr>
      <w:pStyle w:val="Header"/>
      <w:tabs>
        <w:tab w:val="left" w:pos="493"/>
        <w:tab w:val="center" w:pos="4111"/>
        <w:tab w:val="clear" w:pos="4153"/>
        <w:tab w:val="right" w:pos="7478"/>
        <w:tab w:val="right" w:pos="8222"/>
        <w:tab w:val="clear" w:pos="8306"/>
      </w:tabs>
      <w:jc w:val="left"/>
      <w:rPr>
        <w:rFonts w:ascii="Tahoma" w:hAnsi="Tahoma" w:cs="Tahoma"/>
        <w:color w:val="002060"/>
        <w:sz w:val="18"/>
        <w:szCs w:val="18"/>
      </w:rPr>
    </w:pPr>
  </w:p>
  <w:p w:rsidR="00F73EE0" w:rsidP="00A33696" w14:paraId="0929BB0C" w14:textId="43D2B28E">
    <w:pPr>
      <w:pStyle w:val="Header"/>
      <w:tabs>
        <w:tab w:val="left" w:pos="493"/>
        <w:tab w:val="clear" w:pos="4153"/>
        <w:tab w:val="left" w:pos="5150"/>
        <w:tab w:val="clear" w:pos="8306"/>
      </w:tabs>
      <w:rPr>
        <w:rtl/>
      </w:rPr>
    </w:pPr>
    <w:r>
      <w:rPr>
        <w:rFonts w:ascii="Tahoma" w:hAnsi="Tahoma" w:cs="Tahoma"/>
        <w:noProof/>
        <w:color w:val="002060"/>
        <w:sz w:val="18"/>
        <w:szCs w:val="18"/>
      </w:rPr>
      <w:drawing>
        <wp:anchor distT="0" distB="0" distL="114300" distR="114300" simplePos="0" relativeHeight="251666432" behindDoc="0" locked="0" layoutInCell="1" allowOverlap="1">
          <wp:simplePos x="0" y="0"/>
          <wp:positionH relativeFrom="column">
            <wp:posOffset>4362450</wp:posOffset>
          </wp:positionH>
          <wp:positionV relativeFrom="paragraph">
            <wp:posOffset>6170</wp:posOffset>
          </wp:positionV>
          <wp:extent cx="248285" cy="298450"/>
          <wp:effectExtent l="0" t="0" r="0" b="6350"/>
          <wp:wrapNone/>
          <wp:docPr id="2052772016"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72016" name="Picture 6"/>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248285" cy="298450"/>
                  </a:xfrm>
                  <a:prstGeom prst="rect">
                    <a:avLst/>
                  </a:prstGeom>
                </pic:spPr>
              </pic:pic>
            </a:graphicData>
          </a:graphic>
          <wp14:sizeRelH relativeFrom="margin">
            <wp14:pctWidth>0</wp14:pctWidth>
          </wp14:sizeRelH>
          <wp14:sizeRelV relativeFrom="margin">
            <wp14:pctHeight>0</wp14:pctHeight>
          </wp14:sizeRelV>
        </wp:anchor>
      </w:drawing>
    </w:r>
    <w:r w:rsidRPr="006637B9">
      <w:rPr>
        <w:rFonts w:ascii="Tahoma" w:hAnsi="Tahoma" w:cs="Tahoma"/>
        <w:noProof/>
        <w:color w:val="002060"/>
        <w:sz w:val="18"/>
        <w:szCs w:val="18"/>
      </w:rPr>
      <mc:AlternateContent>
        <mc:Choice Requires="wps">
          <w:drawing>
            <wp:inline distT="0" distB="0" distL="0" distR="0">
              <wp:extent cx="3317344" cy="280800"/>
              <wp:effectExtent l="0" t="0" r="0" b="6350"/>
              <wp:docPr id="18"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317344" cy="280800"/>
                      </a:xfrm>
                      <a:prstGeom prst="rect">
                        <a:avLst/>
                      </a:prstGeom>
                      <a:solidFill>
                        <a:srgbClr val="FFFFFF"/>
                      </a:solidFill>
                      <a:ln w="9525">
                        <a:noFill/>
                        <a:miter lim="800000"/>
                        <a:headEnd/>
                        <a:tailEnd/>
                      </a:ln>
                    </wps:spPr>
                    <wps:txbx>
                      <w:txbxContent>
                        <w:p w:rsidR="00F73EE0" w:rsidP="006637B9" w14:textId="2DD687FA">
                          <w:pPr>
                            <w:jc w:val="left"/>
                          </w:pPr>
                          <w:r>
                            <w:rPr>
                              <w:rFonts w:ascii="Tahoma" w:hAnsi="Tahoma" w:cs="Tahoma" w:hint="cs"/>
                              <w:color w:val="002060"/>
                              <w:sz w:val="18"/>
                              <w:szCs w:val="18"/>
                              <w:rtl/>
                            </w:rPr>
                            <w:t xml:space="preserve">         החינוך החרדי והפיקוח עליו</w:t>
                          </w:r>
                          <w:r>
                            <w:rPr>
                              <w:rFonts w:hint="cs"/>
                              <w:rtl/>
                            </w:rPr>
                            <w:t xml:space="preserve">         </w:t>
                          </w:r>
                        </w:p>
                      </w:txbxContent>
                    </wps:txbx>
                    <wps:bodyPr rot="0" vert="horz" wrap="square" lIns="91440" tIns="45720" rIns="91440" bIns="45720" anchor="t" anchorCtr="0">
                      <a:spAutoFit/>
                    </wps:bodyPr>
                  </wps:wsp>
                </a:graphicData>
              </a:graphic>
            </wp:inline>
          </w:drawing>
        </mc:Choice>
        <mc:Fallback>
          <w:pict>
            <v:shapetype id="_x0000_t202" coordsize="21600,21600" o:spt="202" path="m,l,21600r21600,l21600,xe">
              <v:stroke joinstyle="miter"/>
              <v:path gradientshapeok="t" o:connecttype="rect"/>
            </v:shapetype>
            <v:shape id="Text Box 2" o:spid="_x0000_i2049" type="#_x0000_t202" style="width:261.2pt;height:22.1pt;mso-left-percent:-10001;mso-position-horizontal-relative:char;mso-position-vertical-relative:line;mso-top-percent:-10001;mso-wrap-style:square;visibility:visible;v-text-anchor:top" stroked="f">
              <v:textbox style="mso-fit-shape-to-text:t">
                <w:txbxContent>
                  <w:p w:rsidR="00F73EE0" w:rsidP="006637B9" w14:paraId="7647DFBB" w14:textId="2DD687FA">
                    <w:pPr>
                      <w:jc w:val="left"/>
                    </w:pPr>
                    <w:r>
                      <w:rPr>
                        <w:rFonts w:ascii="Tahoma" w:hAnsi="Tahoma" w:cs="Tahoma" w:hint="cs"/>
                        <w:color w:val="002060"/>
                        <w:sz w:val="18"/>
                        <w:szCs w:val="18"/>
                        <w:rtl/>
                      </w:rPr>
                      <w:t xml:space="preserve">         החינוך החרדי והפיקוח עליו</w:t>
                    </w:r>
                    <w:r>
                      <w:rPr>
                        <w:rFonts w:hint="cs"/>
                        <w:rtl/>
                      </w:rPr>
                      <w:t xml:space="preserve">         </w:t>
                    </w:r>
                  </w:p>
                </w:txbxContent>
              </v:textbox>
              <w10:wrap type="none"/>
              <w10:anchorlock/>
            </v:shape>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-1554480</wp:posOffset>
              </wp:positionH>
              <wp:positionV relativeFrom="paragraph">
                <wp:posOffset>382270</wp:posOffset>
              </wp:positionV>
              <wp:extent cx="7632700" cy="0"/>
              <wp:effectExtent l="0" t="0" r="0" b="0"/>
              <wp:wrapNone/>
              <wp:docPr id="7" name="Straight Connector 7"/>
              <wp:cNvGraphicFramePr/>
              <a:graphic xmlns:a="http://schemas.openxmlformats.org/drawingml/2006/main">
                <a:graphicData uri="http://schemas.microsoft.com/office/word/2010/wordprocessingShape">
                  <wps:wsp xmlns:wps="http://schemas.microsoft.com/office/word/2010/wordprocessingShape">
                    <wps:cNvCnPr/>
                    <wps:spPr>
                      <a:xfrm flipH="1">
                        <a:off x="0" y="0"/>
                        <a:ext cx="7632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 o:spid="_x0000_s2050" style="flip:x;mso-height-percent:0;mso-height-relative:margin;mso-width-percent:0;mso-width-relative:margin;mso-wrap-distance-bottom:0;mso-wrap-distance-left:9pt;mso-wrap-distance-right:9pt;mso-wrap-distance-top:0;mso-wrap-style:square;position:absolute;visibility:visible;z-index:251665408" from="-122.4pt,30.1pt" to="478.6pt,30.1pt" strokecolor="#1cade4"/>
          </w:pict>
        </mc:Fallback>
      </mc:AlternateContent>
    </w:r>
    <w:r>
      <w:rPr>
        <w:rFonts w:ascii="Tahoma" w:hAnsi="Tahoma" w:cs="Tahoma"/>
        <w:color w:val="002060"/>
        <w:sz w:val="18"/>
        <w:szCs w:val="18"/>
      </w:rPr>
      <w:tab/>
    </w:r>
    <w:r>
      <w:rPr>
        <w:rtl/>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73EE0" w:rsidP="001526AC" w14:paraId="1C6E1265" w14:textId="57D3164D">
    <w:pPr>
      <w:pStyle w:val="Header"/>
      <w:tabs>
        <w:tab w:val="left" w:pos="493"/>
        <w:tab w:val="center" w:pos="4111"/>
        <w:tab w:val="clear" w:pos="4153"/>
        <w:tab w:val="right" w:pos="7478"/>
        <w:tab w:val="right" w:pos="8222"/>
        <w:tab w:val="clear" w:pos="8306"/>
      </w:tabs>
      <w:jc w:val="left"/>
      <w:rPr>
        <w:rtl/>
      </w:rPr>
    </w:pPr>
    <w:r>
      <w:rPr>
        <w:noProof/>
        <w:rtl/>
        <w:lang w:val="he-IL"/>
      </w:rPr>
      <mc:AlternateContent>
        <mc:Choice Requires="wps">
          <w:drawing>
            <wp:anchor distT="0" distB="0" distL="114300" distR="114300" simplePos="0" relativeHeight="251672576" behindDoc="1" locked="0" layoutInCell="1" allowOverlap="1">
              <wp:simplePos x="0" y="0"/>
              <wp:positionH relativeFrom="margin">
                <wp:posOffset>-955675</wp:posOffset>
              </wp:positionH>
              <wp:positionV relativeFrom="margin">
                <wp:posOffset>-1052830</wp:posOffset>
              </wp:positionV>
              <wp:extent cx="6480000" cy="9000000"/>
              <wp:effectExtent l="0" t="0" r="16510" b="10795"/>
              <wp:wrapNone/>
              <wp:docPr id="53" name="Text Box 53"/>
              <wp:cNvGraphicFramePr/>
              <a:graphic xmlns:a="http://schemas.openxmlformats.org/drawingml/2006/main">
                <a:graphicData uri="http://schemas.microsoft.com/office/word/2010/wordprocessingShape">
                  <wps:wsp xmlns:wps="http://schemas.microsoft.com/office/word/2010/wordprocessingShape">
                    <wps:cNvSpPr txBox="1"/>
                    <wps:spPr>
                      <a:xfrm>
                        <a:off x="0" y="0"/>
                        <a:ext cx="6480000" cy="9000000"/>
                      </a:xfrm>
                      <a:prstGeom prst="rect">
                        <a:avLst/>
                      </a:prstGeom>
                      <a:noFill/>
                      <a:ln w="3175">
                        <a:solidFill>
                          <a:schemeClr val="bg1">
                            <a:lumMod val="65000"/>
                          </a:schemeClr>
                        </a:solidFill>
                        <a:prstDash val="lgDash"/>
                      </a:ln>
                    </wps:spPr>
                    <wps:txbx>
                      <w:txbxContent>
                        <w:p w:rsidR="00F73EE0" w:rsidRPr="00FD02CC" w:rsidP="006E67D8" w14:textId="008297F6">
                          <w:pPr>
                            <w:rPr>
                              <w:color w:val="FFFFFF" w:themeColor="background1"/>
                              <w14:textOutline w14:w="19050" w14:cap="rnd" w14:cmpd="dbl">
                                <w14:solidFill>
                                  <w14:schemeClr w14:val="bg1">
                                    <w14:lumMod w14:val="65000"/>
                                  </w14:schemeClr>
                                </w14:solidFill>
                                <w14:prstDash w14:val="dash"/>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3" o:spid="_x0000_s2051" type="#_x0000_t202" style="width:510.25pt;height:708.65pt;margin-top:-82.9pt;margin-left:-75.2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top;z-index:-251642880" filled="f" strokecolor="#a5a5a5" strokeweight="0.25pt">
              <v:stroke dashstyle="longDash"/>
              <v:textbox>
                <w:txbxContent>
                  <w:p w:rsidR="00F73EE0" w:rsidRPr="00FD02CC" w:rsidP="006E67D8" w14:paraId="3092A244" w14:textId="008297F6">
                    <w:pPr>
                      <w:rPr>
                        <w:color w:val="FFFFFF" w:themeColor="background1"/>
                        <w14:textOutline w14:w="19050" w14:cap="rnd" w14:cmpd="dbl">
                          <w14:solidFill>
                            <w14:schemeClr w14:val="bg1">
                              <w14:lumMod w14:val="65000"/>
                            </w14:schemeClr>
                          </w14:solidFill>
                          <w14:prstDash w14:val="dash"/>
                          <w14:bevel/>
                        </w14:textOutline>
                      </w:rPr>
                    </w:pPr>
                  </w:p>
                </w:txbxContent>
              </v:textbox>
              <w10:wrap anchorx="margin" anchory="margin"/>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-716280</wp:posOffset>
              </wp:positionH>
              <wp:positionV relativeFrom="paragraph">
                <wp:posOffset>-729615</wp:posOffset>
              </wp:positionV>
              <wp:extent cx="304800" cy="7958455"/>
              <wp:effectExtent l="0" t="0" r="19050" b="23495"/>
              <wp:wrapSquare wrapText="bothSides"/>
              <wp:docPr id="41" name="Text Box 1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04800" cy="7958455"/>
                      </a:xfrm>
                      <a:prstGeom prst="rect">
                        <a:avLst/>
                      </a:prstGeom>
                      <a:solidFill>
                        <a:srgbClr val="00305F"/>
                      </a:solidFill>
                      <a:ln>
                        <a:solidFill>
                          <a:srgbClr val="00305F"/>
                        </a:solidFill>
                      </a:ln>
                    </wps:spPr>
                    <wps:txbx>
                      <w:txbxContent>
                        <w:p w:rsidR="00F73EE0" w:rsidRPr="009B7D1B" w:rsidP="007E7763" w14:textId="4239374C">
                          <w:pPr>
                            <w:pStyle w:val="Bodytext70"/>
                            <w:shd w:val="clear" w:color="auto" w:fill="003060"/>
                            <w:rPr>
                              <w:rFonts w:ascii="Tahoma" w:hAnsi="Tahoma" w:cs="Tahoma"/>
                              <w:b/>
                              <w:bCs/>
                              <w:rtl/>
                            </w:rPr>
                          </w:pPr>
                          <w:r>
                            <w:rPr>
                              <w:rStyle w:val="Bodytext7NotBoldExact"/>
                              <w:rFonts w:hint="cs"/>
                              <w:rtl/>
                            </w:rPr>
                            <w:t>....ה</w:t>
                          </w:r>
                          <w:r>
                            <w:rPr>
                              <w:rFonts w:hint="cs"/>
                              <w:rtl/>
                            </w:rPr>
                            <w:t xml:space="preserve">                                    </w:t>
                          </w:r>
                          <w:r w:rsidR="00055BE3">
                            <w:rPr>
                              <w:rFonts w:hint="cs"/>
                              <w:rtl/>
                            </w:rPr>
                            <w:t xml:space="preserve">   </w:t>
                          </w:r>
                          <w:r>
                            <w:rPr>
                              <w:rFonts w:hint="cs"/>
                              <w:rtl/>
                            </w:rPr>
                            <w:t xml:space="preserve">     </w:t>
                          </w:r>
                          <w:r w:rsidRPr="00565F1B">
                            <w:rPr>
                              <w:rFonts w:ascii="Tahoma" w:hAnsi="Tahoma" w:cs="Tahoma" w:hint="cs"/>
                              <w:sz w:val="24"/>
                              <w:szCs w:val="24"/>
                              <w:rtl/>
                            </w:rPr>
                            <w:t xml:space="preserve">תקציר </w:t>
                          </w:r>
                          <w:r w:rsidRPr="00565F1B">
                            <w:rPr>
                              <w:rFonts w:ascii="Tahoma" w:hAnsi="Tahoma" w:cs="Tahoma" w:hint="cs"/>
                              <w:rtl/>
                            </w:rPr>
                            <w:t xml:space="preserve"> |</w:t>
                          </w:r>
                          <w:r w:rsidRPr="00565F1B" w:rsidR="00A57B23">
                            <w:rPr>
                              <w:rFonts w:ascii="Tahoma" w:hAnsi="Tahoma" w:cs="Tahoma" w:hint="cs"/>
                              <w:sz w:val="24"/>
                              <w:szCs w:val="24"/>
                              <w:rtl/>
                            </w:rPr>
                            <w:t xml:space="preserve"> </w:t>
                          </w:r>
                          <w:r w:rsidRPr="00565F1B" w:rsidR="00A57B23">
                            <w:rPr>
                              <w:rFonts w:ascii="Tahoma" w:hAnsi="Tahoma" w:cs="Tahoma" w:hint="cs"/>
                              <w:rtl/>
                            </w:rPr>
                            <w:t xml:space="preserve"> </w:t>
                          </w:r>
                          <w:r w:rsidRPr="007E7763" w:rsidR="007E7763">
                            <w:rPr>
                              <w:rFonts w:ascii="Tahoma" w:hAnsi="Tahoma" w:cs="Tahoma"/>
                              <w:b/>
                              <w:bCs/>
                              <w:rtl/>
                            </w:rPr>
                            <w:t xml:space="preserve">ניהול זיכיון ים המלח והפיקוח עליו - היבטים בתחומי </w:t>
                          </w:r>
                          <w:r w:rsidRPr="009D496A" w:rsidR="009D496A">
                            <w:rPr>
                              <w:rFonts w:ascii="Tahoma" w:hAnsi="Tahoma" w:cs="Tahoma"/>
                              <w:b/>
                              <w:bCs/>
                              <w:rtl/>
                            </w:rPr>
                            <w:t>הסביבה והמקרקעין</w:t>
                          </w:r>
                        </w:p>
                      </w:txbxContent>
                    </wps:txbx>
                    <wps:bodyPr rot="0" vert="vert270"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17" o:spid="_x0000_s2052" type="#_x0000_t202" alt="&quot;&quot;" style="width:24pt;height:626.65pt;margin-top:-57.45pt;margin-left:-56.4pt;mso-height-percent:0;mso-height-relative:margin;mso-width-percent:0;mso-width-relative:margin;mso-wrap-distance-bottom:0;mso-wrap-distance-left:9pt;mso-wrap-distance-right:9pt;mso-wrap-distance-top:0;mso-wrap-style:square;position:absolute;visibility:visible;v-text-anchor:top;z-index:251663360" fillcolor="#00305f" strokecolor="#00305f">
              <v:textbox style="layout-flow:vertical;mso-layout-flow-alt:bottom-to-top" inset="0,0,0,0">
                <w:txbxContent>
                  <w:p w:rsidR="00F73EE0" w:rsidRPr="009B7D1B" w:rsidP="007E7763" w14:paraId="77809697" w14:textId="4239374C">
                    <w:pPr>
                      <w:pStyle w:val="Bodytext70"/>
                      <w:shd w:val="clear" w:color="auto" w:fill="003060"/>
                      <w:rPr>
                        <w:rFonts w:ascii="Tahoma" w:hAnsi="Tahoma" w:cs="Tahoma"/>
                        <w:b/>
                        <w:bCs/>
                        <w:rtl/>
                      </w:rPr>
                    </w:pPr>
                    <w:r>
                      <w:rPr>
                        <w:rStyle w:val="Bodytext7NotBoldExact"/>
                        <w:rFonts w:hint="cs"/>
                        <w:rtl/>
                      </w:rPr>
                      <w:t>....ה</w:t>
                    </w:r>
                    <w:r>
                      <w:rPr>
                        <w:rFonts w:hint="cs"/>
                        <w:rtl/>
                      </w:rPr>
                      <w:t xml:space="preserve">                                    </w:t>
                    </w:r>
                    <w:r w:rsidR="00055BE3">
                      <w:rPr>
                        <w:rFonts w:hint="cs"/>
                        <w:rtl/>
                      </w:rPr>
                      <w:t xml:space="preserve">   </w:t>
                    </w:r>
                    <w:r>
                      <w:rPr>
                        <w:rFonts w:hint="cs"/>
                        <w:rtl/>
                      </w:rPr>
                      <w:t xml:space="preserve">     </w:t>
                    </w:r>
                    <w:r w:rsidRPr="00565F1B">
                      <w:rPr>
                        <w:rFonts w:ascii="Tahoma" w:hAnsi="Tahoma" w:cs="Tahoma" w:hint="cs"/>
                        <w:sz w:val="24"/>
                        <w:szCs w:val="24"/>
                        <w:rtl/>
                      </w:rPr>
                      <w:t xml:space="preserve">תקציר </w:t>
                    </w:r>
                    <w:r w:rsidRPr="00565F1B">
                      <w:rPr>
                        <w:rFonts w:ascii="Tahoma" w:hAnsi="Tahoma" w:cs="Tahoma" w:hint="cs"/>
                        <w:rtl/>
                      </w:rPr>
                      <w:t xml:space="preserve"> |</w:t>
                    </w:r>
                    <w:r w:rsidRPr="00565F1B" w:rsidR="00A57B23">
                      <w:rPr>
                        <w:rFonts w:ascii="Tahoma" w:hAnsi="Tahoma" w:cs="Tahoma" w:hint="cs"/>
                        <w:sz w:val="24"/>
                        <w:szCs w:val="24"/>
                        <w:rtl/>
                      </w:rPr>
                      <w:t xml:space="preserve"> </w:t>
                    </w:r>
                    <w:r w:rsidRPr="00565F1B" w:rsidR="00A57B23">
                      <w:rPr>
                        <w:rFonts w:ascii="Tahoma" w:hAnsi="Tahoma" w:cs="Tahoma" w:hint="cs"/>
                        <w:rtl/>
                      </w:rPr>
                      <w:t xml:space="preserve"> </w:t>
                    </w:r>
                    <w:r w:rsidRPr="007E7763" w:rsidR="007E7763">
                      <w:rPr>
                        <w:rFonts w:ascii="Tahoma" w:hAnsi="Tahoma" w:cs="Tahoma"/>
                        <w:b/>
                        <w:bCs/>
                        <w:rtl/>
                      </w:rPr>
                      <w:t xml:space="preserve">ניהול זיכיון ים המלח והפיקוח עליו - היבטים בתחומי </w:t>
                    </w:r>
                    <w:r w:rsidRPr="009D496A" w:rsidR="009D496A">
                      <w:rPr>
                        <w:rFonts w:ascii="Tahoma" w:hAnsi="Tahoma" w:cs="Tahoma"/>
                        <w:b/>
                        <w:bCs/>
                        <w:rtl/>
                      </w:rPr>
                      <w:t>הסביבה והמקרקעין</w:t>
                    </w:r>
                  </w:p>
                </w:txbxContent>
              </v:textbox>
              <w10:wrap type="square"/>
            </v:shape>
          </w:pict>
        </mc:Fallback>
      </mc:AlternateContent>
    </w:r>
  </w:p>
  <w:p w:rsidR="00F73EE0" w:rsidP="001526AC" w14:paraId="18DE0C7A" w14:textId="26DB997D">
    <w:pPr>
      <w:pStyle w:val="Header"/>
      <w:tabs>
        <w:tab w:val="left" w:pos="493"/>
        <w:tab w:val="center" w:pos="4111"/>
        <w:tab w:val="clear" w:pos="4153"/>
        <w:tab w:val="right" w:pos="7478"/>
        <w:tab w:val="right" w:pos="8222"/>
        <w:tab w:val="clear" w:pos="8306"/>
      </w:tabs>
      <w:jc w:val="left"/>
      <w:rPr>
        <w:rtl/>
      </w:rPr>
    </w:pPr>
  </w:p>
  <w:p w:rsidR="00F73EE0" w:rsidRPr="001526AC" w:rsidP="00005B23" w14:paraId="1172F310" w14:textId="5FF71C21">
    <w:pPr>
      <w:pStyle w:val="Header"/>
      <w:tabs>
        <w:tab w:val="left" w:pos="493"/>
        <w:tab w:val="center" w:pos="4111"/>
        <w:tab w:val="clear" w:pos="4153"/>
        <w:tab w:val="right" w:pos="7478"/>
        <w:tab w:val="right" w:pos="8222"/>
        <w:tab w:val="clear" w:pos="8306"/>
      </w:tabs>
      <w:jc w:val="left"/>
      <w:rPr>
        <w:rtl/>
      </w:rPr>
    </w:pPr>
    <w:r w:rsidRPr="00BB30F3">
      <w:rPr>
        <w:rFonts w:ascii="Tahoma" w:hAnsi="Tahoma" w:cs="Tahoma"/>
        <w:noProof/>
        <w:color w:val="002060"/>
        <w:sz w:val="18"/>
        <w:szCs w:val="18"/>
      </w:rPr>
      <mc:AlternateContent>
        <mc:Choice Requires="wps">
          <w:drawing>
            <wp:anchor distT="45720" distB="45720" distL="114300" distR="114300" simplePos="0" relativeHeight="251658240" behindDoc="0" locked="0" layoutInCell="1" allowOverlap="1">
              <wp:simplePos x="0" y="0"/>
              <wp:positionH relativeFrom="column">
                <wp:posOffset>274320</wp:posOffset>
              </wp:positionH>
              <wp:positionV relativeFrom="paragraph">
                <wp:posOffset>351791</wp:posOffset>
              </wp:positionV>
              <wp:extent cx="4459740" cy="231866"/>
              <wp:effectExtent l="0" t="0" r="10795" b="9525"/>
              <wp:wrapNone/>
              <wp:docPr id="4" name="Text Box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459740" cy="231866"/>
                      </a:xfrm>
                      <a:prstGeom prst="rect">
                        <a:avLst/>
                      </a:prstGeom>
                      <a:solidFill>
                        <a:srgbClr val="FFFFFF"/>
                      </a:solidFill>
                      <a:ln w="9525">
                        <a:solidFill>
                          <a:schemeClr val="bg1"/>
                        </a:solidFill>
                        <a:miter lim="800000"/>
                        <a:headEnd/>
                        <a:tailEnd/>
                      </a:ln>
                    </wps:spPr>
                    <wps:txbx>
                      <w:txbxContent>
                        <w:p w:rsidR="007E7763" w:rsidRPr="00C55DC9" w:rsidP="007E7763" w14:textId="7707F0C4">
                          <w:pPr>
                            <w:jc w:val="right"/>
                            <w:rPr>
                              <w:color w:val="0D0D0D" w:themeColor="text1" w:themeTint="F2"/>
                              <w:sz w:val="16"/>
                              <w:szCs w:val="16"/>
                            </w:rPr>
                          </w:pPr>
                          <w:r w:rsidRPr="00B66A3F">
                            <w:rPr>
                              <w:rFonts w:ascii="Tahoma" w:hAnsi="Tahoma" w:cs="Tahoma"/>
                              <w:color w:val="0D0D0D"/>
                              <w:sz w:val="16"/>
                              <w:szCs w:val="16"/>
                              <w:rtl/>
                            </w:rPr>
                            <w:t>מבקר המדינה</w:t>
                          </w:r>
                          <w:r w:rsidR="00784B1E">
                            <w:rPr>
                              <w:rFonts w:ascii="Tahoma" w:hAnsi="Tahoma" w:cs="Tahoma" w:hint="cs"/>
                              <w:color w:val="0D0D0D"/>
                              <w:sz w:val="16"/>
                              <w:szCs w:val="16"/>
                              <w:rtl/>
                            </w:rPr>
                            <w:t xml:space="preserve"> </w:t>
                          </w:r>
                          <w:r w:rsidR="001C3CE8">
                            <w:rPr>
                              <w:rFonts w:ascii="Tahoma" w:hAnsi="Tahoma" w:cs="Tahoma" w:hint="cs"/>
                              <w:color w:val="0D0D0D"/>
                              <w:sz w:val="16"/>
                              <w:szCs w:val="16"/>
                              <w:rtl/>
                            </w:rPr>
                            <w:t>-</w:t>
                          </w:r>
                          <w:r w:rsidR="00784B1E">
                            <w:rPr>
                              <w:rFonts w:ascii="Tahoma" w:hAnsi="Tahoma" w:cs="Tahoma" w:hint="cs"/>
                              <w:color w:val="0D0D0D"/>
                              <w:sz w:val="16"/>
                              <w:szCs w:val="16"/>
                              <w:rtl/>
                            </w:rPr>
                            <w:t xml:space="preserve"> דוח מיוחד</w:t>
                          </w:r>
                          <w:r w:rsidRPr="00B66A3F">
                            <w:rPr>
                              <w:rFonts w:ascii="Tahoma" w:hAnsi="Tahoma" w:cs="Tahoma"/>
                              <w:color w:val="0D0D0D"/>
                              <w:sz w:val="16"/>
                              <w:szCs w:val="16"/>
                              <w:rtl/>
                            </w:rPr>
                            <w:t xml:space="preserve"> | </w:t>
                          </w:r>
                          <w:r w:rsidR="001E2DD8">
                            <w:rPr>
                              <w:rFonts w:ascii="Tahoma" w:hAnsi="Tahoma" w:cs="Tahoma" w:hint="cs"/>
                              <w:color w:val="0D0D0D"/>
                              <w:sz w:val="16"/>
                              <w:szCs w:val="16"/>
                              <w:rtl/>
                            </w:rPr>
                            <w:t>אדר</w:t>
                          </w:r>
                          <w:r w:rsidRPr="00B66A3F">
                            <w:rPr>
                              <w:rFonts w:ascii="Tahoma" w:hAnsi="Tahoma" w:cs="Tahoma"/>
                              <w:color w:val="0D0D0D"/>
                              <w:sz w:val="16"/>
                              <w:szCs w:val="16"/>
                              <w:rtl/>
                            </w:rPr>
                            <w:t xml:space="preserve"> </w:t>
                          </w:r>
                          <w:r w:rsidRPr="00B66A3F">
                            <w:rPr>
                              <w:rFonts w:ascii="Tahoma" w:hAnsi="Tahoma" w:cs="Tahoma"/>
                              <w:color w:val="0D0D0D"/>
                              <w:sz w:val="16"/>
                              <w:szCs w:val="16"/>
                              <w:rtl/>
                            </w:rPr>
                            <w:t>התשפ"ה</w:t>
                          </w:r>
                          <w:r w:rsidRPr="00B66A3F">
                            <w:rPr>
                              <w:rFonts w:ascii="Tahoma" w:hAnsi="Tahoma" w:cs="Tahoma"/>
                              <w:color w:val="0D0D0D"/>
                              <w:sz w:val="16"/>
                              <w:szCs w:val="16"/>
                              <w:rtl/>
                            </w:rPr>
                            <w:t xml:space="preserve"> | </w:t>
                          </w:r>
                          <w:r w:rsidR="001E2DD8">
                            <w:rPr>
                              <w:rFonts w:ascii="Tahoma" w:hAnsi="Tahoma" w:cs="Tahoma" w:hint="cs"/>
                              <w:color w:val="0D0D0D"/>
                              <w:sz w:val="16"/>
                              <w:szCs w:val="16"/>
                              <w:rtl/>
                            </w:rPr>
                            <w:t>מרץ</w:t>
                          </w:r>
                          <w:r w:rsidRPr="00B66A3F">
                            <w:rPr>
                              <w:rFonts w:ascii="Tahoma" w:hAnsi="Tahoma" w:cs="Tahoma"/>
                              <w:color w:val="0D0D0D"/>
                              <w:sz w:val="16"/>
                              <w:szCs w:val="16"/>
                              <w:rtl/>
                            </w:rPr>
                            <w:t xml:space="preserve"> 2025</w:t>
                          </w:r>
                        </w:p>
                        <w:p w:rsidR="00F73EE0" w:rsidRPr="007E7763" w:rsidP="00B244B0" w14:textId="3141614C">
                          <w:pPr>
                            <w:jc w:val="right"/>
                            <w:rPr>
                              <w:color w:val="0D0D0D" w:themeColor="text1" w:themeTint="F2"/>
                              <w:sz w:val="16"/>
                              <w:szCs w:val="16"/>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2053" type="#_x0000_t202" alt="&quot;&quot;" style="width:351.15pt;height:18.25pt;margin-top:27.7pt;margin-left:21.6pt;mso-height-percent:0;mso-height-relative:margin;mso-width-percent:0;mso-width-relative:margin;mso-wrap-distance-bottom:3.6pt;mso-wrap-distance-left:9pt;mso-wrap-distance-right:9pt;mso-wrap-distance-top:3.6pt;mso-wrap-style:square;position:absolute;visibility:visible;v-text-anchor:top;z-index:251659264" strokecolor="white">
              <v:textbox>
                <w:txbxContent>
                  <w:p w:rsidR="007E7763" w:rsidRPr="00C55DC9" w:rsidP="007E7763" w14:paraId="343E69E4" w14:textId="7707F0C4">
                    <w:pPr>
                      <w:jc w:val="right"/>
                      <w:rPr>
                        <w:color w:val="0D0D0D" w:themeColor="text1" w:themeTint="F2"/>
                        <w:sz w:val="16"/>
                        <w:szCs w:val="16"/>
                      </w:rPr>
                    </w:pPr>
                    <w:r w:rsidRPr="00B66A3F">
                      <w:rPr>
                        <w:rFonts w:ascii="Tahoma" w:hAnsi="Tahoma" w:cs="Tahoma"/>
                        <w:color w:val="0D0D0D"/>
                        <w:sz w:val="16"/>
                        <w:szCs w:val="16"/>
                        <w:rtl/>
                      </w:rPr>
                      <w:t>מבקר המדינה</w:t>
                    </w:r>
                    <w:r w:rsidR="00784B1E">
                      <w:rPr>
                        <w:rFonts w:ascii="Tahoma" w:hAnsi="Tahoma" w:cs="Tahoma" w:hint="cs"/>
                        <w:color w:val="0D0D0D"/>
                        <w:sz w:val="16"/>
                        <w:szCs w:val="16"/>
                        <w:rtl/>
                      </w:rPr>
                      <w:t xml:space="preserve"> </w:t>
                    </w:r>
                    <w:r w:rsidR="001C3CE8">
                      <w:rPr>
                        <w:rFonts w:ascii="Tahoma" w:hAnsi="Tahoma" w:cs="Tahoma" w:hint="cs"/>
                        <w:color w:val="0D0D0D"/>
                        <w:sz w:val="16"/>
                        <w:szCs w:val="16"/>
                        <w:rtl/>
                      </w:rPr>
                      <w:t>-</w:t>
                    </w:r>
                    <w:r w:rsidR="00784B1E">
                      <w:rPr>
                        <w:rFonts w:ascii="Tahoma" w:hAnsi="Tahoma" w:cs="Tahoma" w:hint="cs"/>
                        <w:color w:val="0D0D0D"/>
                        <w:sz w:val="16"/>
                        <w:szCs w:val="16"/>
                        <w:rtl/>
                      </w:rPr>
                      <w:t xml:space="preserve"> דוח מיוחד</w:t>
                    </w:r>
                    <w:r w:rsidRPr="00B66A3F">
                      <w:rPr>
                        <w:rFonts w:ascii="Tahoma" w:hAnsi="Tahoma" w:cs="Tahoma"/>
                        <w:color w:val="0D0D0D"/>
                        <w:sz w:val="16"/>
                        <w:szCs w:val="16"/>
                        <w:rtl/>
                      </w:rPr>
                      <w:t xml:space="preserve"> | </w:t>
                    </w:r>
                    <w:r w:rsidR="001E2DD8">
                      <w:rPr>
                        <w:rFonts w:ascii="Tahoma" w:hAnsi="Tahoma" w:cs="Tahoma" w:hint="cs"/>
                        <w:color w:val="0D0D0D"/>
                        <w:sz w:val="16"/>
                        <w:szCs w:val="16"/>
                        <w:rtl/>
                      </w:rPr>
                      <w:t>אדר</w:t>
                    </w:r>
                    <w:r w:rsidRPr="00B66A3F">
                      <w:rPr>
                        <w:rFonts w:ascii="Tahoma" w:hAnsi="Tahoma" w:cs="Tahoma"/>
                        <w:color w:val="0D0D0D"/>
                        <w:sz w:val="16"/>
                        <w:szCs w:val="16"/>
                        <w:rtl/>
                      </w:rPr>
                      <w:t xml:space="preserve"> </w:t>
                    </w:r>
                    <w:r w:rsidRPr="00B66A3F">
                      <w:rPr>
                        <w:rFonts w:ascii="Tahoma" w:hAnsi="Tahoma" w:cs="Tahoma"/>
                        <w:color w:val="0D0D0D"/>
                        <w:sz w:val="16"/>
                        <w:szCs w:val="16"/>
                        <w:rtl/>
                      </w:rPr>
                      <w:t>התשפ"ה</w:t>
                    </w:r>
                    <w:r w:rsidRPr="00B66A3F">
                      <w:rPr>
                        <w:rFonts w:ascii="Tahoma" w:hAnsi="Tahoma" w:cs="Tahoma"/>
                        <w:color w:val="0D0D0D"/>
                        <w:sz w:val="16"/>
                        <w:szCs w:val="16"/>
                        <w:rtl/>
                      </w:rPr>
                      <w:t xml:space="preserve"> | </w:t>
                    </w:r>
                    <w:r w:rsidR="001E2DD8">
                      <w:rPr>
                        <w:rFonts w:ascii="Tahoma" w:hAnsi="Tahoma" w:cs="Tahoma" w:hint="cs"/>
                        <w:color w:val="0D0D0D"/>
                        <w:sz w:val="16"/>
                        <w:szCs w:val="16"/>
                        <w:rtl/>
                      </w:rPr>
                      <w:t>מרץ</w:t>
                    </w:r>
                    <w:r w:rsidRPr="00B66A3F">
                      <w:rPr>
                        <w:rFonts w:ascii="Tahoma" w:hAnsi="Tahoma" w:cs="Tahoma"/>
                        <w:color w:val="0D0D0D"/>
                        <w:sz w:val="16"/>
                        <w:szCs w:val="16"/>
                        <w:rtl/>
                      </w:rPr>
                      <w:t xml:space="preserve"> 2025</w:t>
                    </w:r>
                  </w:p>
                  <w:p w:rsidR="00F73EE0" w:rsidRPr="007E7763" w:rsidP="00B244B0" w14:paraId="1CF273F4" w14:textId="3141614C">
                    <w:pPr>
                      <w:jc w:val="right"/>
                      <w:rPr>
                        <w:color w:val="0D0D0D" w:themeColor="text1" w:themeTint="F2"/>
                        <w:sz w:val="16"/>
                        <w:szCs w:val="16"/>
                      </w:rPr>
                    </w:pPr>
                  </w:p>
                </w:txbxContent>
              </v:textbox>
            </v:shape>
          </w:pict>
        </mc:Fallback>
      </mc:AlternateContent>
    </w:r>
    <w:r>
      <w:rPr>
        <w:rFonts w:ascii="Tahoma" w:hAnsi="Tahoma" w:cs="Tahoma"/>
        <w:noProof/>
        <w:sz w:val="22"/>
        <w:szCs w:val="22"/>
        <w:rtl/>
        <w:lang w:val="he-IL"/>
      </w:rPr>
      <w:drawing>
        <wp:anchor distT="0" distB="0" distL="114300" distR="114300" simplePos="0" relativeHeight="251669504" behindDoc="0" locked="0" layoutInCell="1" allowOverlap="1">
          <wp:simplePos x="0" y="0"/>
          <wp:positionH relativeFrom="column">
            <wp:posOffset>-59055</wp:posOffset>
          </wp:positionH>
          <wp:positionV relativeFrom="paragraph">
            <wp:posOffset>345440</wp:posOffset>
          </wp:positionV>
          <wp:extent cx="343535" cy="240030"/>
          <wp:effectExtent l="0" t="0" r="0" b="7620"/>
          <wp:wrapSquare wrapText="bothSides"/>
          <wp:docPr id="2052772017" name="Picture 9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72017" name="Picture 96">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43535" cy="24003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0" locked="0" layoutInCell="1" allowOverlap="1">
              <wp:simplePos x="0" y="0"/>
              <wp:positionH relativeFrom="column">
                <wp:posOffset>-55880</wp:posOffset>
              </wp:positionH>
              <wp:positionV relativeFrom="paragraph">
                <wp:posOffset>640080</wp:posOffset>
              </wp:positionV>
              <wp:extent cx="6721475" cy="0"/>
              <wp:effectExtent l="0" t="0" r="0" b="0"/>
              <wp:wrapNone/>
              <wp:docPr id="634" name="Straight Connector 634"/>
              <wp:cNvGraphicFramePr/>
              <a:graphic xmlns:a="http://schemas.openxmlformats.org/drawingml/2006/main">
                <a:graphicData uri="http://schemas.microsoft.com/office/word/2010/wordprocessingShape">
                  <wps:wsp xmlns:wps="http://schemas.microsoft.com/office/word/2010/wordprocessingShape">
                    <wps:cNvCnPr/>
                    <wps:spPr>
                      <a:xfrm flipH="1">
                        <a:off x="0" y="0"/>
                        <a:ext cx="6721475" cy="0"/>
                      </a:xfrm>
                      <a:prstGeom prst="line">
                        <a:avLst/>
                      </a:prstGeom>
                      <a:ln w="3175">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34" o:spid="_x0000_s2054" style="flip:x;mso-height-percent:0;mso-height-relative:margin;mso-width-percent:0;mso-width-relative:margin;mso-wrap-distance-bottom:0;mso-wrap-distance-left:9pt;mso-wrap-distance-right:9pt;mso-wrap-distance-top:0;mso-wrap-style:square;position:absolute;visibility:visible;z-index:251661312" from="-4.4pt,50.4pt" to="524.85pt,50.4pt" strokecolor="#0d0d0d" strokeweight="0.2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658E" w14:paraId="12276F70"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73EE0" w14:paraId="1D98C7A5" w14:textId="721B4D03">
    <w:pPr>
      <w:pStyle w:val="Header"/>
      <w:rPr>
        <w:rtl/>
      </w:rPr>
    </w:pPr>
    <w:r>
      <w:rPr>
        <w:noProof/>
        <w:rtl/>
        <w:lang w:val="he-IL"/>
      </w:rPr>
      <mc:AlternateContent>
        <mc:Choice Requires="wps">
          <w:drawing>
            <wp:anchor distT="0" distB="0" distL="114300" distR="114300" simplePos="0" relativeHeight="251674624" behindDoc="1" locked="0" layoutInCell="1" allowOverlap="1">
              <wp:simplePos x="0" y="0"/>
              <wp:positionH relativeFrom="margin">
                <wp:posOffset>-954405</wp:posOffset>
              </wp:positionH>
              <wp:positionV relativeFrom="margin">
                <wp:posOffset>-1051560</wp:posOffset>
              </wp:positionV>
              <wp:extent cx="6480000" cy="9000000"/>
              <wp:effectExtent l="0" t="0" r="16510" b="10795"/>
              <wp:wrapNone/>
              <wp:docPr id="31" name="Text Box 31"/>
              <wp:cNvGraphicFramePr/>
              <a:graphic xmlns:a="http://schemas.openxmlformats.org/drawingml/2006/main">
                <a:graphicData uri="http://schemas.microsoft.com/office/word/2010/wordprocessingShape">
                  <wps:wsp xmlns:wps="http://schemas.microsoft.com/office/word/2010/wordprocessingShape">
                    <wps:cNvSpPr txBox="1"/>
                    <wps:spPr>
                      <a:xfrm>
                        <a:off x="0" y="0"/>
                        <a:ext cx="6480000" cy="9000000"/>
                      </a:xfrm>
                      <a:prstGeom prst="rect">
                        <a:avLst/>
                      </a:prstGeom>
                      <a:noFill/>
                      <a:ln w="3175">
                        <a:solidFill>
                          <a:schemeClr val="bg1">
                            <a:lumMod val="65000"/>
                          </a:schemeClr>
                        </a:solidFill>
                        <a:prstDash val="lgDash"/>
                      </a:ln>
                    </wps:spPr>
                    <wps:txbx>
                      <w:txbxContent>
                        <w:p w:rsidR="00F73EE0" w:rsidRPr="00FD02CC" w:rsidP="006E67D8" w14:textId="77777777">
                          <w:pPr>
                            <w:rPr>
                              <w:color w:val="FFFFFF" w:themeColor="background1"/>
                              <w14:textOutline w14:w="12700" w14:cap="rnd" w14:cmpd="dbl">
                                <w14:solidFill>
                                  <w14:srgbClr w14:val="00B050"/>
                                </w14:solidFill>
                                <w14:prstDash w14:val="dash"/>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1" o:spid="_x0000_s2055" type="#_x0000_t202" style="width:510.25pt;height:708.65pt;margin-top:-82.8pt;margin-left:-75.1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top;z-index:-251640832" filled="f" strokecolor="#a5a5a5" strokeweight="0.25pt">
              <v:stroke dashstyle="longDash"/>
              <v:textbox>
                <w:txbxContent>
                  <w:p w:rsidR="00F73EE0" w:rsidRPr="00FD02CC" w:rsidP="006E67D8" w14:paraId="463FF098" w14:textId="77777777">
                    <w:pPr>
                      <w:rPr>
                        <w:color w:val="FFFFFF" w:themeColor="background1"/>
                        <w14:textOutline w14:w="12700" w14:cap="rnd" w14:cmpd="dbl">
                          <w14:solidFill>
                            <w14:srgbClr w14:val="00B050"/>
                          </w14:solidFill>
                          <w14:prstDash w14:val="dash"/>
                          <w14:bevel/>
                        </w14:textOutline>
                      </w:rPr>
                    </w:pPr>
                  </w:p>
                </w:txbxContent>
              </v:textbox>
              <w10:wrap anchorx="margin" anchory="margin"/>
            </v:shape>
          </w:pict>
        </mc:Fallback>
      </mc:AlternateContent>
    </w:r>
  </w:p>
  <w:p w:rsidR="00F73EE0" w:rsidP="00FD02CC" w14:paraId="7E43B0CF" w14:textId="63DDFE97">
    <w:pPr>
      <w:pStyle w:val="Header"/>
      <w:ind w:firstLine="720"/>
      <w:rPr>
        <w:rtl/>
      </w:rPr>
    </w:pPr>
  </w:p>
  <w:p w:rsidR="00F73EE0" w14:paraId="09A29170" w14:textId="077B7887">
    <w:pPr>
      <w:pStyle w:val="Header"/>
      <w:rPr>
        <w:rtl/>
      </w:rPr>
    </w:pPr>
  </w:p>
  <w:p w:rsidR="00F73EE0" w14:paraId="1CB0A19A" w14:textId="7E7CB891">
    <w:pPr>
      <w:pStyle w:val="Header"/>
      <w:rPr>
        <w:rtl/>
      </w:rPr>
    </w:pPr>
    <w:r w:rsidRPr="006637B9">
      <w:rPr>
        <w:rFonts w:ascii="Tahoma" w:hAnsi="Tahoma" w:cs="Tahoma"/>
        <w:noProof/>
        <w:color w:val="002060"/>
        <w:sz w:val="18"/>
        <w:szCs w:val="18"/>
      </w:rPr>
      <mc:AlternateContent>
        <mc:Choice Requires="wps">
          <w:drawing>
            <wp:anchor distT="0" distB="0" distL="114300" distR="114300" simplePos="0" relativeHeight="251670528" behindDoc="0" locked="0" layoutInCell="1" allowOverlap="1">
              <wp:simplePos x="0" y="0"/>
              <wp:positionH relativeFrom="column">
                <wp:posOffset>-106680</wp:posOffset>
              </wp:positionH>
              <wp:positionV relativeFrom="paragraph">
                <wp:posOffset>205105</wp:posOffset>
              </wp:positionV>
              <wp:extent cx="4536440" cy="280670"/>
              <wp:effectExtent l="0" t="0" r="6985" b="6985"/>
              <wp:wrapSquare wrapText="bothSides"/>
              <wp:docPr id="3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536440" cy="280670"/>
                      </a:xfrm>
                      <a:prstGeom prst="rect">
                        <a:avLst/>
                      </a:prstGeom>
                      <a:solidFill>
                        <a:srgbClr val="FFFFFF"/>
                      </a:solidFill>
                      <a:ln w="9525">
                        <a:noFill/>
                        <a:miter lim="800000"/>
                        <a:headEnd/>
                        <a:tailEnd/>
                      </a:ln>
                    </wps:spPr>
                    <wps:txbx>
                      <w:txbxContent>
                        <w:p w:rsidR="00F73EE0" w:rsidRPr="003D62C4" w:rsidP="00F559D6" w14:textId="0287C09A">
                          <w:pPr>
                            <w:pStyle w:val="Heading1"/>
                            <w:spacing w:line="269" w:lineRule="auto"/>
                            <w:jc w:val="left"/>
                            <w:rPr>
                              <w:rFonts w:ascii="Tahoma" w:hAnsi="Tahoma" w:eastAsiaTheme="minorHAnsi" w:cs="Tahoma"/>
                              <w:bCs w:val="0"/>
                              <w:color w:val="0D0D0D" w:themeColor="text1" w:themeTint="F2"/>
                              <w:sz w:val="16"/>
                              <w:szCs w:val="16"/>
                              <w:u w:val="none"/>
                            </w:rPr>
                          </w:pPr>
                          <w:r w:rsidRPr="00747D5C">
                            <w:rPr>
                              <w:rFonts w:ascii="Tahoma" w:hAnsi="Tahoma" w:eastAsiaTheme="minorHAnsi" w:cs="Tahoma"/>
                              <w:bCs w:val="0"/>
                              <w:color w:val="0D0D0D" w:themeColor="text1" w:themeTint="F2"/>
                              <w:sz w:val="16"/>
                              <w:szCs w:val="16"/>
                              <w:u w:val="none"/>
                              <w:rtl/>
                            </w:rPr>
                            <w:t>ניהול זיכיון ים המלח והפיקוח עליו - היבטים בתחומי המקרקעין והסביבה</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id="_x0000_s2056" type="#_x0000_t202" style="width:357.2pt;height:22.1pt;margin-top:16.15pt;margin-left:-8.4pt;mso-width-percent:0;mso-width-relative:margin;mso-wrap-distance-bottom:0;mso-wrap-distance-left:9pt;mso-wrap-distance-right:9pt;mso-wrap-distance-top:0;mso-wrap-style:square;position:absolute;visibility:visible;v-text-anchor:top;z-index:251671552" stroked="f">
              <v:textbox style="mso-fit-shape-to-text:t">
                <w:txbxContent>
                  <w:p w:rsidR="00F73EE0" w:rsidRPr="003D62C4" w:rsidP="00F559D6" w14:paraId="111D0894" w14:textId="0287C09A">
                    <w:pPr>
                      <w:pStyle w:val="Heading1"/>
                      <w:spacing w:line="269" w:lineRule="auto"/>
                      <w:jc w:val="left"/>
                      <w:rPr>
                        <w:rFonts w:ascii="Tahoma" w:hAnsi="Tahoma" w:eastAsiaTheme="minorHAnsi" w:cs="Tahoma"/>
                        <w:bCs w:val="0"/>
                        <w:color w:val="0D0D0D" w:themeColor="text1" w:themeTint="F2"/>
                        <w:sz w:val="16"/>
                        <w:szCs w:val="16"/>
                        <w:u w:val="none"/>
                      </w:rPr>
                    </w:pPr>
                    <w:r w:rsidRPr="00747D5C">
                      <w:rPr>
                        <w:rFonts w:ascii="Tahoma" w:hAnsi="Tahoma" w:eastAsiaTheme="minorHAnsi" w:cs="Tahoma"/>
                        <w:bCs w:val="0"/>
                        <w:color w:val="0D0D0D" w:themeColor="text1" w:themeTint="F2"/>
                        <w:sz w:val="16"/>
                        <w:szCs w:val="16"/>
                        <w:u w:val="none"/>
                        <w:rtl/>
                      </w:rPr>
                      <w:t>ניהול זיכיון ים המלח והפיקוח עליו - היבטים בתחומי המקרקעין והסביבה</w:t>
                    </w:r>
                  </w:p>
                </w:txbxContent>
              </v:textbox>
              <w10:wrap type="square"/>
            </v:shape>
          </w:pict>
        </mc:Fallback>
      </mc:AlternateContent>
    </w:r>
  </w:p>
  <w:p w:rsidR="00F73EE0" w:rsidP="009620E7" w14:paraId="53F52C1C" w14:textId="15562247">
    <w:pPr>
      <w:pStyle w:val="Header"/>
      <w:rPr>
        <w:rtl/>
      </w:rPr>
    </w:pPr>
    <w:r>
      <w:rPr>
        <w:rFonts w:ascii="Tahoma" w:hAnsi="Tahoma" w:cs="Tahoma"/>
        <w:noProof/>
        <w:color w:val="002060"/>
        <w:sz w:val="18"/>
        <w:szCs w:val="18"/>
      </w:rPr>
      <w:drawing>
        <wp:anchor distT="0" distB="0" distL="114300" distR="114300" simplePos="0" relativeHeight="251676672" behindDoc="0" locked="0" layoutInCell="1" allowOverlap="1">
          <wp:simplePos x="0" y="0"/>
          <wp:positionH relativeFrom="column">
            <wp:posOffset>4423410</wp:posOffset>
          </wp:positionH>
          <wp:positionV relativeFrom="paragraph">
            <wp:posOffset>19518</wp:posOffset>
          </wp:positionV>
          <wp:extent cx="248285" cy="298450"/>
          <wp:effectExtent l="0" t="0" r="5715" b="6350"/>
          <wp:wrapNone/>
          <wp:docPr id="2052772018"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72018" name="Picture 6"/>
                  <pic:cNvPicPr/>
                </pic:nvPicPr>
                <pic:blipFill>
                  <a:blip xmlns:r="http://schemas.openxmlformats.org/officeDocument/2006/relationships" r:embed="rId1">
                    <a:duotone>
                      <a:schemeClr val="accent2">
                        <a:shade val="45000"/>
                        <a:satMod val="135000"/>
                      </a:schemeClr>
                      <a:prstClr val="white"/>
                    </a:duotone>
                    <a:extLst>
                      <a:ext xmlns:a="http://schemas.openxmlformats.org/drawingml/2006/main" uri="{28A0092B-C50C-407E-A947-70E740481C1C}">
                        <a14:useLocalDpi xmlns:a14="http://schemas.microsoft.com/office/drawing/2010/main" val="0"/>
                      </a:ext>
                    </a:extLst>
                  </a:blip>
                  <a:stretch>
                    <a:fillRect/>
                  </a:stretch>
                </pic:blipFill>
                <pic:spPr>
                  <a:xfrm>
                    <a:off x="0" y="0"/>
                    <a:ext cx="248285" cy="2984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7456" behindDoc="0" locked="0" layoutInCell="1" allowOverlap="1">
              <wp:simplePos x="0" y="0"/>
              <wp:positionH relativeFrom="column">
                <wp:posOffset>-1392883</wp:posOffset>
              </wp:positionH>
              <wp:positionV relativeFrom="paragraph">
                <wp:posOffset>352841</wp:posOffset>
              </wp:positionV>
              <wp:extent cx="6065760" cy="0"/>
              <wp:effectExtent l="0" t="0" r="0" b="0"/>
              <wp:wrapNone/>
              <wp:docPr id="34" name="Straight Connector 34"/>
              <wp:cNvGraphicFramePr/>
              <a:graphic xmlns:a="http://schemas.openxmlformats.org/drawingml/2006/main">
                <a:graphicData uri="http://schemas.microsoft.com/office/word/2010/wordprocessingShape">
                  <wps:wsp xmlns:wps="http://schemas.microsoft.com/office/word/2010/wordprocessingShape">
                    <wps:cNvCnPr/>
                    <wps:spPr>
                      <a:xfrm flipH="1">
                        <a:off x="0" y="0"/>
                        <a:ext cx="6065760" cy="0"/>
                      </a:xfrm>
                      <a:prstGeom prst="line">
                        <a:avLst/>
                      </a:prstGeom>
                      <a:ln w="3175">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4" o:spid="_x0000_s2057" style="flip:x;mso-height-percent:0;mso-height-relative:margin;mso-width-percent:0;mso-width-relative:margin;mso-wrap-distance-bottom:0;mso-wrap-distance-left:9pt;mso-wrap-distance-right:9pt;mso-wrap-distance-top:0;mso-wrap-style:square;position:absolute;visibility:visible;z-index:251668480" from="-109.7pt,27.8pt" to="367.9pt,27.8pt" strokecolor="#0d0d0d" strokeweight="0.25p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34B0" w:rsidP="004E71DD" w14:paraId="72F06814" w14:textId="77777777">
    <w:pPr>
      <w:pStyle w:val="Header"/>
      <w:rPr>
        <w:rtl/>
      </w:rPr>
    </w:pPr>
    <w:r>
      <w:rPr>
        <w:noProof/>
        <w:rtl/>
        <w:lang w:val="he-IL"/>
      </w:rPr>
      <mc:AlternateContent>
        <mc:Choice Requires="wps">
          <w:drawing>
            <wp:anchor distT="0" distB="0" distL="114300" distR="114300" simplePos="0" relativeHeight="251686912" behindDoc="1" locked="0" layoutInCell="1" allowOverlap="1">
              <wp:simplePos x="0" y="0"/>
              <wp:positionH relativeFrom="margin">
                <wp:posOffset>-954405</wp:posOffset>
              </wp:positionH>
              <wp:positionV relativeFrom="margin">
                <wp:posOffset>-1051560</wp:posOffset>
              </wp:positionV>
              <wp:extent cx="6480000" cy="9000000"/>
              <wp:effectExtent l="0" t="0" r="16510" b="10795"/>
              <wp:wrapNone/>
              <wp:docPr id="43" name="Text Box 31"/>
              <wp:cNvGraphicFramePr/>
              <a:graphic xmlns:a="http://schemas.openxmlformats.org/drawingml/2006/main">
                <a:graphicData uri="http://schemas.microsoft.com/office/word/2010/wordprocessingShape">
                  <wps:wsp xmlns:wps="http://schemas.microsoft.com/office/word/2010/wordprocessingShape">
                    <wps:cNvSpPr txBox="1"/>
                    <wps:spPr>
                      <a:xfrm>
                        <a:off x="0" y="0"/>
                        <a:ext cx="6480000" cy="9000000"/>
                      </a:xfrm>
                      <a:prstGeom prst="rect">
                        <a:avLst/>
                      </a:prstGeom>
                      <a:noFill/>
                      <a:ln w="3175">
                        <a:solidFill>
                          <a:schemeClr val="bg1">
                            <a:lumMod val="65000"/>
                          </a:schemeClr>
                        </a:solidFill>
                        <a:prstDash val="lgDash"/>
                      </a:ln>
                    </wps:spPr>
                    <wps:txbx>
                      <w:txbxContent>
                        <w:p w:rsidR="006734B0" w:rsidRPr="00FD02CC" w:rsidP="004E71DD" w14:textId="77777777">
                          <w:pPr>
                            <w:rPr>
                              <w:color w:val="FFFFFF" w:themeColor="background1"/>
                              <w14:textOutline w14:w="12700" w14:cap="rnd" w14:cmpd="dbl">
                                <w14:solidFill>
                                  <w14:srgbClr w14:val="00B050"/>
                                </w14:solidFill>
                                <w14:prstDash w14:val="dash"/>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58" type="#_x0000_t202" style="width:510.25pt;height:708.65pt;margin-top:-82.8pt;margin-left:-75.1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top;z-index:-251628544" filled="f" strokecolor="#a5a5a5" strokeweight="0.25pt">
              <v:stroke dashstyle="longDash"/>
              <v:textbox>
                <w:txbxContent>
                  <w:p w:rsidR="006734B0" w:rsidRPr="00FD02CC" w:rsidP="004E71DD" w14:paraId="0E5B7D45" w14:textId="77777777">
                    <w:pPr>
                      <w:rPr>
                        <w:color w:val="FFFFFF" w:themeColor="background1"/>
                        <w14:textOutline w14:w="12700" w14:cap="rnd" w14:cmpd="dbl">
                          <w14:solidFill>
                            <w14:srgbClr w14:val="00B050"/>
                          </w14:solidFill>
                          <w14:prstDash w14:val="dash"/>
                          <w14:bevel/>
                        </w14:textOutline>
                      </w:rPr>
                    </w:pPr>
                  </w:p>
                </w:txbxContent>
              </v:textbox>
              <w10:wrap anchorx="margin" anchory="margin"/>
            </v:shape>
          </w:pict>
        </mc:Fallback>
      </mc:AlternateContent>
    </w:r>
  </w:p>
  <w:p w:rsidR="006734B0" w:rsidP="004E71DD" w14:paraId="0BD5C24D" w14:textId="77777777">
    <w:pPr>
      <w:pStyle w:val="Header"/>
      <w:ind w:firstLine="720"/>
      <w:rPr>
        <w:rtl/>
      </w:rPr>
    </w:pPr>
  </w:p>
  <w:p w:rsidR="006734B0" w:rsidP="004E71DD" w14:paraId="228BC157" w14:textId="77777777">
    <w:pPr>
      <w:pStyle w:val="Header"/>
      <w:rPr>
        <w:rtl/>
      </w:rPr>
    </w:pPr>
  </w:p>
  <w:p w:rsidR="006734B0" w:rsidP="004E71DD" w14:paraId="6684F760" w14:textId="77777777">
    <w:pPr>
      <w:pStyle w:val="Header"/>
      <w:rPr>
        <w:rtl/>
      </w:rPr>
    </w:pPr>
    <w:r w:rsidRPr="006637B9">
      <w:rPr>
        <w:rFonts w:ascii="Tahoma" w:hAnsi="Tahoma" w:cs="Tahoma"/>
        <w:noProof/>
        <w:color w:val="002060"/>
        <w:sz w:val="18"/>
        <w:szCs w:val="18"/>
      </w:rPr>
      <mc:AlternateContent>
        <mc:Choice Requires="wps">
          <w:drawing>
            <wp:anchor distT="0" distB="0" distL="114300" distR="114300" simplePos="0" relativeHeight="251691008" behindDoc="0" locked="0" layoutInCell="1" allowOverlap="1">
              <wp:simplePos x="0" y="0"/>
              <wp:positionH relativeFrom="column">
                <wp:posOffset>-106680</wp:posOffset>
              </wp:positionH>
              <wp:positionV relativeFrom="paragraph">
                <wp:posOffset>205105</wp:posOffset>
              </wp:positionV>
              <wp:extent cx="4536440" cy="280670"/>
              <wp:effectExtent l="0" t="0" r="6985" b="6985"/>
              <wp:wrapSquare wrapText="bothSides"/>
              <wp:docPr id="45" name="Text Box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536440" cy="280670"/>
                      </a:xfrm>
                      <a:prstGeom prst="rect">
                        <a:avLst/>
                      </a:prstGeom>
                      <a:solidFill>
                        <a:srgbClr val="FFFFFF"/>
                      </a:solidFill>
                      <a:ln w="9525">
                        <a:noFill/>
                        <a:miter lim="800000"/>
                        <a:headEnd/>
                        <a:tailEnd/>
                      </a:ln>
                    </wps:spPr>
                    <wps:txbx>
                      <w:txbxContent>
                        <w:p w:rsidR="006734B0" w:rsidRPr="003D62C4" w:rsidP="004E71DD" w14:textId="681A0DC8">
                          <w:pPr>
                            <w:pStyle w:val="Heading1"/>
                            <w:spacing w:line="269" w:lineRule="auto"/>
                            <w:jc w:val="left"/>
                            <w:rPr>
                              <w:rFonts w:ascii="Tahoma" w:hAnsi="Tahoma" w:eastAsiaTheme="minorHAnsi" w:cs="Tahoma"/>
                              <w:bCs w:val="0"/>
                              <w:color w:val="0D0D0D" w:themeColor="text1" w:themeTint="F2"/>
                              <w:sz w:val="16"/>
                              <w:szCs w:val="16"/>
                              <w:u w:val="none"/>
                            </w:rPr>
                          </w:pPr>
                          <w:r w:rsidRPr="007E7763">
                            <w:rPr>
                              <w:rFonts w:ascii="Tahoma" w:hAnsi="Tahoma" w:eastAsiaTheme="minorHAnsi" w:cs="Tahoma"/>
                              <w:bCs w:val="0"/>
                              <w:color w:val="0D0D0D" w:themeColor="text1" w:themeTint="F2"/>
                              <w:sz w:val="16"/>
                              <w:szCs w:val="16"/>
                              <w:u w:val="none"/>
                              <w:rtl/>
                            </w:rPr>
                            <w:t xml:space="preserve">ניהול זיכיון ים המלח והפיקוח עליו - היבטים בתחומי </w:t>
                          </w:r>
                          <w:r w:rsidRPr="00677258" w:rsidR="00677258">
                            <w:rPr>
                              <w:rFonts w:ascii="Tahoma" w:hAnsi="Tahoma" w:eastAsiaTheme="minorHAnsi" w:cs="Tahoma"/>
                              <w:bCs w:val="0"/>
                              <w:color w:val="0D0D0D" w:themeColor="text1" w:themeTint="F2"/>
                              <w:sz w:val="16"/>
                              <w:szCs w:val="16"/>
                              <w:u w:val="none"/>
                              <w:rtl/>
                            </w:rPr>
                            <w:t>הסביבה והמקרקעין</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id="_x0000_s2059" type="#_x0000_t202" alt="&quot;&quot;" style="width:357.2pt;height:22.1pt;margin-top:16.15pt;margin-left:-8.4pt;mso-width-percent:0;mso-width-relative:margin;mso-wrap-distance-bottom:0;mso-wrap-distance-left:9pt;mso-wrap-distance-right:9pt;mso-wrap-distance-top:0;mso-wrap-style:square;position:absolute;visibility:visible;v-text-anchor:top;z-index:251692032" stroked="f">
              <v:textbox style="mso-fit-shape-to-text:t">
                <w:txbxContent>
                  <w:p w:rsidR="006734B0" w:rsidRPr="003D62C4" w:rsidP="004E71DD" w14:paraId="74E90CD5" w14:textId="681A0DC8">
                    <w:pPr>
                      <w:pStyle w:val="Heading1"/>
                      <w:spacing w:line="269" w:lineRule="auto"/>
                      <w:jc w:val="left"/>
                      <w:rPr>
                        <w:rFonts w:ascii="Tahoma" w:hAnsi="Tahoma" w:eastAsiaTheme="minorHAnsi" w:cs="Tahoma"/>
                        <w:bCs w:val="0"/>
                        <w:color w:val="0D0D0D" w:themeColor="text1" w:themeTint="F2"/>
                        <w:sz w:val="16"/>
                        <w:szCs w:val="16"/>
                        <w:u w:val="none"/>
                      </w:rPr>
                    </w:pPr>
                    <w:r w:rsidRPr="007E7763">
                      <w:rPr>
                        <w:rFonts w:ascii="Tahoma" w:hAnsi="Tahoma" w:eastAsiaTheme="minorHAnsi" w:cs="Tahoma"/>
                        <w:bCs w:val="0"/>
                        <w:color w:val="0D0D0D" w:themeColor="text1" w:themeTint="F2"/>
                        <w:sz w:val="16"/>
                        <w:szCs w:val="16"/>
                        <w:u w:val="none"/>
                        <w:rtl/>
                      </w:rPr>
                      <w:t xml:space="preserve">ניהול זיכיון ים המלח והפיקוח עליו - היבטים בתחומי </w:t>
                    </w:r>
                    <w:r w:rsidRPr="00677258" w:rsidR="00677258">
                      <w:rPr>
                        <w:rFonts w:ascii="Tahoma" w:hAnsi="Tahoma" w:eastAsiaTheme="minorHAnsi" w:cs="Tahoma"/>
                        <w:bCs w:val="0"/>
                        <w:color w:val="0D0D0D" w:themeColor="text1" w:themeTint="F2"/>
                        <w:sz w:val="16"/>
                        <w:szCs w:val="16"/>
                        <w:u w:val="none"/>
                        <w:rtl/>
                      </w:rPr>
                      <w:t>הסביבה והמקרקעין</w:t>
                    </w:r>
                  </w:p>
                </w:txbxContent>
              </v:textbox>
              <w10:wrap type="square"/>
            </v:shape>
          </w:pict>
        </mc:Fallback>
      </mc:AlternateContent>
    </w:r>
  </w:p>
  <w:p w:rsidR="006734B0" w:rsidP="004E71DD" w14:paraId="161316BD" w14:textId="77777777">
    <w:pPr>
      <w:pStyle w:val="Header"/>
      <w:rPr>
        <w:rtl/>
      </w:rPr>
    </w:pPr>
    <w:r>
      <w:rPr>
        <w:rFonts w:ascii="Tahoma" w:hAnsi="Tahoma" w:cs="Tahoma"/>
        <w:noProof/>
        <w:color w:val="002060"/>
        <w:sz w:val="18"/>
        <w:szCs w:val="18"/>
      </w:rPr>
      <w:drawing>
        <wp:anchor distT="0" distB="0" distL="114300" distR="114300" simplePos="0" relativeHeight="251693056" behindDoc="0" locked="0" layoutInCell="1" allowOverlap="1">
          <wp:simplePos x="0" y="0"/>
          <wp:positionH relativeFrom="column">
            <wp:posOffset>4423410</wp:posOffset>
          </wp:positionH>
          <wp:positionV relativeFrom="paragraph">
            <wp:posOffset>19518</wp:posOffset>
          </wp:positionV>
          <wp:extent cx="248285" cy="298450"/>
          <wp:effectExtent l="0" t="0" r="5715" b="6350"/>
          <wp:wrapNone/>
          <wp:docPr id="48" name="Picture 9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97">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
                    <a:duotone>
                      <a:schemeClr val="accent2">
                        <a:shade val="45000"/>
                        <a:satMod val="135000"/>
                      </a:schemeClr>
                      <a:prstClr val="white"/>
                    </a:duotone>
                    <a:extLst>
                      <a:ext xmlns:a="http://schemas.openxmlformats.org/drawingml/2006/main" uri="{28A0092B-C50C-407E-A947-70E740481C1C}">
                        <a14:useLocalDpi xmlns:a14="http://schemas.microsoft.com/office/drawing/2010/main" val="0"/>
                      </a:ext>
                    </a:extLst>
                  </a:blip>
                  <a:stretch>
                    <a:fillRect/>
                  </a:stretch>
                </pic:blipFill>
                <pic:spPr>
                  <a:xfrm>
                    <a:off x="0" y="0"/>
                    <a:ext cx="248285" cy="2984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88960" behindDoc="0" locked="0" layoutInCell="1" allowOverlap="1">
              <wp:simplePos x="0" y="0"/>
              <wp:positionH relativeFrom="column">
                <wp:posOffset>-1392883</wp:posOffset>
              </wp:positionH>
              <wp:positionV relativeFrom="paragraph">
                <wp:posOffset>352841</wp:posOffset>
              </wp:positionV>
              <wp:extent cx="6065760" cy="0"/>
              <wp:effectExtent l="0" t="0" r="0" b="0"/>
              <wp:wrapNone/>
              <wp:docPr id="47" name="Straight Connector 34"/>
              <wp:cNvGraphicFramePr/>
              <a:graphic xmlns:a="http://schemas.openxmlformats.org/drawingml/2006/main">
                <a:graphicData uri="http://schemas.microsoft.com/office/word/2010/wordprocessingShape">
                  <wps:wsp xmlns:wps="http://schemas.microsoft.com/office/word/2010/wordprocessingShape">
                    <wps:cNvCnPr/>
                    <wps:spPr>
                      <a:xfrm flipH="1">
                        <a:off x="0" y="0"/>
                        <a:ext cx="6065760" cy="0"/>
                      </a:xfrm>
                      <a:prstGeom prst="line">
                        <a:avLst/>
                      </a:prstGeom>
                      <a:ln w="3175">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4" o:spid="_x0000_s2060" style="flip:x;mso-height-percent:0;mso-height-relative:margin;mso-width-percent:0;mso-width-relative:margin;mso-wrap-distance-bottom:0;mso-wrap-distance-left:9pt;mso-wrap-distance-right:9pt;mso-wrap-distance-top:0;mso-wrap-style:square;position:absolute;visibility:visible;z-index:251689984" from="-109.7pt,27.8pt" to="367.9pt,27.8pt" strokecolor="#0d0d0d" strokeweight="0.25pt"/>
          </w:pict>
        </mc:Fallback>
      </mc:AlternateContent>
    </w:r>
  </w:p>
  <w:p w:rsidR="006734B0" w:rsidRPr="004E71DD" w:rsidP="004E71DD" w14:paraId="755C039C" w14:textId="77777777">
    <w:pPr>
      <w:pStyle w:val="Header"/>
      <w:rPr>
        <w:szCs w:val="20"/>
        <w:rtl/>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6721" w:rsidP="001526AC" w14:paraId="1AA96B7A" w14:textId="77777777">
    <w:pPr>
      <w:pStyle w:val="Header"/>
      <w:tabs>
        <w:tab w:val="left" w:pos="493"/>
        <w:tab w:val="center" w:pos="4111"/>
        <w:tab w:val="clear" w:pos="4153"/>
        <w:tab w:val="right" w:pos="7478"/>
        <w:tab w:val="right" w:pos="8222"/>
        <w:tab w:val="clear" w:pos="8306"/>
      </w:tabs>
      <w:jc w:val="left"/>
      <w:rPr>
        <w:rtl/>
      </w:rPr>
    </w:pPr>
    <w:r>
      <w:rPr>
        <w:noProof/>
        <w:rtl/>
        <w:lang w:val="he-IL"/>
      </w:rPr>
      <mc:AlternateContent>
        <mc:Choice Requires="wps">
          <w:drawing>
            <wp:anchor distT="0" distB="0" distL="114300" distR="114300" simplePos="0" relativeHeight="251684864" behindDoc="1" locked="0" layoutInCell="1" allowOverlap="1">
              <wp:simplePos x="0" y="0"/>
              <wp:positionH relativeFrom="margin">
                <wp:posOffset>-955675</wp:posOffset>
              </wp:positionH>
              <wp:positionV relativeFrom="margin">
                <wp:posOffset>-1052830</wp:posOffset>
              </wp:positionV>
              <wp:extent cx="6480000" cy="9000000"/>
              <wp:effectExtent l="0" t="0" r="16510" b="10795"/>
              <wp:wrapNone/>
              <wp:docPr id="59" name="Text Box 53"/>
              <wp:cNvGraphicFramePr/>
              <a:graphic xmlns:a="http://schemas.openxmlformats.org/drawingml/2006/main">
                <a:graphicData uri="http://schemas.microsoft.com/office/word/2010/wordprocessingShape">
                  <wps:wsp xmlns:wps="http://schemas.microsoft.com/office/word/2010/wordprocessingShape">
                    <wps:cNvSpPr txBox="1"/>
                    <wps:spPr>
                      <a:xfrm>
                        <a:off x="0" y="0"/>
                        <a:ext cx="6480000" cy="9000000"/>
                      </a:xfrm>
                      <a:prstGeom prst="rect">
                        <a:avLst/>
                      </a:prstGeom>
                      <a:noFill/>
                      <a:ln w="3175">
                        <a:solidFill>
                          <a:schemeClr val="bg1">
                            <a:lumMod val="65000"/>
                          </a:schemeClr>
                        </a:solidFill>
                        <a:prstDash val="lgDash"/>
                      </a:ln>
                    </wps:spPr>
                    <wps:txbx>
                      <w:txbxContent>
                        <w:p w:rsidR="00E56721" w:rsidRPr="00FD02CC" w:rsidP="006E67D8" w14:textId="77777777">
                          <w:pPr>
                            <w:rPr>
                              <w:color w:val="FFFFFF" w:themeColor="background1"/>
                              <w14:textOutline w14:w="19050" w14:cap="rnd" w14:cmpd="dbl">
                                <w14:solidFill>
                                  <w14:schemeClr w14:val="bg1">
                                    <w14:lumMod w14:val="65000"/>
                                  </w14:schemeClr>
                                </w14:solidFill>
                                <w14:prstDash w14:val="dash"/>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61" type="#_x0000_t202" style="width:510.25pt;height:708.65pt;margin-top:-82.9pt;margin-left:-75.2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top;z-index:-251630592" filled="f" strokecolor="#a5a5a5" strokeweight="0.25pt">
              <v:stroke dashstyle="longDash"/>
              <v:textbox>
                <w:txbxContent>
                  <w:p w:rsidR="00E56721" w:rsidRPr="00FD02CC" w:rsidP="006E67D8" w14:paraId="64DE32B9" w14:textId="77777777">
                    <w:pPr>
                      <w:rPr>
                        <w:color w:val="FFFFFF" w:themeColor="background1"/>
                        <w14:textOutline w14:w="19050" w14:cap="rnd" w14:cmpd="dbl">
                          <w14:solidFill>
                            <w14:schemeClr w14:val="bg1">
                              <w14:lumMod w14:val="65000"/>
                            </w14:schemeClr>
                          </w14:solidFill>
                          <w14:prstDash w14:val="dash"/>
                          <w14:bevel/>
                        </w14:textOutline>
                      </w:rPr>
                    </w:pPr>
                  </w:p>
                </w:txbxContent>
              </v:textbox>
              <w10:wrap anchorx="margin" anchory="margin"/>
            </v:shape>
          </w:pict>
        </mc:Fallback>
      </mc:AlternateContent>
    </w:r>
    <w:r>
      <w:rPr>
        <w:noProof/>
      </w:rPr>
      <mc:AlternateContent>
        <mc:Choice Requires="wps">
          <w:drawing>
            <wp:anchor distT="0" distB="0" distL="114300" distR="114300" simplePos="0" relativeHeight="251681792" behindDoc="0" locked="0" layoutInCell="1" allowOverlap="1">
              <wp:simplePos x="0" y="0"/>
              <wp:positionH relativeFrom="column">
                <wp:posOffset>-716280</wp:posOffset>
              </wp:positionH>
              <wp:positionV relativeFrom="paragraph">
                <wp:posOffset>-729615</wp:posOffset>
              </wp:positionV>
              <wp:extent cx="304800" cy="7958455"/>
              <wp:effectExtent l="0" t="0" r="19050" b="23495"/>
              <wp:wrapSquare wrapText="bothSides"/>
              <wp:docPr id="60" name="Text Box 1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04800" cy="7958455"/>
                      </a:xfrm>
                      <a:prstGeom prst="rect">
                        <a:avLst/>
                      </a:prstGeom>
                      <a:solidFill>
                        <a:srgbClr val="00305F"/>
                      </a:solidFill>
                      <a:ln>
                        <a:solidFill>
                          <a:srgbClr val="00305F"/>
                        </a:solidFill>
                      </a:ln>
                    </wps:spPr>
                    <wps:txbx>
                      <w:txbxContent>
                        <w:p w:rsidR="00E56721" w:rsidRPr="009B7D1B" w:rsidP="00747D5C" w14:textId="39F0647A">
                          <w:pPr>
                            <w:pStyle w:val="Bodytext70"/>
                            <w:shd w:val="clear" w:color="auto" w:fill="003060"/>
                            <w:rPr>
                              <w:rFonts w:ascii="Tahoma" w:hAnsi="Tahoma" w:cs="Tahoma"/>
                              <w:b/>
                              <w:bCs/>
                              <w:rtl/>
                            </w:rPr>
                          </w:pPr>
                          <w:r>
                            <w:rPr>
                              <w:rStyle w:val="Bodytext7NotBoldExact"/>
                              <w:rFonts w:hint="cs"/>
                              <w:rtl/>
                            </w:rPr>
                            <w:t>....ה</w:t>
                          </w:r>
                          <w:r>
                            <w:rPr>
                              <w:rFonts w:hint="cs"/>
                              <w:rtl/>
                            </w:rPr>
                            <w:t xml:space="preserve">                         </w:t>
                          </w:r>
                          <w:r w:rsidR="002A7BBC">
                            <w:rPr>
                              <w:rFonts w:hint="cs"/>
                              <w:rtl/>
                            </w:rPr>
                            <w:t xml:space="preserve">    </w:t>
                          </w:r>
                          <w:r>
                            <w:rPr>
                              <w:rFonts w:hint="cs"/>
                              <w:rtl/>
                            </w:rPr>
                            <w:t xml:space="preserve">   </w:t>
                          </w:r>
                          <w:r w:rsidR="00B228AD">
                            <w:rPr>
                              <w:rFonts w:hint="cs"/>
                              <w:rtl/>
                            </w:rPr>
                            <w:t xml:space="preserve">    </w:t>
                          </w:r>
                          <w:r>
                            <w:rPr>
                              <w:rFonts w:hint="cs"/>
                              <w:rtl/>
                            </w:rPr>
                            <w:t xml:space="preserve">         </w:t>
                          </w:r>
                          <w:r w:rsidR="001E2DD8">
                            <w:rPr>
                              <w:rFonts w:ascii="Tahoma" w:hAnsi="Tahoma" w:cs="Tahoma" w:hint="cs"/>
                              <w:sz w:val="24"/>
                              <w:szCs w:val="24"/>
                              <w:rtl/>
                            </w:rPr>
                            <w:t xml:space="preserve">    </w:t>
                          </w:r>
                          <w:r w:rsidR="002A7BBC">
                            <w:rPr>
                              <w:rFonts w:ascii="Tahoma" w:hAnsi="Tahoma" w:cs="Tahoma" w:hint="cs"/>
                              <w:sz w:val="24"/>
                              <w:szCs w:val="24"/>
                              <w:rtl/>
                            </w:rPr>
                            <w:t xml:space="preserve"> </w:t>
                          </w:r>
                          <w:r>
                            <w:rPr>
                              <w:rFonts w:ascii="Tahoma" w:hAnsi="Tahoma" w:cs="Tahoma" w:hint="cs"/>
                              <w:sz w:val="24"/>
                              <w:szCs w:val="24"/>
                              <w:rtl/>
                            </w:rPr>
                            <w:t xml:space="preserve"> </w:t>
                          </w:r>
                          <w:r w:rsidRPr="00565F1B">
                            <w:rPr>
                              <w:rFonts w:ascii="Tahoma" w:hAnsi="Tahoma" w:cs="Tahoma" w:hint="cs"/>
                              <w:rtl/>
                            </w:rPr>
                            <w:t>|</w:t>
                          </w:r>
                          <w:r w:rsidRPr="00565F1B">
                            <w:rPr>
                              <w:rFonts w:ascii="Tahoma" w:hAnsi="Tahoma" w:cs="Tahoma" w:hint="cs"/>
                              <w:sz w:val="24"/>
                              <w:szCs w:val="24"/>
                              <w:rtl/>
                            </w:rPr>
                            <w:t xml:space="preserve"> </w:t>
                          </w:r>
                          <w:r w:rsidRPr="00565F1B">
                            <w:rPr>
                              <w:rFonts w:ascii="Tahoma" w:hAnsi="Tahoma" w:cs="Tahoma" w:hint="cs"/>
                              <w:rtl/>
                            </w:rPr>
                            <w:t xml:space="preserve"> </w:t>
                          </w:r>
                          <w:r w:rsidRPr="00747D5C" w:rsidR="00747D5C">
                            <w:rPr>
                              <w:rFonts w:ascii="Tahoma" w:hAnsi="Tahoma" w:cs="Tahoma"/>
                              <w:b/>
                              <w:bCs/>
                              <w:rtl/>
                            </w:rPr>
                            <w:t xml:space="preserve">ניהול זיכיון ים המלח והפיקוח עליו - היבטים בתחומי </w:t>
                          </w:r>
                          <w:r w:rsidRPr="00E668E3" w:rsidR="00E668E3">
                            <w:rPr>
                              <w:rFonts w:ascii="Tahoma" w:hAnsi="Tahoma" w:cs="Tahoma"/>
                              <w:b/>
                              <w:bCs/>
                              <w:rtl/>
                            </w:rPr>
                            <w:t>הסביבה והמקרקעין</w:t>
                          </w:r>
                        </w:p>
                      </w:txbxContent>
                    </wps:txbx>
                    <wps:bodyPr rot="0" vert="vert270"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_x0000_s2062" type="#_x0000_t202" alt="&quot;&quot;" style="width:24pt;height:626.65pt;margin-top:-57.45pt;margin-left:-56.4pt;mso-height-percent:0;mso-height-relative:margin;mso-width-percent:0;mso-width-relative:margin;mso-wrap-distance-bottom:0;mso-wrap-distance-left:9pt;mso-wrap-distance-right:9pt;mso-wrap-distance-top:0;mso-wrap-style:square;position:absolute;visibility:visible;v-text-anchor:top;z-index:251682816" fillcolor="#00305f" strokecolor="#00305f">
              <v:textbox style="layout-flow:vertical;mso-layout-flow-alt:bottom-to-top" inset="0,0,0,0">
                <w:txbxContent>
                  <w:p w:rsidR="00E56721" w:rsidRPr="009B7D1B" w:rsidP="00747D5C" w14:paraId="3B4CCAD6" w14:textId="39F0647A">
                    <w:pPr>
                      <w:pStyle w:val="Bodytext70"/>
                      <w:shd w:val="clear" w:color="auto" w:fill="003060"/>
                      <w:rPr>
                        <w:rFonts w:ascii="Tahoma" w:hAnsi="Tahoma" w:cs="Tahoma"/>
                        <w:b/>
                        <w:bCs/>
                        <w:rtl/>
                      </w:rPr>
                    </w:pPr>
                    <w:r>
                      <w:rPr>
                        <w:rStyle w:val="Bodytext7NotBoldExact"/>
                        <w:rFonts w:hint="cs"/>
                        <w:rtl/>
                      </w:rPr>
                      <w:t>....ה</w:t>
                    </w:r>
                    <w:r>
                      <w:rPr>
                        <w:rFonts w:hint="cs"/>
                        <w:rtl/>
                      </w:rPr>
                      <w:t xml:space="preserve">                         </w:t>
                    </w:r>
                    <w:r w:rsidR="002A7BBC">
                      <w:rPr>
                        <w:rFonts w:hint="cs"/>
                        <w:rtl/>
                      </w:rPr>
                      <w:t xml:space="preserve">    </w:t>
                    </w:r>
                    <w:r>
                      <w:rPr>
                        <w:rFonts w:hint="cs"/>
                        <w:rtl/>
                      </w:rPr>
                      <w:t xml:space="preserve">   </w:t>
                    </w:r>
                    <w:r w:rsidR="00B228AD">
                      <w:rPr>
                        <w:rFonts w:hint="cs"/>
                        <w:rtl/>
                      </w:rPr>
                      <w:t xml:space="preserve">    </w:t>
                    </w:r>
                    <w:r>
                      <w:rPr>
                        <w:rFonts w:hint="cs"/>
                        <w:rtl/>
                      </w:rPr>
                      <w:t xml:space="preserve">         </w:t>
                    </w:r>
                    <w:r w:rsidR="001E2DD8">
                      <w:rPr>
                        <w:rFonts w:ascii="Tahoma" w:hAnsi="Tahoma" w:cs="Tahoma" w:hint="cs"/>
                        <w:sz w:val="24"/>
                        <w:szCs w:val="24"/>
                        <w:rtl/>
                      </w:rPr>
                      <w:t xml:space="preserve">    </w:t>
                    </w:r>
                    <w:r w:rsidR="002A7BBC">
                      <w:rPr>
                        <w:rFonts w:ascii="Tahoma" w:hAnsi="Tahoma" w:cs="Tahoma" w:hint="cs"/>
                        <w:sz w:val="24"/>
                        <w:szCs w:val="24"/>
                        <w:rtl/>
                      </w:rPr>
                      <w:t xml:space="preserve"> </w:t>
                    </w:r>
                    <w:r>
                      <w:rPr>
                        <w:rFonts w:ascii="Tahoma" w:hAnsi="Tahoma" w:cs="Tahoma" w:hint="cs"/>
                        <w:sz w:val="24"/>
                        <w:szCs w:val="24"/>
                        <w:rtl/>
                      </w:rPr>
                      <w:t xml:space="preserve"> </w:t>
                    </w:r>
                    <w:r w:rsidRPr="00565F1B">
                      <w:rPr>
                        <w:rFonts w:ascii="Tahoma" w:hAnsi="Tahoma" w:cs="Tahoma" w:hint="cs"/>
                        <w:rtl/>
                      </w:rPr>
                      <w:t>|</w:t>
                    </w:r>
                    <w:r w:rsidRPr="00565F1B">
                      <w:rPr>
                        <w:rFonts w:ascii="Tahoma" w:hAnsi="Tahoma" w:cs="Tahoma" w:hint="cs"/>
                        <w:sz w:val="24"/>
                        <w:szCs w:val="24"/>
                        <w:rtl/>
                      </w:rPr>
                      <w:t xml:space="preserve"> </w:t>
                    </w:r>
                    <w:r w:rsidRPr="00565F1B">
                      <w:rPr>
                        <w:rFonts w:ascii="Tahoma" w:hAnsi="Tahoma" w:cs="Tahoma" w:hint="cs"/>
                        <w:rtl/>
                      </w:rPr>
                      <w:t xml:space="preserve"> </w:t>
                    </w:r>
                    <w:r w:rsidRPr="00747D5C" w:rsidR="00747D5C">
                      <w:rPr>
                        <w:rFonts w:ascii="Tahoma" w:hAnsi="Tahoma" w:cs="Tahoma"/>
                        <w:b/>
                        <w:bCs/>
                        <w:rtl/>
                      </w:rPr>
                      <w:t xml:space="preserve">ניהול זיכיון ים המלח והפיקוח עליו - היבטים בתחומי </w:t>
                    </w:r>
                    <w:r w:rsidRPr="00E668E3" w:rsidR="00E668E3">
                      <w:rPr>
                        <w:rFonts w:ascii="Tahoma" w:hAnsi="Tahoma" w:cs="Tahoma"/>
                        <w:b/>
                        <w:bCs/>
                        <w:rtl/>
                      </w:rPr>
                      <w:t>הסביבה והמקרקעין</w:t>
                    </w:r>
                  </w:p>
                </w:txbxContent>
              </v:textbox>
              <w10:wrap type="square"/>
            </v:shape>
          </w:pict>
        </mc:Fallback>
      </mc:AlternateContent>
    </w:r>
  </w:p>
  <w:p w:rsidR="00E56721" w:rsidP="001526AC" w14:paraId="708CEE93" w14:textId="77777777">
    <w:pPr>
      <w:pStyle w:val="Header"/>
      <w:tabs>
        <w:tab w:val="left" w:pos="493"/>
        <w:tab w:val="center" w:pos="4111"/>
        <w:tab w:val="clear" w:pos="4153"/>
        <w:tab w:val="right" w:pos="7478"/>
        <w:tab w:val="right" w:pos="8222"/>
        <w:tab w:val="clear" w:pos="8306"/>
      </w:tabs>
      <w:jc w:val="left"/>
      <w:rPr>
        <w:rtl/>
      </w:rPr>
    </w:pPr>
  </w:p>
  <w:p w:rsidR="00E56721" w:rsidRPr="001526AC" w:rsidP="00005B23" w14:paraId="69A973A3" w14:textId="77777777">
    <w:pPr>
      <w:pStyle w:val="Header"/>
      <w:tabs>
        <w:tab w:val="left" w:pos="493"/>
        <w:tab w:val="center" w:pos="4111"/>
        <w:tab w:val="clear" w:pos="4153"/>
        <w:tab w:val="right" w:pos="7478"/>
        <w:tab w:val="right" w:pos="8222"/>
        <w:tab w:val="clear" w:pos="8306"/>
      </w:tabs>
      <w:jc w:val="left"/>
      <w:rPr>
        <w:rtl/>
      </w:rPr>
    </w:pPr>
    <w:r w:rsidRPr="00BB30F3">
      <w:rPr>
        <w:rFonts w:ascii="Tahoma" w:hAnsi="Tahoma" w:cs="Tahoma"/>
        <w:noProof/>
        <w:color w:val="002060"/>
        <w:sz w:val="18"/>
        <w:szCs w:val="18"/>
      </w:rPr>
      <mc:AlternateContent>
        <mc:Choice Requires="wps">
          <w:drawing>
            <wp:anchor distT="45720" distB="45720" distL="114300" distR="114300" simplePos="0" relativeHeight="251677696" behindDoc="0" locked="0" layoutInCell="1" allowOverlap="1">
              <wp:simplePos x="0" y="0"/>
              <wp:positionH relativeFrom="column">
                <wp:posOffset>271888</wp:posOffset>
              </wp:positionH>
              <wp:positionV relativeFrom="paragraph">
                <wp:posOffset>351790</wp:posOffset>
              </wp:positionV>
              <wp:extent cx="4459740" cy="295509"/>
              <wp:effectExtent l="0" t="0" r="10795" b="9525"/>
              <wp:wrapNone/>
              <wp:docPr id="61" name="Text Box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459740" cy="295509"/>
                      </a:xfrm>
                      <a:prstGeom prst="rect">
                        <a:avLst/>
                      </a:prstGeom>
                      <a:solidFill>
                        <a:srgbClr val="FFFFFF"/>
                      </a:solidFill>
                      <a:ln w="9525">
                        <a:solidFill>
                          <a:schemeClr val="bg1"/>
                        </a:solidFill>
                        <a:miter lim="800000"/>
                        <a:headEnd/>
                        <a:tailEnd/>
                      </a:ln>
                    </wps:spPr>
                    <wps:txbx>
                      <w:txbxContent>
                        <w:p w:rsidR="00784B1E" w:rsidRPr="00C55DC9" w:rsidP="00784B1E" w14:textId="25B89283">
                          <w:pPr>
                            <w:jc w:val="right"/>
                            <w:rPr>
                              <w:color w:val="0D0D0D" w:themeColor="text1" w:themeTint="F2"/>
                              <w:sz w:val="16"/>
                              <w:szCs w:val="16"/>
                            </w:rPr>
                          </w:pPr>
                          <w:r w:rsidRPr="00B66A3F">
                            <w:rPr>
                              <w:rFonts w:ascii="Tahoma" w:hAnsi="Tahoma" w:cs="Tahoma"/>
                              <w:color w:val="0D0D0D"/>
                              <w:sz w:val="16"/>
                              <w:szCs w:val="16"/>
                              <w:rtl/>
                            </w:rPr>
                            <w:t>מבקר המדינה</w:t>
                          </w:r>
                          <w:r>
                            <w:rPr>
                              <w:rFonts w:ascii="Tahoma" w:hAnsi="Tahoma" w:cs="Tahoma" w:hint="cs"/>
                              <w:color w:val="0D0D0D"/>
                              <w:sz w:val="16"/>
                              <w:szCs w:val="16"/>
                              <w:rtl/>
                            </w:rPr>
                            <w:t xml:space="preserve"> </w:t>
                          </w:r>
                          <w:r w:rsidR="001C3CE8">
                            <w:rPr>
                              <w:rFonts w:ascii="Tahoma" w:hAnsi="Tahoma" w:cs="Tahoma" w:hint="cs"/>
                              <w:color w:val="0D0D0D"/>
                              <w:sz w:val="16"/>
                              <w:szCs w:val="16"/>
                              <w:rtl/>
                            </w:rPr>
                            <w:t>-</w:t>
                          </w:r>
                          <w:r>
                            <w:rPr>
                              <w:rFonts w:ascii="Tahoma" w:hAnsi="Tahoma" w:cs="Tahoma" w:hint="cs"/>
                              <w:color w:val="0D0D0D"/>
                              <w:sz w:val="16"/>
                              <w:szCs w:val="16"/>
                              <w:rtl/>
                            </w:rPr>
                            <w:t xml:space="preserve"> דוח מיוחד</w:t>
                          </w:r>
                          <w:r w:rsidRPr="00B66A3F">
                            <w:rPr>
                              <w:rFonts w:ascii="Tahoma" w:hAnsi="Tahoma" w:cs="Tahoma"/>
                              <w:color w:val="0D0D0D"/>
                              <w:sz w:val="16"/>
                              <w:szCs w:val="16"/>
                              <w:rtl/>
                            </w:rPr>
                            <w:t xml:space="preserve"> | </w:t>
                          </w:r>
                          <w:r>
                            <w:rPr>
                              <w:rFonts w:ascii="Tahoma" w:hAnsi="Tahoma" w:cs="Tahoma" w:hint="cs"/>
                              <w:color w:val="0D0D0D"/>
                              <w:sz w:val="16"/>
                              <w:szCs w:val="16"/>
                              <w:rtl/>
                            </w:rPr>
                            <w:t>אדר</w:t>
                          </w:r>
                          <w:r w:rsidRPr="00B66A3F">
                            <w:rPr>
                              <w:rFonts w:ascii="Tahoma" w:hAnsi="Tahoma" w:cs="Tahoma"/>
                              <w:color w:val="0D0D0D"/>
                              <w:sz w:val="16"/>
                              <w:szCs w:val="16"/>
                              <w:rtl/>
                            </w:rPr>
                            <w:t xml:space="preserve"> </w:t>
                          </w:r>
                          <w:r w:rsidRPr="00B66A3F">
                            <w:rPr>
                              <w:rFonts w:ascii="Tahoma" w:hAnsi="Tahoma" w:cs="Tahoma"/>
                              <w:color w:val="0D0D0D"/>
                              <w:sz w:val="16"/>
                              <w:szCs w:val="16"/>
                              <w:rtl/>
                            </w:rPr>
                            <w:t>התשפ"ה</w:t>
                          </w:r>
                          <w:r w:rsidRPr="00B66A3F">
                            <w:rPr>
                              <w:rFonts w:ascii="Tahoma" w:hAnsi="Tahoma" w:cs="Tahoma"/>
                              <w:color w:val="0D0D0D"/>
                              <w:sz w:val="16"/>
                              <w:szCs w:val="16"/>
                              <w:rtl/>
                            </w:rPr>
                            <w:t xml:space="preserve"> | </w:t>
                          </w:r>
                          <w:r>
                            <w:rPr>
                              <w:rFonts w:ascii="Tahoma" w:hAnsi="Tahoma" w:cs="Tahoma" w:hint="cs"/>
                              <w:color w:val="0D0D0D"/>
                              <w:sz w:val="16"/>
                              <w:szCs w:val="16"/>
                              <w:rtl/>
                            </w:rPr>
                            <w:t>מרץ</w:t>
                          </w:r>
                          <w:r w:rsidRPr="00B66A3F">
                            <w:rPr>
                              <w:rFonts w:ascii="Tahoma" w:hAnsi="Tahoma" w:cs="Tahoma"/>
                              <w:color w:val="0D0D0D"/>
                              <w:sz w:val="16"/>
                              <w:szCs w:val="16"/>
                              <w:rtl/>
                            </w:rPr>
                            <w:t xml:space="preserve"> 2025</w:t>
                          </w:r>
                        </w:p>
                        <w:p w:rsidR="00E56721" w:rsidRPr="00C55DC9" w:rsidP="00B244B0" w14:textId="7E819CA9">
                          <w:pPr>
                            <w:jc w:val="right"/>
                            <w:rPr>
                              <w:color w:val="0D0D0D" w:themeColor="text1" w:themeTint="F2"/>
                              <w:sz w:val="16"/>
                              <w:szCs w:val="16"/>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2063" type="#_x0000_t202" alt="&quot;&quot;" style="width:351.15pt;height:23.25pt;margin-top:27.7pt;margin-left:21.4pt;mso-height-percent:0;mso-height-relative:margin;mso-width-percent:0;mso-width-relative:margin;mso-wrap-distance-bottom:3.6pt;mso-wrap-distance-left:9pt;mso-wrap-distance-right:9pt;mso-wrap-distance-top:3.6pt;mso-wrap-style:square;position:absolute;visibility:visible;v-text-anchor:top;z-index:251678720" strokecolor="white">
              <v:textbox>
                <w:txbxContent>
                  <w:p w:rsidR="00784B1E" w:rsidRPr="00C55DC9" w:rsidP="00784B1E" w14:paraId="4D6403F1" w14:textId="25B89283">
                    <w:pPr>
                      <w:jc w:val="right"/>
                      <w:rPr>
                        <w:color w:val="0D0D0D" w:themeColor="text1" w:themeTint="F2"/>
                        <w:sz w:val="16"/>
                        <w:szCs w:val="16"/>
                      </w:rPr>
                    </w:pPr>
                    <w:r w:rsidRPr="00B66A3F">
                      <w:rPr>
                        <w:rFonts w:ascii="Tahoma" w:hAnsi="Tahoma" w:cs="Tahoma"/>
                        <w:color w:val="0D0D0D"/>
                        <w:sz w:val="16"/>
                        <w:szCs w:val="16"/>
                        <w:rtl/>
                      </w:rPr>
                      <w:t>מבקר המדינה</w:t>
                    </w:r>
                    <w:r>
                      <w:rPr>
                        <w:rFonts w:ascii="Tahoma" w:hAnsi="Tahoma" w:cs="Tahoma" w:hint="cs"/>
                        <w:color w:val="0D0D0D"/>
                        <w:sz w:val="16"/>
                        <w:szCs w:val="16"/>
                        <w:rtl/>
                      </w:rPr>
                      <w:t xml:space="preserve"> </w:t>
                    </w:r>
                    <w:r w:rsidR="001C3CE8">
                      <w:rPr>
                        <w:rFonts w:ascii="Tahoma" w:hAnsi="Tahoma" w:cs="Tahoma" w:hint="cs"/>
                        <w:color w:val="0D0D0D"/>
                        <w:sz w:val="16"/>
                        <w:szCs w:val="16"/>
                        <w:rtl/>
                      </w:rPr>
                      <w:t>-</w:t>
                    </w:r>
                    <w:r>
                      <w:rPr>
                        <w:rFonts w:ascii="Tahoma" w:hAnsi="Tahoma" w:cs="Tahoma" w:hint="cs"/>
                        <w:color w:val="0D0D0D"/>
                        <w:sz w:val="16"/>
                        <w:szCs w:val="16"/>
                        <w:rtl/>
                      </w:rPr>
                      <w:t xml:space="preserve"> דוח מיוחד</w:t>
                    </w:r>
                    <w:r w:rsidRPr="00B66A3F">
                      <w:rPr>
                        <w:rFonts w:ascii="Tahoma" w:hAnsi="Tahoma" w:cs="Tahoma"/>
                        <w:color w:val="0D0D0D"/>
                        <w:sz w:val="16"/>
                        <w:szCs w:val="16"/>
                        <w:rtl/>
                      </w:rPr>
                      <w:t xml:space="preserve"> | </w:t>
                    </w:r>
                    <w:r>
                      <w:rPr>
                        <w:rFonts w:ascii="Tahoma" w:hAnsi="Tahoma" w:cs="Tahoma" w:hint="cs"/>
                        <w:color w:val="0D0D0D"/>
                        <w:sz w:val="16"/>
                        <w:szCs w:val="16"/>
                        <w:rtl/>
                      </w:rPr>
                      <w:t>אדר</w:t>
                    </w:r>
                    <w:r w:rsidRPr="00B66A3F">
                      <w:rPr>
                        <w:rFonts w:ascii="Tahoma" w:hAnsi="Tahoma" w:cs="Tahoma"/>
                        <w:color w:val="0D0D0D"/>
                        <w:sz w:val="16"/>
                        <w:szCs w:val="16"/>
                        <w:rtl/>
                      </w:rPr>
                      <w:t xml:space="preserve"> </w:t>
                    </w:r>
                    <w:r w:rsidRPr="00B66A3F">
                      <w:rPr>
                        <w:rFonts w:ascii="Tahoma" w:hAnsi="Tahoma" w:cs="Tahoma"/>
                        <w:color w:val="0D0D0D"/>
                        <w:sz w:val="16"/>
                        <w:szCs w:val="16"/>
                        <w:rtl/>
                      </w:rPr>
                      <w:t>התשפ"ה</w:t>
                    </w:r>
                    <w:r w:rsidRPr="00B66A3F">
                      <w:rPr>
                        <w:rFonts w:ascii="Tahoma" w:hAnsi="Tahoma" w:cs="Tahoma"/>
                        <w:color w:val="0D0D0D"/>
                        <w:sz w:val="16"/>
                        <w:szCs w:val="16"/>
                        <w:rtl/>
                      </w:rPr>
                      <w:t xml:space="preserve"> | </w:t>
                    </w:r>
                    <w:r>
                      <w:rPr>
                        <w:rFonts w:ascii="Tahoma" w:hAnsi="Tahoma" w:cs="Tahoma" w:hint="cs"/>
                        <w:color w:val="0D0D0D"/>
                        <w:sz w:val="16"/>
                        <w:szCs w:val="16"/>
                        <w:rtl/>
                      </w:rPr>
                      <w:t>מרץ</w:t>
                    </w:r>
                    <w:r w:rsidRPr="00B66A3F">
                      <w:rPr>
                        <w:rFonts w:ascii="Tahoma" w:hAnsi="Tahoma" w:cs="Tahoma"/>
                        <w:color w:val="0D0D0D"/>
                        <w:sz w:val="16"/>
                        <w:szCs w:val="16"/>
                        <w:rtl/>
                      </w:rPr>
                      <w:t xml:space="preserve"> 2025</w:t>
                    </w:r>
                  </w:p>
                  <w:p w:rsidR="00E56721" w:rsidRPr="00C55DC9" w:rsidP="00B244B0" w14:paraId="0C0E463E" w14:textId="7E819CA9">
                    <w:pPr>
                      <w:jc w:val="right"/>
                      <w:rPr>
                        <w:color w:val="0D0D0D" w:themeColor="text1" w:themeTint="F2"/>
                        <w:sz w:val="16"/>
                        <w:szCs w:val="16"/>
                      </w:rPr>
                    </w:pPr>
                  </w:p>
                </w:txbxContent>
              </v:textbox>
            </v:shape>
          </w:pict>
        </mc:Fallback>
      </mc:AlternateContent>
    </w:r>
    <w:r>
      <w:rPr>
        <w:rFonts w:ascii="Tahoma" w:hAnsi="Tahoma" w:cs="Tahoma"/>
        <w:noProof/>
        <w:sz w:val="22"/>
        <w:szCs w:val="22"/>
        <w:rtl/>
        <w:lang w:val="he-IL"/>
      </w:rPr>
      <w:drawing>
        <wp:anchor distT="0" distB="0" distL="114300" distR="114300" simplePos="0" relativeHeight="251683840" behindDoc="0" locked="0" layoutInCell="1" allowOverlap="1">
          <wp:simplePos x="0" y="0"/>
          <wp:positionH relativeFrom="column">
            <wp:posOffset>-59055</wp:posOffset>
          </wp:positionH>
          <wp:positionV relativeFrom="paragraph">
            <wp:posOffset>345440</wp:posOffset>
          </wp:positionV>
          <wp:extent cx="343535" cy="240030"/>
          <wp:effectExtent l="0" t="0" r="0" b="7620"/>
          <wp:wrapSquare wrapText="bothSides"/>
          <wp:docPr id="1113575872" name="Picture 9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575872" name="Picture 96">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43535" cy="24003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9744" behindDoc="0" locked="0" layoutInCell="1" allowOverlap="1">
              <wp:simplePos x="0" y="0"/>
              <wp:positionH relativeFrom="column">
                <wp:posOffset>-55880</wp:posOffset>
              </wp:positionH>
              <wp:positionV relativeFrom="paragraph">
                <wp:posOffset>640080</wp:posOffset>
              </wp:positionV>
              <wp:extent cx="6721475" cy="0"/>
              <wp:effectExtent l="0" t="0" r="0" b="0"/>
              <wp:wrapNone/>
              <wp:docPr id="62" name="Straight Connector 634"/>
              <wp:cNvGraphicFramePr/>
              <a:graphic xmlns:a="http://schemas.openxmlformats.org/drawingml/2006/main">
                <a:graphicData uri="http://schemas.microsoft.com/office/word/2010/wordprocessingShape">
                  <wps:wsp xmlns:wps="http://schemas.microsoft.com/office/word/2010/wordprocessingShape">
                    <wps:cNvCnPr/>
                    <wps:spPr>
                      <a:xfrm flipH="1">
                        <a:off x="0" y="0"/>
                        <a:ext cx="6721475" cy="0"/>
                      </a:xfrm>
                      <a:prstGeom prst="line">
                        <a:avLst/>
                      </a:prstGeom>
                      <a:ln w="3175">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34" o:spid="_x0000_s2064" style="flip:x;mso-height-percent:0;mso-height-relative:margin;mso-width-percent:0;mso-width-relative:margin;mso-wrap-distance-bottom:0;mso-wrap-distance-left:9pt;mso-wrap-distance-right:9pt;mso-wrap-distance-top:0;mso-wrap-style:square;position:absolute;visibility:visible;z-index:251680768" from="-4.4pt,50.4pt" to="524.85pt,50.4pt" strokecolor="#0d0d0d" strokeweight="0.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BD7DCB"/>
    <w:multiLevelType w:val="hybridMultilevel"/>
    <w:tmpl w:val="655E4D94"/>
    <w:lvl w:ilvl="0">
      <w:start w:val="1"/>
      <w:numFmt w:val="bullet"/>
      <w:lvlText w:val=""/>
      <w:lvlJc w:val="left"/>
      <w:pPr>
        <w:ind w:left="794" w:hanging="397"/>
      </w:pPr>
      <w:rPr>
        <w:rFonts w:ascii="Symbol" w:hAnsi="Symbol" w:cs="Symbol" w:hint="default"/>
        <w:b/>
        <w:bCs/>
        <w:color w:val="FF0000"/>
        <w:sz w:val="24"/>
        <w:szCs w:val="24"/>
      </w:rPr>
    </w:lvl>
    <w:lvl w:ilvl="1" w:tentative="1">
      <w:start w:val="1"/>
      <w:numFmt w:val="bullet"/>
      <w:lvlText w:val="o"/>
      <w:lvlJc w:val="left"/>
      <w:pPr>
        <w:ind w:left="1837" w:hanging="360"/>
      </w:pPr>
      <w:rPr>
        <w:rFonts w:ascii="Courier New" w:hAnsi="Courier New" w:cs="Courier New" w:hint="default"/>
      </w:rPr>
    </w:lvl>
    <w:lvl w:ilvl="2" w:tentative="1">
      <w:start w:val="1"/>
      <w:numFmt w:val="bullet"/>
      <w:lvlText w:val=""/>
      <w:lvlJc w:val="left"/>
      <w:pPr>
        <w:ind w:left="2557" w:hanging="360"/>
      </w:pPr>
      <w:rPr>
        <w:rFonts w:ascii="Wingdings" w:hAnsi="Wingdings" w:hint="default"/>
      </w:rPr>
    </w:lvl>
    <w:lvl w:ilvl="3" w:tentative="1">
      <w:start w:val="1"/>
      <w:numFmt w:val="bullet"/>
      <w:lvlText w:val=""/>
      <w:lvlJc w:val="left"/>
      <w:pPr>
        <w:ind w:left="3277" w:hanging="360"/>
      </w:pPr>
      <w:rPr>
        <w:rFonts w:ascii="Symbol" w:hAnsi="Symbol" w:hint="default"/>
      </w:rPr>
    </w:lvl>
    <w:lvl w:ilvl="4" w:tentative="1">
      <w:start w:val="1"/>
      <w:numFmt w:val="bullet"/>
      <w:lvlText w:val="o"/>
      <w:lvlJc w:val="left"/>
      <w:pPr>
        <w:ind w:left="3997" w:hanging="360"/>
      </w:pPr>
      <w:rPr>
        <w:rFonts w:ascii="Courier New" w:hAnsi="Courier New" w:cs="Courier New" w:hint="default"/>
      </w:rPr>
    </w:lvl>
    <w:lvl w:ilvl="5" w:tentative="1">
      <w:start w:val="1"/>
      <w:numFmt w:val="bullet"/>
      <w:lvlText w:val=""/>
      <w:lvlJc w:val="left"/>
      <w:pPr>
        <w:ind w:left="4717" w:hanging="360"/>
      </w:pPr>
      <w:rPr>
        <w:rFonts w:ascii="Wingdings" w:hAnsi="Wingdings" w:hint="default"/>
      </w:rPr>
    </w:lvl>
    <w:lvl w:ilvl="6" w:tentative="1">
      <w:start w:val="1"/>
      <w:numFmt w:val="bullet"/>
      <w:lvlText w:val=""/>
      <w:lvlJc w:val="left"/>
      <w:pPr>
        <w:ind w:left="5437" w:hanging="360"/>
      </w:pPr>
      <w:rPr>
        <w:rFonts w:ascii="Symbol" w:hAnsi="Symbol" w:hint="default"/>
      </w:rPr>
    </w:lvl>
    <w:lvl w:ilvl="7" w:tentative="1">
      <w:start w:val="1"/>
      <w:numFmt w:val="bullet"/>
      <w:lvlText w:val="o"/>
      <w:lvlJc w:val="left"/>
      <w:pPr>
        <w:ind w:left="6157" w:hanging="360"/>
      </w:pPr>
      <w:rPr>
        <w:rFonts w:ascii="Courier New" w:hAnsi="Courier New" w:cs="Courier New" w:hint="default"/>
      </w:rPr>
    </w:lvl>
    <w:lvl w:ilvl="8" w:tentative="1">
      <w:start w:val="1"/>
      <w:numFmt w:val="bullet"/>
      <w:lvlText w:val=""/>
      <w:lvlJc w:val="left"/>
      <w:pPr>
        <w:ind w:left="6877" w:hanging="360"/>
      </w:pPr>
      <w:rPr>
        <w:rFonts w:ascii="Wingdings" w:hAnsi="Wingdings" w:hint="default"/>
      </w:rPr>
    </w:lvl>
  </w:abstractNum>
  <w:abstractNum w:abstractNumId="1">
    <w:nsid w:val="063131DC"/>
    <w:multiLevelType w:val="hybridMultilevel"/>
    <w:tmpl w:val="0DEED552"/>
    <w:lvl w:ilvl="0">
      <w:start w:val="1"/>
      <w:numFmt w:val="bullet"/>
      <w:lvlText w:val=""/>
      <w:lvlJc w:val="left"/>
      <w:pPr>
        <w:ind w:left="794" w:hanging="397"/>
      </w:pPr>
      <w:rPr>
        <w:rFonts w:ascii="Symbol" w:hAnsi="Symbol" w:cs="Symbol" w:hint="default"/>
        <w:b/>
        <w:bCs/>
        <w:color w:val="FF0000"/>
        <w:sz w:val="24"/>
        <w:szCs w:val="24"/>
      </w:rPr>
    </w:lvl>
    <w:lvl w:ilvl="1" w:tentative="1">
      <w:start w:val="1"/>
      <w:numFmt w:val="lowerLetter"/>
      <w:lvlText w:val="%2."/>
      <w:lvlJc w:val="left"/>
      <w:pPr>
        <w:ind w:left="937" w:hanging="360"/>
      </w:pPr>
    </w:lvl>
    <w:lvl w:ilvl="2" w:tentative="1">
      <w:start w:val="1"/>
      <w:numFmt w:val="lowerRoman"/>
      <w:lvlText w:val="%3."/>
      <w:lvlJc w:val="right"/>
      <w:pPr>
        <w:ind w:left="1657" w:hanging="180"/>
      </w:pPr>
    </w:lvl>
    <w:lvl w:ilvl="3" w:tentative="1">
      <w:start w:val="1"/>
      <w:numFmt w:val="decimal"/>
      <w:lvlText w:val="%4."/>
      <w:lvlJc w:val="left"/>
      <w:pPr>
        <w:ind w:left="2377" w:hanging="360"/>
      </w:pPr>
    </w:lvl>
    <w:lvl w:ilvl="4" w:tentative="1">
      <w:start w:val="1"/>
      <w:numFmt w:val="lowerLetter"/>
      <w:lvlText w:val="%5."/>
      <w:lvlJc w:val="left"/>
      <w:pPr>
        <w:ind w:left="3097" w:hanging="360"/>
      </w:pPr>
    </w:lvl>
    <w:lvl w:ilvl="5" w:tentative="1">
      <w:start w:val="1"/>
      <w:numFmt w:val="lowerRoman"/>
      <w:lvlText w:val="%6."/>
      <w:lvlJc w:val="right"/>
      <w:pPr>
        <w:ind w:left="3817" w:hanging="180"/>
      </w:pPr>
    </w:lvl>
    <w:lvl w:ilvl="6" w:tentative="1">
      <w:start w:val="1"/>
      <w:numFmt w:val="decimal"/>
      <w:lvlText w:val="%7."/>
      <w:lvlJc w:val="left"/>
      <w:pPr>
        <w:ind w:left="4537" w:hanging="360"/>
      </w:pPr>
    </w:lvl>
    <w:lvl w:ilvl="7" w:tentative="1">
      <w:start w:val="1"/>
      <w:numFmt w:val="lowerLetter"/>
      <w:lvlText w:val="%8."/>
      <w:lvlJc w:val="left"/>
      <w:pPr>
        <w:ind w:left="5257" w:hanging="360"/>
      </w:pPr>
    </w:lvl>
    <w:lvl w:ilvl="8" w:tentative="1">
      <w:start w:val="1"/>
      <w:numFmt w:val="lowerRoman"/>
      <w:lvlText w:val="%9."/>
      <w:lvlJc w:val="right"/>
      <w:pPr>
        <w:ind w:left="5977" w:hanging="180"/>
      </w:pPr>
    </w:lvl>
  </w:abstractNum>
  <w:abstractNum w:abstractNumId="2">
    <w:nsid w:val="07C54509"/>
    <w:multiLevelType w:val="multilevel"/>
    <w:tmpl w:val="3030E6FC"/>
    <w:lvl w:ilvl="0">
      <w:start w:val="1"/>
      <w:numFmt w:val="decimal"/>
      <w:pStyle w:val="7324"/>
      <w:lvlText w:val="%1."/>
      <w:lvlJc w:val="left"/>
      <w:pPr>
        <w:ind w:left="340" w:hanging="340"/>
      </w:pPr>
      <w:rPr>
        <w:rFonts w:hint="default"/>
      </w:rPr>
    </w:lvl>
    <w:lvl w:ilvl="1">
      <w:start w:val="1"/>
      <w:numFmt w:val="hebrew1"/>
      <w:lvlText w:val="%2."/>
      <w:lvlJc w:val="left"/>
      <w:pPr>
        <w:ind w:left="680" w:hanging="340"/>
      </w:pPr>
      <w:rPr>
        <w:rFonts w:hint="default"/>
      </w:rPr>
    </w:lvl>
    <w:lvl w:ilvl="2">
      <w:start w:val="1"/>
      <w:numFmt w:val="decimal"/>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3">
    <w:nsid w:val="09401F8F"/>
    <w:multiLevelType w:val="hybridMultilevel"/>
    <w:tmpl w:val="AAA053CE"/>
    <w:lvl w:ilvl="0">
      <w:start w:val="1"/>
      <w:numFmt w:val="decimal"/>
      <w:lvlText w:val="%1."/>
      <w:lvlJc w:val="left"/>
      <w:pPr>
        <w:ind w:left="397" w:hanging="397"/>
      </w:pPr>
      <w:rPr>
        <w:rFonts w:ascii="David" w:hAnsi="David" w:hint="default"/>
        <w:b w:val="0"/>
        <w:bCs w:val="0"/>
      </w:rPr>
    </w:lvl>
    <w:lvl w:ilvl="1" w:tentative="1">
      <w:start w:val="1"/>
      <w:numFmt w:val="lowerLetter"/>
      <w:lvlText w:val="%2."/>
      <w:lvlJc w:val="left"/>
      <w:pPr>
        <w:ind w:left="1695" w:hanging="360"/>
      </w:pPr>
    </w:lvl>
    <w:lvl w:ilvl="2" w:tentative="1">
      <w:start w:val="1"/>
      <w:numFmt w:val="lowerRoman"/>
      <w:lvlText w:val="%3."/>
      <w:lvlJc w:val="right"/>
      <w:pPr>
        <w:ind w:left="2415" w:hanging="180"/>
      </w:pPr>
    </w:lvl>
    <w:lvl w:ilvl="3" w:tentative="1">
      <w:start w:val="1"/>
      <w:numFmt w:val="decimal"/>
      <w:lvlText w:val="%4."/>
      <w:lvlJc w:val="left"/>
      <w:pPr>
        <w:ind w:left="3135" w:hanging="360"/>
      </w:pPr>
    </w:lvl>
    <w:lvl w:ilvl="4" w:tentative="1">
      <w:start w:val="1"/>
      <w:numFmt w:val="lowerLetter"/>
      <w:lvlText w:val="%5."/>
      <w:lvlJc w:val="left"/>
      <w:pPr>
        <w:ind w:left="3855" w:hanging="360"/>
      </w:pPr>
    </w:lvl>
    <w:lvl w:ilvl="5" w:tentative="1">
      <w:start w:val="1"/>
      <w:numFmt w:val="lowerRoman"/>
      <w:lvlText w:val="%6."/>
      <w:lvlJc w:val="right"/>
      <w:pPr>
        <w:ind w:left="4575" w:hanging="180"/>
      </w:pPr>
    </w:lvl>
    <w:lvl w:ilvl="6" w:tentative="1">
      <w:start w:val="1"/>
      <w:numFmt w:val="decimal"/>
      <w:lvlText w:val="%7."/>
      <w:lvlJc w:val="left"/>
      <w:pPr>
        <w:ind w:left="5295" w:hanging="360"/>
      </w:pPr>
    </w:lvl>
    <w:lvl w:ilvl="7" w:tentative="1">
      <w:start w:val="1"/>
      <w:numFmt w:val="lowerLetter"/>
      <w:lvlText w:val="%8."/>
      <w:lvlJc w:val="left"/>
      <w:pPr>
        <w:ind w:left="6015" w:hanging="360"/>
      </w:pPr>
    </w:lvl>
    <w:lvl w:ilvl="8" w:tentative="1">
      <w:start w:val="1"/>
      <w:numFmt w:val="lowerRoman"/>
      <w:lvlText w:val="%9."/>
      <w:lvlJc w:val="right"/>
      <w:pPr>
        <w:ind w:left="6735" w:hanging="180"/>
      </w:pPr>
    </w:lvl>
  </w:abstractNum>
  <w:abstractNum w:abstractNumId="4">
    <w:nsid w:val="0DDA1A01"/>
    <w:multiLevelType w:val="hybridMultilevel"/>
    <w:tmpl w:val="CD76C6BE"/>
    <w:lvl w:ilvl="0">
      <w:start w:val="1"/>
      <w:numFmt w:val="bullet"/>
      <w:pStyle w:val="73BULLET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10761D6"/>
    <w:multiLevelType w:val="hybridMultilevel"/>
    <w:tmpl w:val="CF66F992"/>
    <w:lvl w:ilvl="0">
      <w:start w:val="1"/>
      <w:numFmt w:val="decimal"/>
      <w:lvlText w:val="%1."/>
      <w:lvlJc w:val="left"/>
      <w:pPr>
        <w:ind w:left="397" w:hanging="397"/>
      </w:pPr>
      <w:rPr>
        <w:rFonts w:ascii="David" w:hAnsi="David"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1E82FF5"/>
    <w:multiLevelType w:val="hybridMultilevel"/>
    <w:tmpl w:val="74429DFC"/>
    <w:lvl w:ilvl="0">
      <w:start w:val="2"/>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74A268B"/>
    <w:multiLevelType w:val="hybridMultilevel"/>
    <w:tmpl w:val="FD46267E"/>
    <w:lvl w:ilvl="0">
      <w:start w:val="1"/>
      <w:numFmt w:val="decimal"/>
      <w:lvlText w:val="%1."/>
      <w:lvlJc w:val="left"/>
      <w:pPr>
        <w:ind w:left="397" w:hanging="397"/>
      </w:pPr>
      <w:rPr>
        <w:rFonts w:ascii="David" w:hAnsi="David" w:hint="default"/>
        <w:b w:val="0"/>
        <w:bCs w:val="0"/>
      </w:rPr>
    </w:lvl>
    <w:lvl w:ilvl="1" w:tentative="1">
      <w:start w:val="1"/>
      <w:numFmt w:val="lowerLetter"/>
      <w:lvlText w:val="%2."/>
      <w:lvlJc w:val="left"/>
      <w:pPr>
        <w:ind w:left="1695" w:hanging="360"/>
      </w:pPr>
    </w:lvl>
    <w:lvl w:ilvl="2" w:tentative="1">
      <w:start w:val="1"/>
      <w:numFmt w:val="lowerRoman"/>
      <w:lvlText w:val="%3."/>
      <w:lvlJc w:val="right"/>
      <w:pPr>
        <w:ind w:left="2415" w:hanging="180"/>
      </w:pPr>
    </w:lvl>
    <w:lvl w:ilvl="3" w:tentative="1">
      <w:start w:val="1"/>
      <w:numFmt w:val="decimal"/>
      <w:lvlText w:val="%4."/>
      <w:lvlJc w:val="left"/>
      <w:pPr>
        <w:ind w:left="3135" w:hanging="360"/>
      </w:pPr>
    </w:lvl>
    <w:lvl w:ilvl="4" w:tentative="1">
      <w:start w:val="1"/>
      <w:numFmt w:val="lowerLetter"/>
      <w:lvlText w:val="%5."/>
      <w:lvlJc w:val="left"/>
      <w:pPr>
        <w:ind w:left="3855" w:hanging="360"/>
      </w:pPr>
    </w:lvl>
    <w:lvl w:ilvl="5" w:tentative="1">
      <w:start w:val="1"/>
      <w:numFmt w:val="lowerRoman"/>
      <w:lvlText w:val="%6."/>
      <w:lvlJc w:val="right"/>
      <w:pPr>
        <w:ind w:left="4575" w:hanging="180"/>
      </w:pPr>
    </w:lvl>
    <w:lvl w:ilvl="6" w:tentative="1">
      <w:start w:val="1"/>
      <w:numFmt w:val="decimal"/>
      <w:lvlText w:val="%7."/>
      <w:lvlJc w:val="left"/>
      <w:pPr>
        <w:ind w:left="5295" w:hanging="360"/>
      </w:pPr>
    </w:lvl>
    <w:lvl w:ilvl="7" w:tentative="1">
      <w:start w:val="1"/>
      <w:numFmt w:val="lowerLetter"/>
      <w:lvlText w:val="%8."/>
      <w:lvlJc w:val="left"/>
      <w:pPr>
        <w:ind w:left="6015" w:hanging="360"/>
      </w:pPr>
    </w:lvl>
    <w:lvl w:ilvl="8" w:tentative="1">
      <w:start w:val="1"/>
      <w:numFmt w:val="lowerRoman"/>
      <w:lvlText w:val="%9."/>
      <w:lvlJc w:val="right"/>
      <w:pPr>
        <w:ind w:left="6735" w:hanging="180"/>
      </w:pPr>
    </w:lvl>
  </w:abstractNum>
  <w:abstractNum w:abstractNumId="8">
    <w:nsid w:val="276F79A1"/>
    <w:multiLevelType w:val="hybridMultilevel"/>
    <w:tmpl w:val="DDFE08B4"/>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290B3D5E"/>
    <w:multiLevelType w:val="hybridMultilevel"/>
    <w:tmpl w:val="110A0DC6"/>
    <w:lvl w:ilvl="0">
      <w:start w:val="3"/>
      <w:numFmt w:val="decimal"/>
      <w:lvlText w:val="%1."/>
      <w:lvlJc w:val="left"/>
      <w:pPr>
        <w:ind w:left="821" w:hanging="396"/>
      </w:pPr>
      <w:rPr>
        <w:rFonts w:ascii="Tahoma" w:hAnsi="Tahoma" w:cs="Tahoma" w:hint="default"/>
        <w:sz w:val="18"/>
        <w:szCs w:val="18"/>
      </w:rPr>
    </w:lvl>
    <w:lvl w:ilvl="1" w:tentative="1">
      <w:start w:val="1"/>
      <w:numFmt w:val="lowerLetter"/>
      <w:lvlText w:val="%2."/>
      <w:lvlJc w:val="left"/>
      <w:pPr>
        <w:ind w:left="1581" w:hanging="360"/>
      </w:pPr>
    </w:lvl>
    <w:lvl w:ilvl="2" w:tentative="1">
      <w:start w:val="1"/>
      <w:numFmt w:val="lowerRoman"/>
      <w:lvlText w:val="%3."/>
      <w:lvlJc w:val="right"/>
      <w:pPr>
        <w:ind w:left="2301" w:hanging="180"/>
      </w:pPr>
    </w:lvl>
    <w:lvl w:ilvl="3" w:tentative="1">
      <w:start w:val="1"/>
      <w:numFmt w:val="decimal"/>
      <w:lvlText w:val="%4."/>
      <w:lvlJc w:val="left"/>
      <w:pPr>
        <w:ind w:left="3021" w:hanging="360"/>
      </w:pPr>
    </w:lvl>
    <w:lvl w:ilvl="4" w:tentative="1">
      <w:start w:val="1"/>
      <w:numFmt w:val="lowerLetter"/>
      <w:lvlText w:val="%5."/>
      <w:lvlJc w:val="left"/>
      <w:pPr>
        <w:ind w:left="3741" w:hanging="360"/>
      </w:pPr>
    </w:lvl>
    <w:lvl w:ilvl="5" w:tentative="1">
      <w:start w:val="1"/>
      <w:numFmt w:val="lowerRoman"/>
      <w:lvlText w:val="%6."/>
      <w:lvlJc w:val="right"/>
      <w:pPr>
        <w:ind w:left="4461" w:hanging="180"/>
      </w:pPr>
    </w:lvl>
    <w:lvl w:ilvl="6" w:tentative="1">
      <w:start w:val="1"/>
      <w:numFmt w:val="decimal"/>
      <w:lvlText w:val="%7."/>
      <w:lvlJc w:val="left"/>
      <w:pPr>
        <w:ind w:left="5181" w:hanging="360"/>
      </w:pPr>
    </w:lvl>
    <w:lvl w:ilvl="7" w:tentative="1">
      <w:start w:val="1"/>
      <w:numFmt w:val="lowerLetter"/>
      <w:lvlText w:val="%8."/>
      <w:lvlJc w:val="left"/>
      <w:pPr>
        <w:ind w:left="5901" w:hanging="360"/>
      </w:pPr>
    </w:lvl>
    <w:lvl w:ilvl="8" w:tentative="1">
      <w:start w:val="1"/>
      <w:numFmt w:val="lowerRoman"/>
      <w:lvlText w:val="%9."/>
      <w:lvlJc w:val="right"/>
      <w:pPr>
        <w:ind w:left="6621" w:hanging="180"/>
      </w:pPr>
    </w:lvl>
  </w:abstractNum>
  <w:abstractNum w:abstractNumId="10">
    <w:nsid w:val="2BF20D19"/>
    <w:multiLevelType w:val="hybridMultilevel"/>
    <w:tmpl w:val="DD94171E"/>
    <w:lvl w:ilvl="0">
      <w:start w:val="1"/>
      <w:numFmt w:val="decimal"/>
      <w:lvlText w:val="%1."/>
      <w:lvlJc w:val="left"/>
      <w:pPr>
        <w:ind w:left="720" w:hanging="360"/>
      </w:pPr>
      <w:rPr>
        <w:rFonts w:hint="default"/>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C921BB6"/>
    <w:multiLevelType w:val="hybridMultilevel"/>
    <w:tmpl w:val="5622AC7C"/>
    <w:lvl w:ilvl="0">
      <w:start w:val="1"/>
      <w:numFmt w:val="bullet"/>
      <w:lvlText w:val=""/>
      <w:lvlJc w:val="left"/>
      <w:pPr>
        <w:ind w:left="794" w:hanging="397"/>
      </w:pPr>
      <w:rPr>
        <w:rFonts w:ascii="Symbol" w:hAnsi="Symbol" w:cs="Symbol" w:hint="default"/>
        <w:b/>
        <w:bCs/>
        <w:color w:val="FF0000"/>
        <w:sz w:val="24"/>
        <w:szCs w:val="24"/>
      </w:rPr>
    </w:lvl>
    <w:lvl w:ilvl="1" w:tentative="1">
      <w:start w:val="1"/>
      <w:numFmt w:val="bullet"/>
      <w:lvlText w:val="o"/>
      <w:lvlJc w:val="left"/>
      <w:pPr>
        <w:ind w:left="1837" w:hanging="360"/>
      </w:pPr>
      <w:rPr>
        <w:rFonts w:ascii="Courier New" w:hAnsi="Courier New" w:cs="Courier New" w:hint="default"/>
      </w:rPr>
    </w:lvl>
    <w:lvl w:ilvl="2" w:tentative="1">
      <w:start w:val="1"/>
      <w:numFmt w:val="bullet"/>
      <w:lvlText w:val=""/>
      <w:lvlJc w:val="left"/>
      <w:pPr>
        <w:ind w:left="2557" w:hanging="360"/>
      </w:pPr>
      <w:rPr>
        <w:rFonts w:ascii="Wingdings" w:hAnsi="Wingdings" w:hint="default"/>
      </w:rPr>
    </w:lvl>
    <w:lvl w:ilvl="3" w:tentative="1">
      <w:start w:val="1"/>
      <w:numFmt w:val="bullet"/>
      <w:lvlText w:val=""/>
      <w:lvlJc w:val="left"/>
      <w:pPr>
        <w:ind w:left="3277" w:hanging="360"/>
      </w:pPr>
      <w:rPr>
        <w:rFonts w:ascii="Symbol" w:hAnsi="Symbol" w:hint="default"/>
      </w:rPr>
    </w:lvl>
    <w:lvl w:ilvl="4" w:tentative="1">
      <w:start w:val="1"/>
      <w:numFmt w:val="bullet"/>
      <w:lvlText w:val="o"/>
      <w:lvlJc w:val="left"/>
      <w:pPr>
        <w:ind w:left="3997" w:hanging="360"/>
      </w:pPr>
      <w:rPr>
        <w:rFonts w:ascii="Courier New" w:hAnsi="Courier New" w:cs="Courier New" w:hint="default"/>
      </w:rPr>
    </w:lvl>
    <w:lvl w:ilvl="5" w:tentative="1">
      <w:start w:val="1"/>
      <w:numFmt w:val="bullet"/>
      <w:lvlText w:val=""/>
      <w:lvlJc w:val="left"/>
      <w:pPr>
        <w:ind w:left="4717" w:hanging="360"/>
      </w:pPr>
      <w:rPr>
        <w:rFonts w:ascii="Wingdings" w:hAnsi="Wingdings" w:hint="default"/>
      </w:rPr>
    </w:lvl>
    <w:lvl w:ilvl="6" w:tentative="1">
      <w:start w:val="1"/>
      <w:numFmt w:val="bullet"/>
      <w:lvlText w:val=""/>
      <w:lvlJc w:val="left"/>
      <w:pPr>
        <w:ind w:left="5437" w:hanging="360"/>
      </w:pPr>
      <w:rPr>
        <w:rFonts w:ascii="Symbol" w:hAnsi="Symbol" w:hint="default"/>
      </w:rPr>
    </w:lvl>
    <w:lvl w:ilvl="7" w:tentative="1">
      <w:start w:val="1"/>
      <w:numFmt w:val="bullet"/>
      <w:lvlText w:val="o"/>
      <w:lvlJc w:val="left"/>
      <w:pPr>
        <w:ind w:left="6157" w:hanging="360"/>
      </w:pPr>
      <w:rPr>
        <w:rFonts w:ascii="Courier New" w:hAnsi="Courier New" w:cs="Courier New" w:hint="default"/>
      </w:rPr>
    </w:lvl>
    <w:lvl w:ilvl="8" w:tentative="1">
      <w:start w:val="1"/>
      <w:numFmt w:val="bullet"/>
      <w:lvlText w:val=""/>
      <w:lvlJc w:val="left"/>
      <w:pPr>
        <w:ind w:left="6877" w:hanging="360"/>
      </w:pPr>
      <w:rPr>
        <w:rFonts w:ascii="Wingdings" w:hAnsi="Wingdings" w:hint="default"/>
      </w:rPr>
    </w:lvl>
  </w:abstractNum>
  <w:abstractNum w:abstractNumId="12">
    <w:nsid w:val="2D844A14"/>
    <w:multiLevelType w:val="hybridMultilevel"/>
    <w:tmpl w:val="8B1C445C"/>
    <w:lvl w:ilvl="0">
      <w:start w:val="1"/>
      <w:numFmt w:val="hebrew1"/>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14">
    <w:nsid w:val="364B1097"/>
    <w:multiLevelType w:val="hybridMultilevel"/>
    <w:tmpl w:val="142E6EE0"/>
    <w:lvl w:ilvl="0">
      <w:start w:val="1"/>
      <w:numFmt w:val="decimal"/>
      <w:lvlText w:val="%1."/>
      <w:lvlJc w:val="left"/>
      <w:pPr>
        <w:ind w:left="397" w:hanging="397"/>
      </w:pPr>
      <w:rPr>
        <w:rFonts w:ascii="David" w:hAnsi="David" w:hint="default"/>
        <w:b w:val="0"/>
        <w:bCs w:val="0"/>
      </w:rPr>
    </w:lvl>
    <w:lvl w:ilvl="1" w:tentative="1">
      <w:start w:val="1"/>
      <w:numFmt w:val="lowerLetter"/>
      <w:lvlText w:val="%2."/>
      <w:lvlJc w:val="left"/>
      <w:pPr>
        <w:ind w:left="1695" w:hanging="360"/>
      </w:pPr>
    </w:lvl>
    <w:lvl w:ilvl="2" w:tentative="1">
      <w:start w:val="1"/>
      <w:numFmt w:val="lowerRoman"/>
      <w:lvlText w:val="%3."/>
      <w:lvlJc w:val="right"/>
      <w:pPr>
        <w:ind w:left="2415" w:hanging="180"/>
      </w:pPr>
    </w:lvl>
    <w:lvl w:ilvl="3" w:tentative="1">
      <w:start w:val="1"/>
      <w:numFmt w:val="decimal"/>
      <w:lvlText w:val="%4."/>
      <w:lvlJc w:val="left"/>
      <w:pPr>
        <w:ind w:left="3135" w:hanging="360"/>
      </w:pPr>
    </w:lvl>
    <w:lvl w:ilvl="4" w:tentative="1">
      <w:start w:val="1"/>
      <w:numFmt w:val="lowerLetter"/>
      <w:lvlText w:val="%5."/>
      <w:lvlJc w:val="left"/>
      <w:pPr>
        <w:ind w:left="3855" w:hanging="360"/>
      </w:pPr>
    </w:lvl>
    <w:lvl w:ilvl="5" w:tentative="1">
      <w:start w:val="1"/>
      <w:numFmt w:val="lowerRoman"/>
      <w:lvlText w:val="%6."/>
      <w:lvlJc w:val="right"/>
      <w:pPr>
        <w:ind w:left="4575" w:hanging="180"/>
      </w:pPr>
    </w:lvl>
    <w:lvl w:ilvl="6" w:tentative="1">
      <w:start w:val="1"/>
      <w:numFmt w:val="decimal"/>
      <w:lvlText w:val="%7."/>
      <w:lvlJc w:val="left"/>
      <w:pPr>
        <w:ind w:left="5295" w:hanging="360"/>
      </w:pPr>
    </w:lvl>
    <w:lvl w:ilvl="7" w:tentative="1">
      <w:start w:val="1"/>
      <w:numFmt w:val="lowerLetter"/>
      <w:lvlText w:val="%8."/>
      <w:lvlJc w:val="left"/>
      <w:pPr>
        <w:ind w:left="6015" w:hanging="360"/>
      </w:pPr>
    </w:lvl>
    <w:lvl w:ilvl="8" w:tentative="1">
      <w:start w:val="1"/>
      <w:numFmt w:val="lowerRoman"/>
      <w:lvlText w:val="%9."/>
      <w:lvlJc w:val="right"/>
      <w:pPr>
        <w:ind w:left="6735" w:hanging="180"/>
      </w:pPr>
    </w:lvl>
  </w:abstractNum>
  <w:abstractNum w:abstractNumId="15">
    <w:nsid w:val="39995BE8"/>
    <w:multiLevelType w:val="hybridMultilevel"/>
    <w:tmpl w:val="7646C4CA"/>
    <w:lvl w:ilvl="0">
      <w:start w:val="1"/>
      <w:numFmt w:val="decimal"/>
      <w:lvlText w:val="%1."/>
      <w:lvlJc w:val="left"/>
      <w:pPr>
        <w:ind w:left="397" w:hanging="397"/>
      </w:pPr>
      <w:rPr>
        <w:rFonts w:ascii="David" w:hAnsi="David"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A144709"/>
    <w:multiLevelType w:val="multilevel"/>
    <w:tmpl w:val="0932380E"/>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7">
    <w:nsid w:val="3BA731A4"/>
    <w:multiLevelType w:val="multilevel"/>
    <w:tmpl w:val="00DEBF2A"/>
    <w:lvl w:ilvl="0">
      <w:start w:val="1"/>
      <w:numFmt w:val="decimal"/>
      <w:pStyle w:val="Hn1"/>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nsid w:val="405C39A9"/>
    <w:multiLevelType w:val="hybridMultilevel"/>
    <w:tmpl w:val="110667A0"/>
    <w:lvl w:ilvl="0">
      <w:start w:val="1"/>
      <w:numFmt w:val="hebrew1"/>
      <w:lvlText w:val="%1."/>
      <w:lvlJc w:val="left"/>
      <w:pPr>
        <w:ind w:left="1400" w:hanging="360"/>
      </w:pPr>
      <w:rPr>
        <w:rFonts w:ascii="Tahoma" w:hAnsi="Tahoma" w:eastAsiaTheme="minorHAnsi" w:cs="Tahoma" w:hint="default"/>
      </w:rPr>
    </w:lvl>
    <w:lvl w:ilvl="1" w:tentative="1">
      <w:start w:val="1"/>
      <w:numFmt w:val="lowerLetter"/>
      <w:lvlText w:val="%2."/>
      <w:lvlJc w:val="left"/>
      <w:pPr>
        <w:ind w:left="2120" w:hanging="360"/>
      </w:pPr>
    </w:lvl>
    <w:lvl w:ilvl="2" w:tentative="1">
      <w:start w:val="1"/>
      <w:numFmt w:val="lowerRoman"/>
      <w:lvlText w:val="%3."/>
      <w:lvlJc w:val="right"/>
      <w:pPr>
        <w:ind w:left="2840" w:hanging="180"/>
      </w:pPr>
    </w:lvl>
    <w:lvl w:ilvl="3" w:tentative="1">
      <w:start w:val="1"/>
      <w:numFmt w:val="decimal"/>
      <w:lvlText w:val="%4."/>
      <w:lvlJc w:val="left"/>
      <w:pPr>
        <w:ind w:left="3560" w:hanging="360"/>
      </w:pPr>
    </w:lvl>
    <w:lvl w:ilvl="4" w:tentative="1">
      <w:start w:val="1"/>
      <w:numFmt w:val="lowerLetter"/>
      <w:lvlText w:val="%5."/>
      <w:lvlJc w:val="left"/>
      <w:pPr>
        <w:ind w:left="4280" w:hanging="360"/>
      </w:pPr>
    </w:lvl>
    <w:lvl w:ilvl="5" w:tentative="1">
      <w:start w:val="1"/>
      <w:numFmt w:val="lowerRoman"/>
      <w:lvlText w:val="%6."/>
      <w:lvlJc w:val="right"/>
      <w:pPr>
        <w:ind w:left="5000" w:hanging="180"/>
      </w:pPr>
    </w:lvl>
    <w:lvl w:ilvl="6" w:tentative="1">
      <w:start w:val="1"/>
      <w:numFmt w:val="decimal"/>
      <w:lvlText w:val="%7."/>
      <w:lvlJc w:val="left"/>
      <w:pPr>
        <w:ind w:left="5720" w:hanging="360"/>
      </w:pPr>
    </w:lvl>
    <w:lvl w:ilvl="7" w:tentative="1">
      <w:start w:val="1"/>
      <w:numFmt w:val="lowerLetter"/>
      <w:lvlText w:val="%8."/>
      <w:lvlJc w:val="left"/>
      <w:pPr>
        <w:ind w:left="6440" w:hanging="360"/>
      </w:pPr>
    </w:lvl>
    <w:lvl w:ilvl="8" w:tentative="1">
      <w:start w:val="1"/>
      <w:numFmt w:val="lowerRoman"/>
      <w:lvlText w:val="%9."/>
      <w:lvlJc w:val="right"/>
      <w:pPr>
        <w:ind w:left="7160" w:hanging="180"/>
      </w:pPr>
    </w:lvl>
  </w:abstractNum>
  <w:abstractNum w:abstractNumId="19">
    <w:nsid w:val="459C2999"/>
    <w:multiLevelType w:val="multilevel"/>
    <w:tmpl w:val="065C52B0"/>
    <w:lvl w:ilvl="0">
      <w:start w:val="1"/>
      <w:numFmt w:val="hebrew1"/>
      <w:pStyle w:val="7325"/>
      <w:lvlText w:val="%1."/>
      <w:lvlJc w:val="left"/>
      <w:pPr>
        <w:ind w:left="340" w:hanging="340"/>
      </w:pPr>
      <w:rPr>
        <w:rFonts w:ascii="Tahoma" w:eastAsia="Times New Roman" w:hAnsi="Tahoma" w:cs="Tahoma" w:hint="default"/>
        <w:lang w:bidi="he-IL"/>
      </w:rPr>
    </w:lvl>
    <w:lvl w:ilvl="1">
      <w:start w:val="1"/>
      <w:numFmt w:val="hebrew1"/>
      <w:lvlText w:val="%2."/>
      <w:lvlJc w:val="left"/>
      <w:pPr>
        <w:ind w:left="680" w:hanging="340"/>
      </w:pPr>
      <w:rPr>
        <w:rFonts w:hint="default"/>
      </w:rPr>
    </w:lvl>
    <w:lvl w:ilvl="2">
      <w:start w:val="1"/>
      <w:numFmt w:val="decimal"/>
      <w:lvlText w:val="(%3)"/>
      <w:lvlJc w:val="left"/>
      <w:pPr>
        <w:ind w:left="1077" w:hanging="397"/>
      </w:pPr>
      <w:rPr>
        <w:rFonts w:hint="default"/>
      </w:rPr>
    </w:lvl>
    <w:lvl w:ilvl="3">
      <w:start w:val="1"/>
      <w:numFmt w:val="hebrew1"/>
      <w:lvlText w:val="(%4)"/>
      <w:lvlJc w:val="left"/>
      <w:pPr>
        <w:ind w:left="1474" w:hanging="397"/>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20">
    <w:nsid w:val="513F1BA3"/>
    <w:multiLevelType w:val="hybridMultilevel"/>
    <w:tmpl w:val="513CBBCC"/>
    <w:lvl w:ilvl="0">
      <w:start w:val="1"/>
      <w:numFmt w:val="decimal"/>
      <w:lvlText w:val="%1."/>
      <w:lvlJc w:val="left"/>
      <w:pPr>
        <w:ind w:left="397" w:hanging="397"/>
      </w:pPr>
      <w:rPr>
        <w:rFonts w:ascii="David" w:hAnsi="David" w:hint="default"/>
        <w:b w:val="0"/>
        <w:bCs w:val="0"/>
      </w:rPr>
    </w:lvl>
    <w:lvl w:ilvl="1" w:tentative="1">
      <w:start w:val="1"/>
      <w:numFmt w:val="lowerLetter"/>
      <w:lvlText w:val="%2."/>
      <w:lvlJc w:val="left"/>
      <w:pPr>
        <w:ind w:left="1695" w:hanging="360"/>
      </w:pPr>
    </w:lvl>
    <w:lvl w:ilvl="2" w:tentative="1">
      <w:start w:val="1"/>
      <w:numFmt w:val="lowerRoman"/>
      <w:lvlText w:val="%3."/>
      <w:lvlJc w:val="right"/>
      <w:pPr>
        <w:ind w:left="2415" w:hanging="180"/>
      </w:pPr>
    </w:lvl>
    <w:lvl w:ilvl="3" w:tentative="1">
      <w:start w:val="1"/>
      <w:numFmt w:val="decimal"/>
      <w:lvlText w:val="%4."/>
      <w:lvlJc w:val="left"/>
      <w:pPr>
        <w:ind w:left="3135" w:hanging="360"/>
      </w:pPr>
    </w:lvl>
    <w:lvl w:ilvl="4" w:tentative="1">
      <w:start w:val="1"/>
      <w:numFmt w:val="lowerLetter"/>
      <w:lvlText w:val="%5."/>
      <w:lvlJc w:val="left"/>
      <w:pPr>
        <w:ind w:left="3855" w:hanging="360"/>
      </w:pPr>
    </w:lvl>
    <w:lvl w:ilvl="5" w:tentative="1">
      <w:start w:val="1"/>
      <w:numFmt w:val="lowerRoman"/>
      <w:lvlText w:val="%6."/>
      <w:lvlJc w:val="right"/>
      <w:pPr>
        <w:ind w:left="4575" w:hanging="180"/>
      </w:pPr>
    </w:lvl>
    <w:lvl w:ilvl="6" w:tentative="1">
      <w:start w:val="1"/>
      <w:numFmt w:val="decimal"/>
      <w:lvlText w:val="%7."/>
      <w:lvlJc w:val="left"/>
      <w:pPr>
        <w:ind w:left="5295" w:hanging="360"/>
      </w:pPr>
    </w:lvl>
    <w:lvl w:ilvl="7" w:tentative="1">
      <w:start w:val="1"/>
      <w:numFmt w:val="lowerLetter"/>
      <w:lvlText w:val="%8."/>
      <w:lvlJc w:val="left"/>
      <w:pPr>
        <w:ind w:left="6015" w:hanging="360"/>
      </w:pPr>
    </w:lvl>
    <w:lvl w:ilvl="8" w:tentative="1">
      <w:start w:val="1"/>
      <w:numFmt w:val="lowerRoman"/>
      <w:lvlText w:val="%9."/>
      <w:lvlJc w:val="right"/>
      <w:pPr>
        <w:ind w:left="6735" w:hanging="180"/>
      </w:pPr>
    </w:lvl>
  </w:abstractNum>
  <w:abstractNum w:abstractNumId="21">
    <w:nsid w:val="51905478"/>
    <w:multiLevelType w:val="hybridMultilevel"/>
    <w:tmpl w:val="E89C461A"/>
    <w:lvl w:ilvl="0">
      <w:start w:val="1"/>
      <w:numFmt w:val="decimal"/>
      <w:lvlText w:val="%1."/>
      <w:lvlJc w:val="left"/>
      <w:pPr>
        <w:ind w:left="720" w:hanging="360"/>
      </w:pPr>
      <w:rPr>
        <w:rFonts w:ascii="David" w:hAnsi="David" w:cs="David" w:hint="default"/>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6374BA9"/>
    <w:multiLevelType w:val="hybridMultilevel"/>
    <w:tmpl w:val="2F5EAC20"/>
    <w:lvl w:ilvl="0">
      <w:start w:val="1"/>
      <w:numFmt w:val="decimal"/>
      <w:lvlText w:val="%1."/>
      <w:lvlJc w:val="left"/>
      <w:pPr>
        <w:ind w:left="720" w:hanging="360"/>
      </w:pPr>
      <w:rPr>
        <w:rFonts w:ascii="David" w:hAnsi="David" w:cs="David"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563F7704"/>
    <w:multiLevelType w:val="hybridMultilevel"/>
    <w:tmpl w:val="959C04A4"/>
    <w:lvl w:ilvl="0">
      <w:start w:val="1"/>
      <w:numFmt w:val="bullet"/>
      <w:lvlText w:val=""/>
      <w:lvlJc w:val="left"/>
      <w:pPr>
        <w:ind w:left="794" w:hanging="397"/>
      </w:pPr>
      <w:rPr>
        <w:rFonts w:ascii="Symbol" w:hAnsi="Symbol" w:cs="Symbol" w:hint="default"/>
        <w:b/>
        <w:bCs/>
        <w:color w:val="FF0000"/>
        <w:sz w:val="24"/>
        <w:szCs w:val="24"/>
      </w:rPr>
    </w:lvl>
    <w:lvl w:ilvl="1" w:tentative="1">
      <w:start w:val="1"/>
      <w:numFmt w:val="bullet"/>
      <w:lvlText w:val="o"/>
      <w:lvlJc w:val="left"/>
      <w:pPr>
        <w:ind w:left="1837" w:hanging="360"/>
      </w:pPr>
      <w:rPr>
        <w:rFonts w:ascii="Courier New" w:hAnsi="Courier New" w:cs="Courier New" w:hint="default"/>
      </w:rPr>
    </w:lvl>
    <w:lvl w:ilvl="2" w:tentative="1">
      <w:start w:val="1"/>
      <w:numFmt w:val="bullet"/>
      <w:lvlText w:val=""/>
      <w:lvlJc w:val="left"/>
      <w:pPr>
        <w:ind w:left="2557" w:hanging="360"/>
      </w:pPr>
      <w:rPr>
        <w:rFonts w:ascii="Wingdings" w:hAnsi="Wingdings" w:hint="default"/>
      </w:rPr>
    </w:lvl>
    <w:lvl w:ilvl="3" w:tentative="1">
      <w:start w:val="1"/>
      <w:numFmt w:val="bullet"/>
      <w:lvlText w:val=""/>
      <w:lvlJc w:val="left"/>
      <w:pPr>
        <w:ind w:left="3277" w:hanging="360"/>
      </w:pPr>
      <w:rPr>
        <w:rFonts w:ascii="Symbol" w:hAnsi="Symbol" w:hint="default"/>
      </w:rPr>
    </w:lvl>
    <w:lvl w:ilvl="4" w:tentative="1">
      <w:start w:val="1"/>
      <w:numFmt w:val="bullet"/>
      <w:lvlText w:val="o"/>
      <w:lvlJc w:val="left"/>
      <w:pPr>
        <w:ind w:left="3997" w:hanging="360"/>
      </w:pPr>
      <w:rPr>
        <w:rFonts w:ascii="Courier New" w:hAnsi="Courier New" w:cs="Courier New" w:hint="default"/>
      </w:rPr>
    </w:lvl>
    <w:lvl w:ilvl="5" w:tentative="1">
      <w:start w:val="1"/>
      <w:numFmt w:val="bullet"/>
      <w:lvlText w:val=""/>
      <w:lvlJc w:val="left"/>
      <w:pPr>
        <w:ind w:left="4717" w:hanging="360"/>
      </w:pPr>
      <w:rPr>
        <w:rFonts w:ascii="Wingdings" w:hAnsi="Wingdings" w:hint="default"/>
      </w:rPr>
    </w:lvl>
    <w:lvl w:ilvl="6" w:tentative="1">
      <w:start w:val="1"/>
      <w:numFmt w:val="bullet"/>
      <w:lvlText w:val=""/>
      <w:lvlJc w:val="left"/>
      <w:pPr>
        <w:ind w:left="5437" w:hanging="360"/>
      </w:pPr>
      <w:rPr>
        <w:rFonts w:ascii="Symbol" w:hAnsi="Symbol" w:hint="default"/>
      </w:rPr>
    </w:lvl>
    <w:lvl w:ilvl="7" w:tentative="1">
      <w:start w:val="1"/>
      <w:numFmt w:val="bullet"/>
      <w:lvlText w:val="o"/>
      <w:lvlJc w:val="left"/>
      <w:pPr>
        <w:ind w:left="6157" w:hanging="360"/>
      </w:pPr>
      <w:rPr>
        <w:rFonts w:ascii="Courier New" w:hAnsi="Courier New" w:cs="Courier New" w:hint="default"/>
      </w:rPr>
    </w:lvl>
    <w:lvl w:ilvl="8" w:tentative="1">
      <w:start w:val="1"/>
      <w:numFmt w:val="bullet"/>
      <w:lvlText w:val=""/>
      <w:lvlJc w:val="left"/>
      <w:pPr>
        <w:ind w:left="6877" w:hanging="360"/>
      </w:pPr>
      <w:rPr>
        <w:rFonts w:ascii="Wingdings" w:hAnsi="Wingdings" w:hint="default"/>
      </w:rPr>
    </w:lvl>
  </w:abstractNum>
  <w:abstractNum w:abstractNumId="24">
    <w:nsid w:val="5C2D00DD"/>
    <w:multiLevelType w:val="multilevel"/>
    <w:tmpl w:val="CB2CFB36"/>
    <w:styleLink w:val="-"/>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5">
    <w:nsid w:val="5D7F29F7"/>
    <w:multiLevelType w:val="hybridMultilevel"/>
    <w:tmpl w:val="ABFC5A12"/>
    <w:lvl w:ilvl="0">
      <w:start w:val="1"/>
      <w:numFmt w:val="hebrew1"/>
      <w:pStyle w:val="70"/>
      <w:lvlText w:val="%1."/>
      <w:lvlJc w:val="left"/>
      <w:pPr>
        <w:ind w:left="794" w:hanging="397"/>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F743717"/>
    <w:multiLevelType w:val="multilevel"/>
    <w:tmpl w:val="54B40DD4"/>
    <w:lvl w:ilvl="0">
      <w:start w:val="1"/>
      <w:numFmt w:val="decimal"/>
      <w:pStyle w:val="a15"/>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b w:val="0"/>
        <w:b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27">
    <w:nsid w:val="60DF22B8"/>
    <w:multiLevelType w:val="multilevel"/>
    <w:tmpl w:val="53DC7018"/>
    <w:lvl w:ilvl="0">
      <w:start w:val="1"/>
      <w:numFmt w:val="decimal"/>
      <w:pStyle w:val="a28"/>
      <w:lvlText w:val="%1."/>
      <w:lvlJc w:val="left"/>
      <w:pPr>
        <w:ind w:left="360" w:hanging="360"/>
      </w:pPr>
      <w:rPr>
        <w:rFonts w:hint="default"/>
      </w:rPr>
    </w:lvl>
    <w:lvl w:ilvl="1">
      <w:start w:val="1"/>
      <w:numFmt w:val="decimal"/>
      <w:pStyle w:val="122"/>
      <w:lvlText w:val="%1.%2."/>
      <w:lvlJc w:val="left"/>
      <w:pPr>
        <w:ind w:left="792" w:hanging="432"/>
      </w:pPr>
      <w:rPr>
        <w:rFonts w:hint="default"/>
        <w:b w:val="0"/>
        <w:bCs w:val="0"/>
        <w:color w:val="auto"/>
        <w:sz w:val="24"/>
        <w:szCs w:val="24"/>
      </w:rPr>
    </w:lvl>
    <w:lvl w:ilvl="2">
      <w:start w:val="1"/>
      <w:numFmt w:val="decimal"/>
      <w:pStyle w:val="25"/>
      <w:lvlText w:val="%1.%2.%3."/>
      <w:lvlJc w:val="left"/>
      <w:pPr>
        <w:ind w:left="1224" w:hanging="504"/>
      </w:pPr>
      <w:rPr>
        <w:rFonts w:ascii="David" w:hAnsi="David" w:cs="David" w:hint="cs"/>
        <w:b w:val="0"/>
        <w:bCs w:val="0"/>
        <w:color w:val="auto"/>
        <w:sz w:val="28"/>
        <w:szCs w:val="24"/>
        <w:lang w:val="en-US" w:bidi="he-IL"/>
      </w:rPr>
    </w:lvl>
    <w:lvl w:ilvl="3">
      <w:start w:val="1"/>
      <w:numFmt w:val="decimal"/>
      <w:lvlText w:val="%1.%2.%3.%4."/>
      <w:lvlJc w:val="left"/>
      <w:pPr>
        <w:ind w:left="1728" w:hanging="648"/>
      </w:pPr>
      <w:rPr>
        <w:rFonts w:hint="default"/>
        <w:b w:val="0"/>
        <w:bCs w:val="0"/>
        <w:color w:val="000000" w:themeColor="text1"/>
      </w:rPr>
    </w:lvl>
    <w:lvl w:ilvl="4">
      <w:start w:val="1"/>
      <w:numFmt w:val="hebrew1"/>
      <w:lvlText w:val="%5."/>
      <w:lvlJc w:val="center"/>
      <w:pPr>
        <w:ind w:left="1800" w:hanging="360"/>
      </w:pPr>
      <w:rPr>
        <w:rFonts w:hint="default"/>
        <w:strike w:val="0"/>
      </w:rPr>
    </w:lvl>
    <w:lvl w:ilvl="5">
      <w:start w:val="1"/>
      <w:numFmt w:val="decimal"/>
      <w:lvlText w:val="%6)"/>
      <w:lvlJc w:val="left"/>
      <w:pPr>
        <w:ind w:left="2160" w:hanging="36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63BD12EF"/>
    <w:multiLevelType w:val="hybridMultilevel"/>
    <w:tmpl w:val="6D42DDA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6C978B1"/>
    <w:multiLevelType w:val="hybridMultilevel"/>
    <w:tmpl w:val="053E72F2"/>
    <w:lvl w:ilvl="0">
      <w:start w:val="1"/>
      <w:numFmt w:val="decimal"/>
      <w:lvlText w:val="%1."/>
      <w:lvlJc w:val="left"/>
      <w:pPr>
        <w:ind w:left="720" w:hanging="360"/>
      </w:pPr>
      <w:rPr>
        <w:rFonts w:ascii="Times New Roman" w:hAnsi="Times New Roman" w:eastAsiaTheme="minorHAnsi" w:cs="David"/>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93B3888"/>
    <w:multiLevelType w:val="hybridMultilevel"/>
    <w:tmpl w:val="8878ED0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B1135BA"/>
    <w:multiLevelType w:val="hybridMultilevel"/>
    <w:tmpl w:val="CAFE1828"/>
    <w:lvl w:ilvl="0">
      <w:start w:val="1"/>
      <w:numFmt w:val="decimal"/>
      <w:lvlText w:val="%1."/>
      <w:lvlJc w:val="left"/>
      <w:pPr>
        <w:ind w:left="397" w:hanging="397"/>
      </w:pPr>
      <w:rPr>
        <w:rFonts w:ascii="David" w:hAnsi="David" w:hint="default"/>
        <w:b w:val="0"/>
        <w:bCs w:val="0"/>
      </w:rPr>
    </w:lvl>
    <w:lvl w:ilvl="1" w:tentative="1">
      <w:start w:val="1"/>
      <w:numFmt w:val="lowerLetter"/>
      <w:lvlText w:val="%2."/>
      <w:lvlJc w:val="left"/>
      <w:pPr>
        <w:ind w:left="1695" w:hanging="360"/>
      </w:pPr>
    </w:lvl>
    <w:lvl w:ilvl="2" w:tentative="1">
      <w:start w:val="1"/>
      <w:numFmt w:val="lowerRoman"/>
      <w:lvlText w:val="%3."/>
      <w:lvlJc w:val="right"/>
      <w:pPr>
        <w:ind w:left="2415" w:hanging="180"/>
      </w:pPr>
    </w:lvl>
    <w:lvl w:ilvl="3" w:tentative="1">
      <w:start w:val="1"/>
      <w:numFmt w:val="decimal"/>
      <w:lvlText w:val="%4."/>
      <w:lvlJc w:val="left"/>
      <w:pPr>
        <w:ind w:left="3135" w:hanging="360"/>
      </w:pPr>
    </w:lvl>
    <w:lvl w:ilvl="4" w:tentative="1">
      <w:start w:val="1"/>
      <w:numFmt w:val="lowerLetter"/>
      <w:lvlText w:val="%5."/>
      <w:lvlJc w:val="left"/>
      <w:pPr>
        <w:ind w:left="3855" w:hanging="360"/>
      </w:pPr>
    </w:lvl>
    <w:lvl w:ilvl="5" w:tentative="1">
      <w:start w:val="1"/>
      <w:numFmt w:val="lowerRoman"/>
      <w:lvlText w:val="%6."/>
      <w:lvlJc w:val="right"/>
      <w:pPr>
        <w:ind w:left="4575" w:hanging="180"/>
      </w:pPr>
    </w:lvl>
    <w:lvl w:ilvl="6" w:tentative="1">
      <w:start w:val="1"/>
      <w:numFmt w:val="decimal"/>
      <w:lvlText w:val="%7."/>
      <w:lvlJc w:val="left"/>
      <w:pPr>
        <w:ind w:left="5295" w:hanging="360"/>
      </w:pPr>
    </w:lvl>
    <w:lvl w:ilvl="7" w:tentative="1">
      <w:start w:val="1"/>
      <w:numFmt w:val="lowerLetter"/>
      <w:lvlText w:val="%8."/>
      <w:lvlJc w:val="left"/>
      <w:pPr>
        <w:ind w:left="6015" w:hanging="360"/>
      </w:pPr>
    </w:lvl>
    <w:lvl w:ilvl="8" w:tentative="1">
      <w:start w:val="1"/>
      <w:numFmt w:val="lowerRoman"/>
      <w:lvlText w:val="%9."/>
      <w:lvlJc w:val="right"/>
      <w:pPr>
        <w:ind w:left="6735" w:hanging="180"/>
      </w:pPr>
    </w:lvl>
  </w:abstractNum>
  <w:abstractNum w:abstractNumId="32">
    <w:nsid w:val="6C496D0A"/>
    <w:multiLevelType w:val="multilevel"/>
    <w:tmpl w:val="30464B8E"/>
    <w:lvl w:ilvl="0">
      <w:start w:val="1"/>
      <w:numFmt w:val="decimal"/>
      <w:lvlText w:val="%1."/>
      <w:lvlJc w:val="left"/>
      <w:pPr>
        <w:ind w:left="340" w:hanging="340"/>
      </w:pPr>
      <w:rPr>
        <w:rFonts w:ascii="David" w:hAnsi="David" w:cs="David" w:hint="default"/>
        <w:sz w:val="24"/>
        <w:szCs w:val="24"/>
      </w:r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33">
    <w:nsid w:val="7C3967BA"/>
    <w:multiLevelType w:val="hybridMultilevel"/>
    <w:tmpl w:val="A7BA23B0"/>
    <w:lvl w:ilvl="0">
      <w:start w:val="5"/>
      <w:numFmt w:val="decimal"/>
      <w:lvlText w:val="%1."/>
      <w:lvlJc w:val="left"/>
      <w:pPr>
        <w:ind w:left="397" w:hanging="397"/>
      </w:pPr>
      <w:rPr>
        <w:rFonts w:ascii="Tahoma" w:hAnsi="Tahoma" w:cs="Tahoma" w:hint="default"/>
        <w:sz w:val="18"/>
        <w:szCs w:val="18"/>
      </w:rPr>
    </w:lvl>
    <w:lvl w:ilvl="1" w:tentative="1">
      <w:start w:val="1"/>
      <w:numFmt w:val="lowerLetter"/>
      <w:lvlText w:val="%2."/>
      <w:lvlJc w:val="left"/>
      <w:pPr>
        <w:ind w:left="1581" w:hanging="360"/>
      </w:pPr>
    </w:lvl>
    <w:lvl w:ilvl="2" w:tentative="1">
      <w:start w:val="1"/>
      <w:numFmt w:val="lowerRoman"/>
      <w:lvlText w:val="%3."/>
      <w:lvlJc w:val="right"/>
      <w:pPr>
        <w:ind w:left="2301" w:hanging="180"/>
      </w:pPr>
    </w:lvl>
    <w:lvl w:ilvl="3" w:tentative="1">
      <w:start w:val="1"/>
      <w:numFmt w:val="decimal"/>
      <w:lvlText w:val="%4."/>
      <w:lvlJc w:val="left"/>
      <w:pPr>
        <w:ind w:left="3021" w:hanging="360"/>
      </w:pPr>
    </w:lvl>
    <w:lvl w:ilvl="4" w:tentative="1">
      <w:start w:val="1"/>
      <w:numFmt w:val="lowerLetter"/>
      <w:lvlText w:val="%5."/>
      <w:lvlJc w:val="left"/>
      <w:pPr>
        <w:ind w:left="3741" w:hanging="360"/>
      </w:pPr>
    </w:lvl>
    <w:lvl w:ilvl="5" w:tentative="1">
      <w:start w:val="1"/>
      <w:numFmt w:val="lowerRoman"/>
      <w:lvlText w:val="%6."/>
      <w:lvlJc w:val="right"/>
      <w:pPr>
        <w:ind w:left="4461" w:hanging="180"/>
      </w:pPr>
    </w:lvl>
    <w:lvl w:ilvl="6" w:tentative="1">
      <w:start w:val="1"/>
      <w:numFmt w:val="decimal"/>
      <w:lvlText w:val="%7."/>
      <w:lvlJc w:val="left"/>
      <w:pPr>
        <w:ind w:left="5181" w:hanging="360"/>
      </w:pPr>
    </w:lvl>
    <w:lvl w:ilvl="7" w:tentative="1">
      <w:start w:val="1"/>
      <w:numFmt w:val="lowerLetter"/>
      <w:lvlText w:val="%8."/>
      <w:lvlJc w:val="left"/>
      <w:pPr>
        <w:ind w:left="5901" w:hanging="360"/>
      </w:pPr>
    </w:lvl>
    <w:lvl w:ilvl="8" w:tentative="1">
      <w:start w:val="1"/>
      <w:numFmt w:val="lowerRoman"/>
      <w:lvlText w:val="%9."/>
      <w:lvlJc w:val="right"/>
      <w:pPr>
        <w:ind w:left="6621" w:hanging="180"/>
      </w:pPr>
    </w:lvl>
  </w:abstractNum>
  <w:abstractNum w:abstractNumId="34">
    <w:nsid w:val="7D365B29"/>
    <w:multiLevelType w:val="multilevel"/>
    <w:tmpl w:val="E3AA6D54"/>
    <w:lvl w:ilvl="0">
      <w:start w:val="1"/>
      <w:numFmt w:val="hebrew1"/>
      <w:pStyle w:val="7323"/>
      <w:lvlText w:val="%1."/>
      <w:lvlJc w:val="left"/>
      <w:pPr>
        <w:ind w:left="663" w:hanging="340"/>
      </w:pPr>
      <w:rPr>
        <w:rFonts w:ascii="Tahoma" w:hAnsi="Tahoma" w:eastAsiaTheme="minorHAnsi" w:cs="Tahoma" w:hint="default"/>
        <w:b w:val="0"/>
        <w:bCs w:val="0"/>
      </w:rPr>
    </w:lvl>
    <w:lvl w:ilvl="1">
      <w:start w:val="1"/>
      <w:numFmt w:val="hebrew1"/>
      <w:lvlText w:val="%2."/>
      <w:lvlJc w:val="left"/>
      <w:pPr>
        <w:ind w:left="1003" w:hanging="340"/>
      </w:pPr>
    </w:lvl>
    <w:lvl w:ilvl="2">
      <w:start w:val="1"/>
      <w:numFmt w:val="decimal"/>
      <w:lvlText w:val="(%3)"/>
      <w:lvlJc w:val="left"/>
      <w:pPr>
        <w:ind w:left="1400" w:hanging="397"/>
      </w:pPr>
    </w:lvl>
    <w:lvl w:ilvl="3">
      <w:start w:val="1"/>
      <w:numFmt w:val="hebrew1"/>
      <w:lvlText w:val="(%4)"/>
      <w:lvlJc w:val="left"/>
      <w:pPr>
        <w:ind w:left="1797" w:hanging="397"/>
      </w:pPr>
    </w:lvl>
    <w:lvl w:ilvl="4">
      <w:start w:val="1"/>
      <w:numFmt w:val="lowerLetter"/>
      <w:lvlText w:val="(%5)"/>
      <w:lvlJc w:val="left"/>
      <w:pPr>
        <w:ind w:left="2120" w:hanging="357"/>
      </w:pPr>
    </w:lvl>
    <w:lvl w:ilvl="5">
      <w:start w:val="1"/>
      <w:numFmt w:val="lowerRoman"/>
      <w:lvlText w:val="(%6)"/>
      <w:lvlJc w:val="left"/>
      <w:pPr>
        <w:ind w:left="2483" w:hanging="363"/>
      </w:pPr>
    </w:lvl>
    <w:lvl w:ilvl="6">
      <w:start w:val="1"/>
      <w:numFmt w:val="decimal"/>
      <w:lvlText w:val="%7."/>
      <w:lvlJc w:val="left"/>
      <w:pPr>
        <w:ind w:left="2840" w:hanging="357"/>
      </w:pPr>
    </w:lvl>
    <w:lvl w:ilvl="7">
      <w:start w:val="1"/>
      <w:numFmt w:val="lowerLetter"/>
      <w:lvlText w:val="%8."/>
      <w:lvlJc w:val="left"/>
      <w:pPr>
        <w:ind w:left="3203" w:hanging="363"/>
      </w:pPr>
    </w:lvl>
    <w:lvl w:ilvl="8">
      <w:start w:val="1"/>
      <w:numFmt w:val="lowerRoman"/>
      <w:lvlText w:val="%9."/>
      <w:lvlJc w:val="left"/>
      <w:pPr>
        <w:ind w:left="3560" w:hanging="357"/>
      </w:pPr>
    </w:lvl>
  </w:abstractNum>
  <w:num w:numId="1" w16cid:durableId="1722511313">
    <w:abstractNumId w:val="24"/>
  </w:num>
  <w:num w:numId="2" w16cid:durableId="159808484">
    <w:abstractNumId w:val="13"/>
  </w:num>
  <w:num w:numId="3" w16cid:durableId="2074310673">
    <w:abstractNumId w:val="17"/>
  </w:num>
  <w:num w:numId="4" w16cid:durableId="1596554476">
    <w:abstractNumId w:val="34"/>
  </w:num>
  <w:num w:numId="5" w16cid:durableId="781269690">
    <w:abstractNumId w:val="2"/>
  </w:num>
  <w:num w:numId="6" w16cid:durableId="1087919862">
    <w:abstractNumId w:val="19"/>
  </w:num>
  <w:num w:numId="7" w16cid:durableId="1266497691">
    <w:abstractNumId w:val="26"/>
  </w:num>
  <w:num w:numId="8" w16cid:durableId="1873692319">
    <w:abstractNumId w:val="4"/>
  </w:num>
  <w:num w:numId="9" w16cid:durableId="1057507424">
    <w:abstractNumId w:val="25"/>
  </w:num>
  <w:num w:numId="10" w16cid:durableId="402734">
    <w:abstractNumId w:val="1"/>
  </w:num>
  <w:num w:numId="11" w16cid:durableId="743256075">
    <w:abstractNumId w:val="23"/>
  </w:num>
  <w:num w:numId="12" w16cid:durableId="1258294293">
    <w:abstractNumId w:val="11"/>
  </w:num>
  <w:num w:numId="13" w16cid:durableId="515537745">
    <w:abstractNumId w:val="0"/>
  </w:num>
  <w:num w:numId="14" w16cid:durableId="187939688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7403679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546304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49240360">
    <w:abstractNumId w:val="9"/>
  </w:num>
  <w:num w:numId="18" w16cid:durableId="1187451736">
    <w:abstractNumId w:val="10"/>
  </w:num>
  <w:num w:numId="19" w16cid:durableId="279260093">
    <w:abstractNumId w:val="12"/>
  </w:num>
  <w:num w:numId="20" w16cid:durableId="387532652">
    <w:abstractNumId w:val="30"/>
  </w:num>
  <w:num w:numId="21" w16cid:durableId="984243631">
    <w:abstractNumId w:val="27"/>
  </w:num>
  <w:num w:numId="22" w16cid:durableId="1471242973">
    <w:abstractNumId w:val="16"/>
  </w:num>
  <w:num w:numId="23" w16cid:durableId="1789271428">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69048915">
    <w:abstractNumId w:val="32"/>
  </w:num>
  <w:num w:numId="25" w16cid:durableId="1360157713">
    <w:abstractNumId w:val="18"/>
  </w:num>
  <w:num w:numId="26" w16cid:durableId="2132742582">
    <w:abstractNumId w:val="14"/>
  </w:num>
  <w:num w:numId="27" w16cid:durableId="708264786">
    <w:abstractNumId w:val="33"/>
  </w:num>
  <w:num w:numId="28" w16cid:durableId="814682428">
    <w:abstractNumId w:val="31"/>
  </w:num>
  <w:num w:numId="29" w16cid:durableId="1178539948">
    <w:abstractNumId w:val="20"/>
  </w:num>
  <w:num w:numId="30" w16cid:durableId="787821391">
    <w:abstractNumId w:val="7"/>
  </w:num>
  <w:num w:numId="31" w16cid:durableId="302928147">
    <w:abstractNumId w:val="3"/>
  </w:num>
  <w:num w:numId="32" w16cid:durableId="682821539">
    <w:abstractNumId w:val="15"/>
  </w:num>
  <w:num w:numId="33" w16cid:durableId="762142258">
    <w:abstractNumId w:val="5"/>
  </w:num>
  <w:num w:numId="34" w16cid:durableId="1447390129">
    <w:abstractNumId w:val="8"/>
  </w:num>
  <w:num w:numId="35" w16cid:durableId="1058557782">
    <w:abstractNumId w:val="2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45"/>
  <w:displayBackgroundShape/>
  <w:gutterAtTop/>
  <w:proofState w:spelling="clean" w:grammar="clean"/>
  <w:attachedTemplate r:id="rId1"/>
  <w:stylePaneFormatFilter w:val="1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0"/>
  <w:stylePaneSortMethod w:val="name"/>
  <w:defaultTabStop w:val="284"/>
  <w:autoHyphenation/>
  <w:evenAndOddHeaders/>
  <w:drawingGridHorizontalSpacing w:val="10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5CC"/>
    <w:rsid w:val="000001A4"/>
    <w:rsid w:val="0000041E"/>
    <w:rsid w:val="0000085D"/>
    <w:rsid w:val="00000CA7"/>
    <w:rsid w:val="00001899"/>
    <w:rsid w:val="000018EF"/>
    <w:rsid w:val="00001C6B"/>
    <w:rsid w:val="00001D5A"/>
    <w:rsid w:val="00001EF4"/>
    <w:rsid w:val="00002CD8"/>
    <w:rsid w:val="00002EF7"/>
    <w:rsid w:val="00003343"/>
    <w:rsid w:val="00003557"/>
    <w:rsid w:val="00003B77"/>
    <w:rsid w:val="00003D51"/>
    <w:rsid w:val="00003EBB"/>
    <w:rsid w:val="00003F96"/>
    <w:rsid w:val="000041B6"/>
    <w:rsid w:val="00004277"/>
    <w:rsid w:val="0000520D"/>
    <w:rsid w:val="000054B7"/>
    <w:rsid w:val="00005638"/>
    <w:rsid w:val="00005B23"/>
    <w:rsid w:val="00005EE0"/>
    <w:rsid w:val="00006B59"/>
    <w:rsid w:val="00006C34"/>
    <w:rsid w:val="000071AD"/>
    <w:rsid w:val="000100D8"/>
    <w:rsid w:val="0001014C"/>
    <w:rsid w:val="000107D8"/>
    <w:rsid w:val="00011BFC"/>
    <w:rsid w:val="00011DF7"/>
    <w:rsid w:val="00012269"/>
    <w:rsid w:val="00012487"/>
    <w:rsid w:val="00012657"/>
    <w:rsid w:val="00013641"/>
    <w:rsid w:val="00013BC3"/>
    <w:rsid w:val="00013E84"/>
    <w:rsid w:val="0001431C"/>
    <w:rsid w:val="0001482C"/>
    <w:rsid w:val="00014D29"/>
    <w:rsid w:val="000155F0"/>
    <w:rsid w:val="000157CF"/>
    <w:rsid w:val="00015A22"/>
    <w:rsid w:val="00016541"/>
    <w:rsid w:val="000166CA"/>
    <w:rsid w:val="000168DE"/>
    <w:rsid w:val="0001735B"/>
    <w:rsid w:val="00020441"/>
    <w:rsid w:val="000206F1"/>
    <w:rsid w:val="00021298"/>
    <w:rsid w:val="00021ED5"/>
    <w:rsid w:val="00021FFB"/>
    <w:rsid w:val="000224FF"/>
    <w:rsid w:val="00023E81"/>
    <w:rsid w:val="000246D2"/>
    <w:rsid w:val="00024E0C"/>
    <w:rsid w:val="000251E2"/>
    <w:rsid w:val="0002526A"/>
    <w:rsid w:val="0002582E"/>
    <w:rsid w:val="000259C7"/>
    <w:rsid w:val="00026245"/>
    <w:rsid w:val="00026367"/>
    <w:rsid w:val="000264D7"/>
    <w:rsid w:val="00026738"/>
    <w:rsid w:val="00026ACC"/>
    <w:rsid w:val="0002705C"/>
    <w:rsid w:val="00027522"/>
    <w:rsid w:val="00027B6F"/>
    <w:rsid w:val="00027BF3"/>
    <w:rsid w:val="0003001D"/>
    <w:rsid w:val="000300E0"/>
    <w:rsid w:val="000303C9"/>
    <w:rsid w:val="00031C68"/>
    <w:rsid w:val="00031C69"/>
    <w:rsid w:val="00031CEB"/>
    <w:rsid w:val="00032932"/>
    <w:rsid w:val="00033124"/>
    <w:rsid w:val="0003410F"/>
    <w:rsid w:val="00034327"/>
    <w:rsid w:val="0003494D"/>
    <w:rsid w:val="00035688"/>
    <w:rsid w:val="00035B80"/>
    <w:rsid w:val="00035C03"/>
    <w:rsid w:val="00036B0F"/>
    <w:rsid w:val="00036EB8"/>
    <w:rsid w:val="000406E3"/>
    <w:rsid w:val="00040918"/>
    <w:rsid w:val="00040C4D"/>
    <w:rsid w:val="000413AB"/>
    <w:rsid w:val="000414A8"/>
    <w:rsid w:val="000419ED"/>
    <w:rsid w:val="00042688"/>
    <w:rsid w:val="00042837"/>
    <w:rsid w:val="0004293F"/>
    <w:rsid w:val="00042BB1"/>
    <w:rsid w:val="00043204"/>
    <w:rsid w:val="0004351E"/>
    <w:rsid w:val="000436EC"/>
    <w:rsid w:val="00043931"/>
    <w:rsid w:val="00043F14"/>
    <w:rsid w:val="00044686"/>
    <w:rsid w:val="000448BE"/>
    <w:rsid w:val="00045038"/>
    <w:rsid w:val="000456D3"/>
    <w:rsid w:val="00046670"/>
    <w:rsid w:val="000470AE"/>
    <w:rsid w:val="00047976"/>
    <w:rsid w:val="00047A92"/>
    <w:rsid w:val="00047CF6"/>
    <w:rsid w:val="000501A4"/>
    <w:rsid w:val="00050419"/>
    <w:rsid w:val="00050995"/>
    <w:rsid w:val="00050BDE"/>
    <w:rsid w:val="00050DDE"/>
    <w:rsid w:val="0005218A"/>
    <w:rsid w:val="00052281"/>
    <w:rsid w:val="00052AE4"/>
    <w:rsid w:val="00052E94"/>
    <w:rsid w:val="000532AA"/>
    <w:rsid w:val="00053AA7"/>
    <w:rsid w:val="00053D09"/>
    <w:rsid w:val="00054562"/>
    <w:rsid w:val="00054B57"/>
    <w:rsid w:val="0005582D"/>
    <w:rsid w:val="0005596D"/>
    <w:rsid w:val="00055BE3"/>
    <w:rsid w:val="00055CB5"/>
    <w:rsid w:val="00055E07"/>
    <w:rsid w:val="00055E4C"/>
    <w:rsid w:val="00055EC9"/>
    <w:rsid w:val="00056B3E"/>
    <w:rsid w:val="000571B9"/>
    <w:rsid w:val="0005725C"/>
    <w:rsid w:val="00057574"/>
    <w:rsid w:val="00057F8D"/>
    <w:rsid w:val="00060045"/>
    <w:rsid w:val="00060178"/>
    <w:rsid w:val="0006038F"/>
    <w:rsid w:val="00061010"/>
    <w:rsid w:val="000611FF"/>
    <w:rsid w:val="00061760"/>
    <w:rsid w:val="0006189A"/>
    <w:rsid w:val="000618D0"/>
    <w:rsid w:val="00061A2F"/>
    <w:rsid w:val="00061D7A"/>
    <w:rsid w:val="00062475"/>
    <w:rsid w:val="00062BF2"/>
    <w:rsid w:val="00062D24"/>
    <w:rsid w:val="00063297"/>
    <w:rsid w:val="00063A11"/>
    <w:rsid w:val="00063BDC"/>
    <w:rsid w:val="0006411D"/>
    <w:rsid w:val="000644E4"/>
    <w:rsid w:val="0006456C"/>
    <w:rsid w:val="00064637"/>
    <w:rsid w:val="000651DF"/>
    <w:rsid w:val="00065845"/>
    <w:rsid w:val="000658BF"/>
    <w:rsid w:val="00066AF6"/>
    <w:rsid w:val="00066F43"/>
    <w:rsid w:val="0006721D"/>
    <w:rsid w:val="000672AB"/>
    <w:rsid w:val="000675B0"/>
    <w:rsid w:val="00067A5D"/>
    <w:rsid w:val="00067A76"/>
    <w:rsid w:val="00067E32"/>
    <w:rsid w:val="00067F12"/>
    <w:rsid w:val="000706BF"/>
    <w:rsid w:val="000707EE"/>
    <w:rsid w:val="00070E3F"/>
    <w:rsid w:val="000710A8"/>
    <w:rsid w:val="00071DAA"/>
    <w:rsid w:val="00071F2E"/>
    <w:rsid w:val="0007200F"/>
    <w:rsid w:val="000724E3"/>
    <w:rsid w:val="00072B83"/>
    <w:rsid w:val="00072FE8"/>
    <w:rsid w:val="000736B3"/>
    <w:rsid w:val="000738F6"/>
    <w:rsid w:val="00073B6B"/>
    <w:rsid w:val="00073D9F"/>
    <w:rsid w:val="0007429C"/>
    <w:rsid w:val="00074533"/>
    <w:rsid w:val="00074F31"/>
    <w:rsid w:val="0007541C"/>
    <w:rsid w:val="00076452"/>
    <w:rsid w:val="00076758"/>
    <w:rsid w:val="00076ED7"/>
    <w:rsid w:val="0007717F"/>
    <w:rsid w:val="0007736C"/>
    <w:rsid w:val="0007762A"/>
    <w:rsid w:val="000779CE"/>
    <w:rsid w:val="00077B79"/>
    <w:rsid w:val="00080072"/>
    <w:rsid w:val="000803F2"/>
    <w:rsid w:val="00080C22"/>
    <w:rsid w:val="00081D0E"/>
    <w:rsid w:val="000821CA"/>
    <w:rsid w:val="000824F8"/>
    <w:rsid w:val="000833EF"/>
    <w:rsid w:val="0008345D"/>
    <w:rsid w:val="00083692"/>
    <w:rsid w:val="000837F2"/>
    <w:rsid w:val="00083FD0"/>
    <w:rsid w:val="00084E3A"/>
    <w:rsid w:val="00085086"/>
    <w:rsid w:val="00085A22"/>
    <w:rsid w:val="00085B99"/>
    <w:rsid w:val="0008625B"/>
    <w:rsid w:val="00086738"/>
    <w:rsid w:val="00086BCD"/>
    <w:rsid w:val="00087176"/>
    <w:rsid w:val="00087686"/>
    <w:rsid w:val="00087F13"/>
    <w:rsid w:val="000901C8"/>
    <w:rsid w:val="0009042C"/>
    <w:rsid w:val="00090633"/>
    <w:rsid w:val="000907D0"/>
    <w:rsid w:val="00091397"/>
    <w:rsid w:val="00091811"/>
    <w:rsid w:val="00091A72"/>
    <w:rsid w:val="00092EAB"/>
    <w:rsid w:val="0009349C"/>
    <w:rsid w:val="00093B10"/>
    <w:rsid w:val="00093E30"/>
    <w:rsid w:val="0009432F"/>
    <w:rsid w:val="00094B37"/>
    <w:rsid w:val="00094D5D"/>
    <w:rsid w:val="00094E0C"/>
    <w:rsid w:val="00094F15"/>
    <w:rsid w:val="0009524E"/>
    <w:rsid w:val="000953AB"/>
    <w:rsid w:val="0009559D"/>
    <w:rsid w:val="000963C8"/>
    <w:rsid w:val="00096CF4"/>
    <w:rsid w:val="0009703F"/>
    <w:rsid w:val="00097CDE"/>
    <w:rsid w:val="000A00AE"/>
    <w:rsid w:val="000A01F2"/>
    <w:rsid w:val="000A0264"/>
    <w:rsid w:val="000A0884"/>
    <w:rsid w:val="000A0915"/>
    <w:rsid w:val="000A1268"/>
    <w:rsid w:val="000A134E"/>
    <w:rsid w:val="000A1533"/>
    <w:rsid w:val="000A15B1"/>
    <w:rsid w:val="000A1610"/>
    <w:rsid w:val="000A22CF"/>
    <w:rsid w:val="000A26F1"/>
    <w:rsid w:val="000A2BD8"/>
    <w:rsid w:val="000A3110"/>
    <w:rsid w:val="000A3690"/>
    <w:rsid w:val="000A3E74"/>
    <w:rsid w:val="000A3ED4"/>
    <w:rsid w:val="000A4686"/>
    <w:rsid w:val="000A5140"/>
    <w:rsid w:val="000A567C"/>
    <w:rsid w:val="000A5B75"/>
    <w:rsid w:val="000A65A9"/>
    <w:rsid w:val="000A69A7"/>
    <w:rsid w:val="000A6D5B"/>
    <w:rsid w:val="000A7523"/>
    <w:rsid w:val="000A798D"/>
    <w:rsid w:val="000B03E7"/>
    <w:rsid w:val="000B0915"/>
    <w:rsid w:val="000B0929"/>
    <w:rsid w:val="000B0AB9"/>
    <w:rsid w:val="000B1102"/>
    <w:rsid w:val="000B153C"/>
    <w:rsid w:val="000B1C94"/>
    <w:rsid w:val="000B2074"/>
    <w:rsid w:val="000B23E8"/>
    <w:rsid w:val="000B2C5B"/>
    <w:rsid w:val="000B2D9C"/>
    <w:rsid w:val="000B2DBE"/>
    <w:rsid w:val="000B3056"/>
    <w:rsid w:val="000B31AA"/>
    <w:rsid w:val="000B3A23"/>
    <w:rsid w:val="000B4419"/>
    <w:rsid w:val="000B463F"/>
    <w:rsid w:val="000B464E"/>
    <w:rsid w:val="000B4F23"/>
    <w:rsid w:val="000B55BB"/>
    <w:rsid w:val="000B597C"/>
    <w:rsid w:val="000B6604"/>
    <w:rsid w:val="000B7912"/>
    <w:rsid w:val="000B7B95"/>
    <w:rsid w:val="000B7D4C"/>
    <w:rsid w:val="000C037B"/>
    <w:rsid w:val="000C05CB"/>
    <w:rsid w:val="000C089C"/>
    <w:rsid w:val="000C0B98"/>
    <w:rsid w:val="000C0F17"/>
    <w:rsid w:val="000C0F60"/>
    <w:rsid w:val="000C164B"/>
    <w:rsid w:val="000C16F6"/>
    <w:rsid w:val="000C1D0D"/>
    <w:rsid w:val="000C249D"/>
    <w:rsid w:val="000C27DC"/>
    <w:rsid w:val="000C2AB9"/>
    <w:rsid w:val="000C3BAD"/>
    <w:rsid w:val="000C3EE2"/>
    <w:rsid w:val="000C404B"/>
    <w:rsid w:val="000C43E0"/>
    <w:rsid w:val="000C492E"/>
    <w:rsid w:val="000C50A1"/>
    <w:rsid w:val="000C5E23"/>
    <w:rsid w:val="000C5F85"/>
    <w:rsid w:val="000C6AAF"/>
    <w:rsid w:val="000C6FF3"/>
    <w:rsid w:val="000C71A5"/>
    <w:rsid w:val="000C7459"/>
    <w:rsid w:val="000D02DC"/>
    <w:rsid w:val="000D04B8"/>
    <w:rsid w:val="000D0837"/>
    <w:rsid w:val="000D11EB"/>
    <w:rsid w:val="000D1714"/>
    <w:rsid w:val="000D2056"/>
    <w:rsid w:val="000D215D"/>
    <w:rsid w:val="000D22F0"/>
    <w:rsid w:val="000D2A57"/>
    <w:rsid w:val="000D2CDA"/>
    <w:rsid w:val="000D2F7F"/>
    <w:rsid w:val="000D2F93"/>
    <w:rsid w:val="000D2FE7"/>
    <w:rsid w:val="000D40E0"/>
    <w:rsid w:val="000D4B88"/>
    <w:rsid w:val="000D53BB"/>
    <w:rsid w:val="000D543D"/>
    <w:rsid w:val="000D5B81"/>
    <w:rsid w:val="000D5C0B"/>
    <w:rsid w:val="000D63C9"/>
    <w:rsid w:val="000D69F0"/>
    <w:rsid w:val="000D7666"/>
    <w:rsid w:val="000D7EB1"/>
    <w:rsid w:val="000E013E"/>
    <w:rsid w:val="000E0809"/>
    <w:rsid w:val="000E1475"/>
    <w:rsid w:val="000E1FBD"/>
    <w:rsid w:val="000E2359"/>
    <w:rsid w:val="000E23EA"/>
    <w:rsid w:val="000E2715"/>
    <w:rsid w:val="000E2B2C"/>
    <w:rsid w:val="000E3022"/>
    <w:rsid w:val="000E3B68"/>
    <w:rsid w:val="000E3D52"/>
    <w:rsid w:val="000E3DFA"/>
    <w:rsid w:val="000E3F0C"/>
    <w:rsid w:val="000E432E"/>
    <w:rsid w:val="000E44FD"/>
    <w:rsid w:val="000E4CE7"/>
    <w:rsid w:val="000E4D6A"/>
    <w:rsid w:val="000E4DF7"/>
    <w:rsid w:val="000E50E1"/>
    <w:rsid w:val="000E5149"/>
    <w:rsid w:val="000E54D2"/>
    <w:rsid w:val="000E5834"/>
    <w:rsid w:val="000E5CC8"/>
    <w:rsid w:val="000E618D"/>
    <w:rsid w:val="000E6198"/>
    <w:rsid w:val="000E64A1"/>
    <w:rsid w:val="000E6AAF"/>
    <w:rsid w:val="000E6F44"/>
    <w:rsid w:val="000E73AF"/>
    <w:rsid w:val="000E7622"/>
    <w:rsid w:val="000E7B12"/>
    <w:rsid w:val="000E7CFD"/>
    <w:rsid w:val="000F158C"/>
    <w:rsid w:val="000F1DEA"/>
    <w:rsid w:val="000F23C7"/>
    <w:rsid w:val="000F2408"/>
    <w:rsid w:val="000F2A10"/>
    <w:rsid w:val="000F2E36"/>
    <w:rsid w:val="000F2F7E"/>
    <w:rsid w:val="000F3700"/>
    <w:rsid w:val="000F4229"/>
    <w:rsid w:val="000F441E"/>
    <w:rsid w:val="000F4578"/>
    <w:rsid w:val="000F49AA"/>
    <w:rsid w:val="000F4B6E"/>
    <w:rsid w:val="000F4C79"/>
    <w:rsid w:val="000F5023"/>
    <w:rsid w:val="000F53C2"/>
    <w:rsid w:val="000F59F3"/>
    <w:rsid w:val="000F5EDB"/>
    <w:rsid w:val="000F60AB"/>
    <w:rsid w:val="000F62A9"/>
    <w:rsid w:val="000F6CAD"/>
    <w:rsid w:val="000F6F38"/>
    <w:rsid w:val="000F76A8"/>
    <w:rsid w:val="000F7725"/>
    <w:rsid w:val="000F78AE"/>
    <w:rsid w:val="00101157"/>
    <w:rsid w:val="00101681"/>
    <w:rsid w:val="00101BB0"/>
    <w:rsid w:val="00101D0F"/>
    <w:rsid w:val="00102185"/>
    <w:rsid w:val="0010231B"/>
    <w:rsid w:val="0010237C"/>
    <w:rsid w:val="0010413A"/>
    <w:rsid w:val="00104FBC"/>
    <w:rsid w:val="00105970"/>
    <w:rsid w:val="00106A59"/>
    <w:rsid w:val="00107175"/>
    <w:rsid w:val="0010747A"/>
    <w:rsid w:val="00107A35"/>
    <w:rsid w:val="00107D4A"/>
    <w:rsid w:val="0011021D"/>
    <w:rsid w:val="0011146E"/>
    <w:rsid w:val="0011186B"/>
    <w:rsid w:val="00111AD4"/>
    <w:rsid w:val="00111F8A"/>
    <w:rsid w:val="00112134"/>
    <w:rsid w:val="001122C0"/>
    <w:rsid w:val="00112D92"/>
    <w:rsid w:val="00112E28"/>
    <w:rsid w:val="001138DB"/>
    <w:rsid w:val="00113C2F"/>
    <w:rsid w:val="00113E28"/>
    <w:rsid w:val="00114290"/>
    <w:rsid w:val="00114325"/>
    <w:rsid w:val="0011483D"/>
    <w:rsid w:val="00114C7A"/>
    <w:rsid w:val="00114E4E"/>
    <w:rsid w:val="00115432"/>
    <w:rsid w:val="001157CE"/>
    <w:rsid w:val="00115E66"/>
    <w:rsid w:val="00115EA3"/>
    <w:rsid w:val="00116816"/>
    <w:rsid w:val="00116E1B"/>
    <w:rsid w:val="001172DF"/>
    <w:rsid w:val="00117408"/>
    <w:rsid w:val="00117C0E"/>
    <w:rsid w:val="00117DC2"/>
    <w:rsid w:val="00120516"/>
    <w:rsid w:val="0012150C"/>
    <w:rsid w:val="00121682"/>
    <w:rsid w:val="00121EA1"/>
    <w:rsid w:val="0012279D"/>
    <w:rsid w:val="00122F2F"/>
    <w:rsid w:val="001239A8"/>
    <w:rsid w:val="001239E1"/>
    <w:rsid w:val="00123EFD"/>
    <w:rsid w:val="001243A4"/>
    <w:rsid w:val="001247BA"/>
    <w:rsid w:val="00124DC1"/>
    <w:rsid w:val="00125628"/>
    <w:rsid w:val="00125881"/>
    <w:rsid w:val="001262F9"/>
    <w:rsid w:val="001268C7"/>
    <w:rsid w:val="00127D9D"/>
    <w:rsid w:val="001305E5"/>
    <w:rsid w:val="00131349"/>
    <w:rsid w:val="0013138F"/>
    <w:rsid w:val="00131CCD"/>
    <w:rsid w:val="00132126"/>
    <w:rsid w:val="001321A1"/>
    <w:rsid w:val="0013302E"/>
    <w:rsid w:val="0013406B"/>
    <w:rsid w:val="00134E29"/>
    <w:rsid w:val="00134F83"/>
    <w:rsid w:val="001354CB"/>
    <w:rsid w:val="00135695"/>
    <w:rsid w:val="00135742"/>
    <w:rsid w:val="00135776"/>
    <w:rsid w:val="00135A23"/>
    <w:rsid w:val="00135B1B"/>
    <w:rsid w:val="00136479"/>
    <w:rsid w:val="00136496"/>
    <w:rsid w:val="0013664A"/>
    <w:rsid w:val="0013667B"/>
    <w:rsid w:val="0013696C"/>
    <w:rsid w:val="00136A10"/>
    <w:rsid w:val="00136A3E"/>
    <w:rsid w:val="0013702C"/>
    <w:rsid w:val="00137248"/>
    <w:rsid w:val="00137337"/>
    <w:rsid w:val="001378D5"/>
    <w:rsid w:val="00137FF0"/>
    <w:rsid w:val="001400DC"/>
    <w:rsid w:val="00140560"/>
    <w:rsid w:val="00140A5E"/>
    <w:rsid w:val="00140CC4"/>
    <w:rsid w:val="00140CD9"/>
    <w:rsid w:val="00141160"/>
    <w:rsid w:val="00141853"/>
    <w:rsid w:val="00141BD6"/>
    <w:rsid w:val="00141E09"/>
    <w:rsid w:val="00141F98"/>
    <w:rsid w:val="00142206"/>
    <w:rsid w:val="00143176"/>
    <w:rsid w:val="001431D6"/>
    <w:rsid w:val="00143B4D"/>
    <w:rsid w:val="00143FFA"/>
    <w:rsid w:val="0014435E"/>
    <w:rsid w:val="0014465D"/>
    <w:rsid w:val="00144908"/>
    <w:rsid w:val="00144BB3"/>
    <w:rsid w:val="00144C4B"/>
    <w:rsid w:val="001451A4"/>
    <w:rsid w:val="0014551F"/>
    <w:rsid w:val="001460BB"/>
    <w:rsid w:val="001466D7"/>
    <w:rsid w:val="0014691B"/>
    <w:rsid w:val="001469CA"/>
    <w:rsid w:val="00146E34"/>
    <w:rsid w:val="0014715B"/>
    <w:rsid w:val="001475C5"/>
    <w:rsid w:val="00147605"/>
    <w:rsid w:val="00150248"/>
    <w:rsid w:val="00150611"/>
    <w:rsid w:val="00150A48"/>
    <w:rsid w:val="00150BE4"/>
    <w:rsid w:val="00150BE7"/>
    <w:rsid w:val="00150BEB"/>
    <w:rsid w:val="00150CC9"/>
    <w:rsid w:val="00150F89"/>
    <w:rsid w:val="00151B16"/>
    <w:rsid w:val="00152452"/>
    <w:rsid w:val="001526AC"/>
    <w:rsid w:val="001527A0"/>
    <w:rsid w:val="00152C2F"/>
    <w:rsid w:val="00153149"/>
    <w:rsid w:val="00153A60"/>
    <w:rsid w:val="00153D95"/>
    <w:rsid w:val="00154091"/>
    <w:rsid w:val="0015454A"/>
    <w:rsid w:val="00154682"/>
    <w:rsid w:val="00154827"/>
    <w:rsid w:val="00154F60"/>
    <w:rsid w:val="00155501"/>
    <w:rsid w:val="001560B9"/>
    <w:rsid w:val="00156CAA"/>
    <w:rsid w:val="00156DEF"/>
    <w:rsid w:val="0015702B"/>
    <w:rsid w:val="00157577"/>
    <w:rsid w:val="00157D86"/>
    <w:rsid w:val="00160155"/>
    <w:rsid w:val="0016031C"/>
    <w:rsid w:val="00160A6B"/>
    <w:rsid w:val="00161124"/>
    <w:rsid w:val="00161717"/>
    <w:rsid w:val="00161DA5"/>
    <w:rsid w:val="00162EAF"/>
    <w:rsid w:val="001630CE"/>
    <w:rsid w:val="001630E8"/>
    <w:rsid w:val="001637C1"/>
    <w:rsid w:val="001639FB"/>
    <w:rsid w:val="00163D00"/>
    <w:rsid w:val="001643E4"/>
    <w:rsid w:val="00164534"/>
    <w:rsid w:val="001648F4"/>
    <w:rsid w:val="00164B64"/>
    <w:rsid w:val="00164C99"/>
    <w:rsid w:val="00165294"/>
    <w:rsid w:val="00165EC3"/>
    <w:rsid w:val="00166364"/>
    <w:rsid w:val="00166477"/>
    <w:rsid w:val="0016692C"/>
    <w:rsid w:val="001669F3"/>
    <w:rsid w:val="00166D27"/>
    <w:rsid w:val="001672B6"/>
    <w:rsid w:val="001674FF"/>
    <w:rsid w:val="001675AA"/>
    <w:rsid w:val="00167D07"/>
    <w:rsid w:val="00170230"/>
    <w:rsid w:val="00170320"/>
    <w:rsid w:val="00170625"/>
    <w:rsid w:val="0017091D"/>
    <w:rsid w:val="00170DCB"/>
    <w:rsid w:val="0017146B"/>
    <w:rsid w:val="00171552"/>
    <w:rsid w:val="00171B4A"/>
    <w:rsid w:val="0017200D"/>
    <w:rsid w:val="0017265F"/>
    <w:rsid w:val="001730B0"/>
    <w:rsid w:val="001739FC"/>
    <w:rsid w:val="00173FDD"/>
    <w:rsid w:val="001747CF"/>
    <w:rsid w:val="00174A21"/>
    <w:rsid w:val="00175053"/>
    <w:rsid w:val="0017513A"/>
    <w:rsid w:val="00175FE2"/>
    <w:rsid w:val="00176411"/>
    <w:rsid w:val="00176B96"/>
    <w:rsid w:val="00177D09"/>
    <w:rsid w:val="00177D2F"/>
    <w:rsid w:val="00180392"/>
    <w:rsid w:val="00180A11"/>
    <w:rsid w:val="00180A5D"/>
    <w:rsid w:val="001814DD"/>
    <w:rsid w:val="00181A6A"/>
    <w:rsid w:val="001821A3"/>
    <w:rsid w:val="00182674"/>
    <w:rsid w:val="00182D37"/>
    <w:rsid w:val="00182DC0"/>
    <w:rsid w:val="00183085"/>
    <w:rsid w:val="001839FA"/>
    <w:rsid w:val="00183DDC"/>
    <w:rsid w:val="001846B3"/>
    <w:rsid w:val="0018505D"/>
    <w:rsid w:val="001850C6"/>
    <w:rsid w:val="0018586A"/>
    <w:rsid w:val="001858E5"/>
    <w:rsid w:val="00185AE7"/>
    <w:rsid w:val="00185B85"/>
    <w:rsid w:val="00185C35"/>
    <w:rsid w:val="00186BD2"/>
    <w:rsid w:val="0018758B"/>
    <w:rsid w:val="00187D1B"/>
    <w:rsid w:val="001900F7"/>
    <w:rsid w:val="0019015A"/>
    <w:rsid w:val="00190396"/>
    <w:rsid w:val="00190855"/>
    <w:rsid w:val="00190F93"/>
    <w:rsid w:val="00191D43"/>
    <w:rsid w:val="00191FF6"/>
    <w:rsid w:val="00192E51"/>
    <w:rsid w:val="00192F16"/>
    <w:rsid w:val="00193071"/>
    <w:rsid w:val="0019399F"/>
    <w:rsid w:val="00194286"/>
    <w:rsid w:val="00194332"/>
    <w:rsid w:val="00195732"/>
    <w:rsid w:val="00195BC7"/>
    <w:rsid w:val="00195E40"/>
    <w:rsid w:val="00195EBA"/>
    <w:rsid w:val="001960B4"/>
    <w:rsid w:val="00196FD4"/>
    <w:rsid w:val="0019758B"/>
    <w:rsid w:val="00197B6F"/>
    <w:rsid w:val="00197B8A"/>
    <w:rsid w:val="00197CC1"/>
    <w:rsid w:val="001A0135"/>
    <w:rsid w:val="001A0CA6"/>
    <w:rsid w:val="001A166A"/>
    <w:rsid w:val="001A2081"/>
    <w:rsid w:val="001A2A50"/>
    <w:rsid w:val="001A2F88"/>
    <w:rsid w:val="001A2FA2"/>
    <w:rsid w:val="001A30F6"/>
    <w:rsid w:val="001A325B"/>
    <w:rsid w:val="001A385B"/>
    <w:rsid w:val="001A38A7"/>
    <w:rsid w:val="001A3974"/>
    <w:rsid w:val="001A3E92"/>
    <w:rsid w:val="001A40B6"/>
    <w:rsid w:val="001A4B1D"/>
    <w:rsid w:val="001A4C5A"/>
    <w:rsid w:val="001A4FC5"/>
    <w:rsid w:val="001A5D04"/>
    <w:rsid w:val="001A5DF1"/>
    <w:rsid w:val="001A613C"/>
    <w:rsid w:val="001A6276"/>
    <w:rsid w:val="001A72F6"/>
    <w:rsid w:val="001A7D06"/>
    <w:rsid w:val="001A7DFE"/>
    <w:rsid w:val="001B1655"/>
    <w:rsid w:val="001B17FB"/>
    <w:rsid w:val="001B2821"/>
    <w:rsid w:val="001B285C"/>
    <w:rsid w:val="001B2A02"/>
    <w:rsid w:val="001B2ACB"/>
    <w:rsid w:val="001B2D16"/>
    <w:rsid w:val="001B2DBB"/>
    <w:rsid w:val="001B38CD"/>
    <w:rsid w:val="001B3BE6"/>
    <w:rsid w:val="001B3EFA"/>
    <w:rsid w:val="001B41A2"/>
    <w:rsid w:val="001B49CC"/>
    <w:rsid w:val="001B4B0A"/>
    <w:rsid w:val="001B4E87"/>
    <w:rsid w:val="001B4EA7"/>
    <w:rsid w:val="001B5656"/>
    <w:rsid w:val="001B5DFF"/>
    <w:rsid w:val="001B65B8"/>
    <w:rsid w:val="001B6F86"/>
    <w:rsid w:val="001B70CA"/>
    <w:rsid w:val="001B75F0"/>
    <w:rsid w:val="001B79C8"/>
    <w:rsid w:val="001C00D8"/>
    <w:rsid w:val="001C057E"/>
    <w:rsid w:val="001C16B0"/>
    <w:rsid w:val="001C1B42"/>
    <w:rsid w:val="001C2CAD"/>
    <w:rsid w:val="001C308D"/>
    <w:rsid w:val="001C3187"/>
    <w:rsid w:val="001C3232"/>
    <w:rsid w:val="001C34D5"/>
    <w:rsid w:val="001C3CE8"/>
    <w:rsid w:val="001C3ED9"/>
    <w:rsid w:val="001C450A"/>
    <w:rsid w:val="001C45D9"/>
    <w:rsid w:val="001C49B8"/>
    <w:rsid w:val="001C5616"/>
    <w:rsid w:val="001C5A02"/>
    <w:rsid w:val="001C5BF5"/>
    <w:rsid w:val="001C5C3E"/>
    <w:rsid w:val="001C5C9D"/>
    <w:rsid w:val="001C5EB7"/>
    <w:rsid w:val="001C5FEF"/>
    <w:rsid w:val="001C6FC8"/>
    <w:rsid w:val="001C72B2"/>
    <w:rsid w:val="001D0073"/>
    <w:rsid w:val="001D0522"/>
    <w:rsid w:val="001D0955"/>
    <w:rsid w:val="001D1192"/>
    <w:rsid w:val="001D223A"/>
    <w:rsid w:val="001D2243"/>
    <w:rsid w:val="001D228F"/>
    <w:rsid w:val="001D2793"/>
    <w:rsid w:val="001D2D4F"/>
    <w:rsid w:val="001D2F2A"/>
    <w:rsid w:val="001D3679"/>
    <w:rsid w:val="001D3CC2"/>
    <w:rsid w:val="001D4406"/>
    <w:rsid w:val="001D461F"/>
    <w:rsid w:val="001D46D3"/>
    <w:rsid w:val="001D64AE"/>
    <w:rsid w:val="001D6714"/>
    <w:rsid w:val="001D713E"/>
    <w:rsid w:val="001D77E6"/>
    <w:rsid w:val="001E0306"/>
    <w:rsid w:val="001E09E8"/>
    <w:rsid w:val="001E0A7D"/>
    <w:rsid w:val="001E0D0D"/>
    <w:rsid w:val="001E1049"/>
    <w:rsid w:val="001E1C40"/>
    <w:rsid w:val="001E1EC3"/>
    <w:rsid w:val="001E1FB9"/>
    <w:rsid w:val="001E1FD1"/>
    <w:rsid w:val="001E2246"/>
    <w:rsid w:val="001E23E2"/>
    <w:rsid w:val="001E2DD8"/>
    <w:rsid w:val="001E3778"/>
    <w:rsid w:val="001E3F7F"/>
    <w:rsid w:val="001E462B"/>
    <w:rsid w:val="001E4759"/>
    <w:rsid w:val="001E475C"/>
    <w:rsid w:val="001E527A"/>
    <w:rsid w:val="001E59BD"/>
    <w:rsid w:val="001E5C3E"/>
    <w:rsid w:val="001E61C9"/>
    <w:rsid w:val="001E641F"/>
    <w:rsid w:val="001E66A7"/>
    <w:rsid w:val="001E773D"/>
    <w:rsid w:val="001F068F"/>
    <w:rsid w:val="001F0BBB"/>
    <w:rsid w:val="001F0DE8"/>
    <w:rsid w:val="001F1D9C"/>
    <w:rsid w:val="001F2E3B"/>
    <w:rsid w:val="001F3363"/>
    <w:rsid w:val="001F3815"/>
    <w:rsid w:val="001F4057"/>
    <w:rsid w:val="001F407D"/>
    <w:rsid w:val="001F4183"/>
    <w:rsid w:val="001F54B2"/>
    <w:rsid w:val="001F5566"/>
    <w:rsid w:val="001F5736"/>
    <w:rsid w:val="001F6AE0"/>
    <w:rsid w:val="001F6B1F"/>
    <w:rsid w:val="001F6BA7"/>
    <w:rsid w:val="001F6CBF"/>
    <w:rsid w:val="001F76D7"/>
    <w:rsid w:val="00200434"/>
    <w:rsid w:val="00200E5B"/>
    <w:rsid w:val="00200FE9"/>
    <w:rsid w:val="002014C8"/>
    <w:rsid w:val="00202068"/>
    <w:rsid w:val="00202878"/>
    <w:rsid w:val="00202F8B"/>
    <w:rsid w:val="00203277"/>
    <w:rsid w:val="00203604"/>
    <w:rsid w:val="00203E25"/>
    <w:rsid w:val="00205724"/>
    <w:rsid w:val="00205C5F"/>
    <w:rsid w:val="00206236"/>
    <w:rsid w:val="002064F7"/>
    <w:rsid w:val="00206509"/>
    <w:rsid w:val="00206BDB"/>
    <w:rsid w:val="0020761B"/>
    <w:rsid w:val="0021058F"/>
    <w:rsid w:val="00210D91"/>
    <w:rsid w:val="0021135F"/>
    <w:rsid w:val="0021150C"/>
    <w:rsid w:val="00212144"/>
    <w:rsid w:val="002127FD"/>
    <w:rsid w:val="00212B04"/>
    <w:rsid w:val="00212EEA"/>
    <w:rsid w:val="00212EF0"/>
    <w:rsid w:val="002130B4"/>
    <w:rsid w:val="00213453"/>
    <w:rsid w:val="0021348C"/>
    <w:rsid w:val="00214BC0"/>
    <w:rsid w:val="00214CAA"/>
    <w:rsid w:val="00215051"/>
    <w:rsid w:val="002154D1"/>
    <w:rsid w:val="00215BEE"/>
    <w:rsid w:val="0021654E"/>
    <w:rsid w:val="00216875"/>
    <w:rsid w:val="00217B31"/>
    <w:rsid w:val="002202E4"/>
    <w:rsid w:val="002203E4"/>
    <w:rsid w:val="0022072A"/>
    <w:rsid w:val="00220B3D"/>
    <w:rsid w:val="0022100A"/>
    <w:rsid w:val="00221160"/>
    <w:rsid w:val="002213EE"/>
    <w:rsid w:val="00221922"/>
    <w:rsid w:val="00221B87"/>
    <w:rsid w:val="00221B94"/>
    <w:rsid w:val="00221DC7"/>
    <w:rsid w:val="00221E3A"/>
    <w:rsid w:val="002220AB"/>
    <w:rsid w:val="00222AAD"/>
    <w:rsid w:val="00222C5D"/>
    <w:rsid w:val="002237A5"/>
    <w:rsid w:val="00224723"/>
    <w:rsid w:val="002248C1"/>
    <w:rsid w:val="00224C04"/>
    <w:rsid w:val="00224EF7"/>
    <w:rsid w:val="002251A4"/>
    <w:rsid w:val="00225489"/>
    <w:rsid w:val="00225718"/>
    <w:rsid w:val="00225CAE"/>
    <w:rsid w:val="0022615B"/>
    <w:rsid w:val="002263E1"/>
    <w:rsid w:val="00226528"/>
    <w:rsid w:val="0022685E"/>
    <w:rsid w:val="00226C31"/>
    <w:rsid w:val="0022705A"/>
    <w:rsid w:val="00227BBA"/>
    <w:rsid w:val="00227E88"/>
    <w:rsid w:val="0023004B"/>
    <w:rsid w:val="002301B6"/>
    <w:rsid w:val="00230B94"/>
    <w:rsid w:val="00230F6F"/>
    <w:rsid w:val="00231C3C"/>
    <w:rsid w:val="00231DC5"/>
    <w:rsid w:val="00232726"/>
    <w:rsid w:val="00232836"/>
    <w:rsid w:val="002338F8"/>
    <w:rsid w:val="00234167"/>
    <w:rsid w:val="00234AB5"/>
    <w:rsid w:val="00234F9B"/>
    <w:rsid w:val="0023589B"/>
    <w:rsid w:val="00235AEE"/>
    <w:rsid w:val="00235D75"/>
    <w:rsid w:val="002366CE"/>
    <w:rsid w:val="00236D0B"/>
    <w:rsid w:val="00236F10"/>
    <w:rsid w:val="002375D3"/>
    <w:rsid w:val="00237F59"/>
    <w:rsid w:val="0024001A"/>
    <w:rsid w:val="00240887"/>
    <w:rsid w:val="00240A1C"/>
    <w:rsid w:val="00241142"/>
    <w:rsid w:val="00241958"/>
    <w:rsid w:val="002419F2"/>
    <w:rsid w:val="00243E20"/>
    <w:rsid w:val="00244096"/>
    <w:rsid w:val="0024417D"/>
    <w:rsid w:val="00244754"/>
    <w:rsid w:val="00244A94"/>
    <w:rsid w:val="00244C55"/>
    <w:rsid w:val="00245470"/>
    <w:rsid w:val="00245DBE"/>
    <w:rsid w:val="00246CD7"/>
    <w:rsid w:val="00247618"/>
    <w:rsid w:val="00247C83"/>
    <w:rsid w:val="002501D0"/>
    <w:rsid w:val="00250370"/>
    <w:rsid w:val="0025068A"/>
    <w:rsid w:val="00250751"/>
    <w:rsid w:val="002507E8"/>
    <w:rsid w:val="00250A7F"/>
    <w:rsid w:val="00250C24"/>
    <w:rsid w:val="00250D13"/>
    <w:rsid w:val="002516DF"/>
    <w:rsid w:val="00251B50"/>
    <w:rsid w:val="002531F9"/>
    <w:rsid w:val="00253952"/>
    <w:rsid w:val="002539B8"/>
    <w:rsid w:val="00253DD9"/>
    <w:rsid w:val="00254CF4"/>
    <w:rsid w:val="00254EF4"/>
    <w:rsid w:val="00255877"/>
    <w:rsid w:val="0025598F"/>
    <w:rsid w:val="0025701A"/>
    <w:rsid w:val="002575ED"/>
    <w:rsid w:val="002576EB"/>
    <w:rsid w:val="0026008A"/>
    <w:rsid w:val="00260421"/>
    <w:rsid w:val="00260BF5"/>
    <w:rsid w:val="00260D04"/>
    <w:rsid w:val="0026130F"/>
    <w:rsid w:val="00261C84"/>
    <w:rsid w:val="00262130"/>
    <w:rsid w:val="00262A9E"/>
    <w:rsid w:val="00263521"/>
    <w:rsid w:val="00263A1E"/>
    <w:rsid w:val="00263DB7"/>
    <w:rsid w:val="002643D4"/>
    <w:rsid w:val="00264AC3"/>
    <w:rsid w:val="00264CFB"/>
    <w:rsid w:val="0026519B"/>
    <w:rsid w:val="00265428"/>
    <w:rsid w:val="002654D1"/>
    <w:rsid w:val="0026633D"/>
    <w:rsid w:val="0027101D"/>
    <w:rsid w:val="0027121E"/>
    <w:rsid w:val="0027188F"/>
    <w:rsid w:val="002739B2"/>
    <w:rsid w:val="00273FDF"/>
    <w:rsid w:val="0027424D"/>
    <w:rsid w:val="00275141"/>
    <w:rsid w:val="00275281"/>
    <w:rsid w:val="002753C7"/>
    <w:rsid w:val="00275A79"/>
    <w:rsid w:val="002763F9"/>
    <w:rsid w:val="00276D55"/>
    <w:rsid w:val="00277114"/>
    <w:rsid w:val="002774D4"/>
    <w:rsid w:val="0028138F"/>
    <w:rsid w:val="002813A0"/>
    <w:rsid w:val="00281F46"/>
    <w:rsid w:val="00282151"/>
    <w:rsid w:val="00282C5A"/>
    <w:rsid w:val="00282D4B"/>
    <w:rsid w:val="00283FFC"/>
    <w:rsid w:val="002841CB"/>
    <w:rsid w:val="00284ABA"/>
    <w:rsid w:val="00284B06"/>
    <w:rsid w:val="00285362"/>
    <w:rsid w:val="00285B61"/>
    <w:rsid w:val="00285EC0"/>
    <w:rsid w:val="0028686C"/>
    <w:rsid w:val="0028694C"/>
    <w:rsid w:val="002869E1"/>
    <w:rsid w:val="00286A23"/>
    <w:rsid w:val="00286C34"/>
    <w:rsid w:val="002870FF"/>
    <w:rsid w:val="00287385"/>
    <w:rsid w:val="00287BEF"/>
    <w:rsid w:val="00287D09"/>
    <w:rsid w:val="00290C01"/>
    <w:rsid w:val="00290D96"/>
    <w:rsid w:val="00291775"/>
    <w:rsid w:val="00291D2D"/>
    <w:rsid w:val="002920D3"/>
    <w:rsid w:val="002925B8"/>
    <w:rsid w:val="00292791"/>
    <w:rsid w:val="00292A58"/>
    <w:rsid w:val="00293FC3"/>
    <w:rsid w:val="00294150"/>
    <w:rsid w:val="00294251"/>
    <w:rsid w:val="00294784"/>
    <w:rsid w:val="00294AF0"/>
    <w:rsid w:val="0029517F"/>
    <w:rsid w:val="00296A9F"/>
    <w:rsid w:val="002970CC"/>
    <w:rsid w:val="00297730"/>
    <w:rsid w:val="00297B77"/>
    <w:rsid w:val="00297FD7"/>
    <w:rsid w:val="002A04CC"/>
    <w:rsid w:val="002A0913"/>
    <w:rsid w:val="002A1117"/>
    <w:rsid w:val="002A18D6"/>
    <w:rsid w:val="002A1999"/>
    <w:rsid w:val="002A2132"/>
    <w:rsid w:val="002A232C"/>
    <w:rsid w:val="002A29AB"/>
    <w:rsid w:val="002A2C5A"/>
    <w:rsid w:val="002A3A3E"/>
    <w:rsid w:val="002A4153"/>
    <w:rsid w:val="002A4460"/>
    <w:rsid w:val="002A4707"/>
    <w:rsid w:val="002A47BB"/>
    <w:rsid w:val="002A4B57"/>
    <w:rsid w:val="002A4F87"/>
    <w:rsid w:val="002A53E2"/>
    <w:rsid w:val="002A53FA"/>
    <w:rsid w:val="002A57EB"/>
    <w:rsid w:val="002A598C"/>
    <w:rsid w:val="002A6418"/>
    <w:rsid w:val="002A64F8"/>
    <w:rsid w:val="002A68DE"/>
    <w:rsid w:val="002A6A8F"/>
    <w:rsid w:val="002A6B3B"/>
    <w:rsid w:val="002A7BBC"/>
    <w:rsid w:val="002A7D21"/>
    <w:rsid w:val="002A7D9F"/>
    <w:rsid w:val="002B0115"/>
    <w:rsid w:val="002B08F4"/>
    <w:rsid w:val="002B0B66"/>
    <w:rsid w:val="002B0C29"/>
    <w:rsid w:val="002B10E8"/>
    <w:rsid w:val="002B12C0"/>
    <w:rsid w:val="002B1394"/>
    <w:rsid w:val="002B30DB"/>
    <w:rsid w:val="002B3A8C"/>
    <w:rsid w:val="002B4A75"/>
    <w:rsid w:val="002B55FA"/>
    <w:rsid w:val="002B5A1F"/>
    <w:rsid w:val="002B5C10"/>
    <w:rsid w:val="002B5C6F"/>
    <w:rsid w:val="002B5D65"/>
    <w:rsid w:val="002B5EF2"/>
    <w:rsid w:val="002B637F"/>
    <w:rsid w:val="002B65DC"/>
    <w:rsid w:val="002B6803"/>
    <w:rsid w:val="002B6FB4"/>
    <w:rsid w:val="002B730D"/>
    <w:rsid w:val="002C06EB"/>
    <w:rsid w:val="002C07AE"/>
    <w:rsid w:val="002C1BB5"/>
    <w:rsid w:val="002C1D86"/>
    <w:rsid w:val="002C1EE0"/>
    <w:rsid w:val="002C247E"/>
    <w:rsid w:val="002C28D3"/>
    <w:rsid w:val="002C2B0E"/>
    <w:rsid w:val="002C316A"/>
    <w:rsid w:val="002C3B87"/>
    <w:rsid w:val="002C3D55"/>
    <w:rsid w:val="002C4139"/>
    <w:rsid w:val="002C4302"/>
    <w:rsid w:val="002C4F9F"/>
    <w:rsid w:val="002C54FF"/>
    <w:rsid w:val="002C58AD"/>
    <w:rsid w:val="002C65B3"/>
    <w:rsid w:val="002C6D22"/>
    <w:rsid w:val="002C70A2"/>
    <w:rsid w:val="002C7A5A"/>
    <w:rsid w:val="002C7D35"/>
    <w:rsid w:val="002C7FC3"/>
    <w:rsid w:val="002D083D"/>
    <w:rsid w:val="002D1688"/>
    <w:rsid w:val="002D2963"/>
    <w:rsid w:val="002D3201"/>
    <w:rsid w:val="002D32B9"/>
    <w:rsid w:val="002D38CB"/>
    <w:rsid w:val="002D3AC8"/>
    <w:rsid w:val="002D4617"/>
    <w:rsid w:val="002D4D38"/>
    <w:rsid w:val="002D4E23"/>
    <w:rsid w:val="002D4E81"/>
    <w:rsid w:val="002D5209"/>
    <w:rsid w:val="002D555F"/>
    <w:rsid w:val="002D5684"/>
    <w:rsid w:val="002D572F"/>
    <w:rsid w:val="002D5930"/>
    <w:rsid w:val="002D5D2C"/>
    <w:rsid w:val="002D65CF"/>
    <w:rsid w:val="002D6964"/>
    <w:rsid w:val="002D69A4"/>
    <w:rsid w:val="002D6DBD"/>
    <w:rsid w:val="002D6EF5"/>
    <w:rsid w:val="002D79C7"/>
    <w:rsid w:val="002D7F23"/>
    <w:rsid w:val="002E0151"/>
    <w:rsid w:val="002E01CC"/>
    <w:rsid w:val="002E07C7"/>
    <w:rsid w:val="002E0A57"/>
    <w:rsid w:val="002E178D"/>
    <w:rsid w:val="002E188D"/>
    <w:rsid w:val="002E1E1F"/>
    <w:rsid w:val="002E2222"/>
    <w:rsid w:val="002E24BB"/>
    <w:rsid w:val="002E2DB0"/>
    <w:rsid w:val="002E2F27"/>
    <w:rsid w:val="002E3AA6"/>
    <w:rsid w:val="002E424B"/>
    <w:rsid w:val="002E4818"/>
    <w:rsid w:val="002E56EA"/>
    <w:rsid w:val="002E5757"/>
    <w:rsid w:val="002E6467"/>
    <w:rsid w:val="002E6B3E"/>
    <w:rsid w:val="002E707E"/>
    <w:rsid w:val="002E70B8"/>
    <w:rsid w:val="002E7528"/>
    <w:rsid w:val="002E76D3"/>
    <w:rsid w:val="002F03A2"/>
    <w:rsid w:val="002F03CB"/>
    <w:rsid w:val="002F06E7"/>
    <w:rsid w:val="002F1184"/>
    <w:rsid w:val="002F11D2"/>
    <w:rsid w:val="002F1452"/>
    <w:rsid w:val="002F1610"/>
    <w:rsid w:val="002F2019"/>
    <w:rsid w:val="002F24F0"/>
    <w:rsid w:val="002F29CA"/>
    <w:rsid w:val="002F2C5D"/>
    <w:rsid w:val="002F3162"/>
    <w:rsid w:val="002F3B2B"/>
    <w:rsid w:val="002F3C8A"/>
    <w:rsid w:val="002F42B0"/>
    <w:rsid w:val="002F430E"/>
    <w:rsid w:val="002F44B2"/>
    <w:rsid w:val="002F4761"/>
    <w:rsid w:val="002F5163"/>
    <w:rsid w:val="002F5293"/>
    <w:rsid w:val="002F5524"/>
    <w:rsid w:val="002F5628"/>
    <w:rsid w:val="002F5A80"/>
    <w:rsid w:val="002F5B51"/>
    <w:rsid w:val="002F5CEC"/>
    <w:rsid w:val="002F69ED"/>
    <w:rsid w:val="002F6FA5"/>
    <w:rsid w:val="002F724D"/>
    <w:rsid w:val="002F78B6"/>
    <w:rsid w:val="002F7C75"/>
    <w:rsid w:val="002F7D09"/>
    <w:rsid w:val="00300146"/>
    <w:rsid w:val="0030043A"/>
    <w:rsid w:val="00300F74"/>
    <w:rsid w:val="0030114C"/>
    <w:rsid w:val="00301153"/>
    <w:rsid w:val="00301A99"/>
    <w:rsid w:val="00301A9A"/>
    <w:rsid w:val="003020D6"/>
    <w:rsid w:val="00302134"/>
    <w:rsid w:val="00302C17"/>
    <w:rsid w:val="00302DC7"/>
    <w:rsid w:val="0030338B"/>
    <w:rsid w:val="003038A7"/>
    <w:rsid w:val="00303B4E"/>
    <w:rsid w:val="0030415A"/>
    <w:rsid w:val="0030451F"/>
    <w:rsid w:val="00304D83"/>
    <w:rsid w:val="00304E57"/>
    <w:rsid w:val="003050D0"/>
    <w:rsid w:val="0030516B"/>
    <w:rsid w:val="00305A00"/>
    <w:rsid w:val="00305BC1"/>
    <w:rsid w:val="00305E58"/>
    <w:rsid w:val="003063A3"/>
    <w:rsid w:val="003067B1"/>
    <w:rsid w:val="00306A3B"/>
    <w:rsid w:val="00306A59"/>
    <w:rsid w:val="003071E1"/>
    <w:rsid w:val="003073E1"/>
    <w:rsid w:val="00307A51"/>
    <w:rsid w:val="00307FA5"/>
    <w:rsid w:val="003108E3"/>
    <w:rsid w:val="00310C5E"/>
    <w:rsid w:val="00311190"/>
    <w:rsid w:val="0031135A"/>
    <w:rsid w:val="00312590"/>
    <w:rsid w:val="003126B6"/>
    <w:rsid w:val="0031327E"/>
    <w:rsid w:val="00313D58"/>
    <w:rsid w:val="00313EEC"/>
    <w:rsid w:val="00314144"/>
    <w:rsid w:val="0031468A"/>
    <w:rsid w:val="003149AC"/>
    <w:rsid w:val="00314F75"/>
    <w:rsid w:val="00315624"/>
    <w:rsid w:val="00315BD6"/>
    <w:rsid w:val="00315D7F"/>
    <w:rsid w:val="00315FF2"/>
    <w:rsid w:val="00316385"/>
    <w:rsid w:val="00316C57"/>
    <w:rsid w:val="00316E46"/>
    <w:rsid w:val="00316F0F"/>
    <w:rsid w:val="003177E2"/>
    <w:rsid w:val="0032022E"/>
    <w:rsid w:val="00321066"/>
    <w:rsid w:val="0032110F"/>
    <w:rsid w:val="0032289E"/>
    <w:rsid w:val="003228CE"/>
    <w:rsid w:val="00322998"/>
    <w:rsid w:val="00322A81"/>
    <w:rsid w:val="00323027"/>
    <w:rsid w:val="0032331E"/>
    <w:rsid w:val="003233A8"/>
    <w:rsid w:val="00323874"/>
    <w:rsid w:val="00324236"/>
    <w:rsid w:val="0032448C"/>
    <w:rsid w:val="00324BC1"/>
    <w:rsid w:val="00324C2A"/>
    <w:rsid w:val="00324F0D"/>
    <w:rsid w:val="003257C6"/>
    <w:rsid w:val="00325F44"/>
    <w:rsid w:val="00326ABF"/>
    <w:rsid w:val="00326C7C"/>
    <w:rsid w:val="00326EF0"/>
    <w:rsid w:val="00326F6A"/>
    <w:rsid w:val="003271AB"/>
    <w:rsid w:val="00327593"/>
    <w:rsid w:val="0032765C"/>
    <w:rsid w:val="00327D99"/>
    <w:rsid w:val="003302F0"/>
    <w:rsid w:val="003303FB"/>
    <w:rsid w:val="00330B95"/>
    <w:rsid w:val="00331105"/>
    <w:rsid w:val="003318C2"/>
    <w:rsid w:val="00331924"/>
    <w:rsid w:val="00331AB4"/>
    <w:rsid w:val="00332288"/>
    <w:rsid w:val="00332442"/>
    <w:rsid w:val="00332663"/>
    <w:rsid w:val="00332C43"/>
    <w:rsid w:val="00332F33"/>
    <w:rsid w:val="00333BC5"/>
    <w:rsid w:val="00334708"/>
    <w:rsid w:val="00334A65"/>
    <w:rsid w:val="00334D20"/>
    <w:rsid w:val="00335267"/>
    <w:rsid w:val="0033564C"/>
    <w:rsid w:val="003356A2"/>
    <w:rsid w:val="0033582C"/>
    <w:rsid w:val="00335A0A"/>
    <w:rsid w:val="00335CDC"/>
    <w:rsid w:val="00335F2B"/>
    <w:rsid w:val="0033672B"/>
    <w:rsid w:val="00337048"/>
    <w:rsid w:val="003370BA"/>
    <w:rsid w:val="003372D0"/>
    <w:rsid w:val="00337846"/>
    <w:rsid w:val="00337847"/>
    <w:rsid w:val="0033799E"/>
    <w:rsid w:val="00337BB0"/>
    <w:rsid w:val="00337C4E"/>
    <w:rsid w:val="00337EBF"/>
    <w:rsid w:val="0034038A"/>
    <w:rsid w:val="003405D2"/>
    <w:rsid w:val="003405E7"/>
    <w:rsid w:val="0034070F"/>
    <w:rsid w:val="00340C7C"/>
    <w:rsid w:val="00340D4D"/>
    <w:rsid w:val="0034149F"/>
    <w:rsid w:val="003417BA"/>
    <w:rsid w:val="003419FB"/>
    <w:rsid w:val="00341C37"/>
    <w:rsid w:val="00343B0B"/>
    <w:rsid w:val="00343D49"/>
    <w:rsid w:val="00344346"/>
    <w:rsid w:val="00344842"/>
    <w:rsid w:val="00344BBF"/>
    <w:rsid w:val="003451F8"/>
    <w:rsid w:val="00345827"/>
    <w:rsid w:val="00345868"/>
    <w:rsid w:val="0034637E"/>
    <w:rsid w:val="003466B0"/>
    <w:rsid w:val="00346930"/>
    <w:rsid w:val="00347011"/>
    <w:rsid w:val="00347612"/>
    <w:rsid w:val="00347800"/>
    <w:rsid w:val="00347942"/>
    <w:rsid w:val="00347A15"/>
    <w:rsid w:val="003509DF"/>
    <w:rsid w:val="003513C7"/>
    <w:rsid w:val="0035145F"/>
    <w:rsid w:val="00351AD0"/>
    <w:rsid w:val="00351F4E"/>
    <w:rsid w:val="00352339"/>
    <w:rsid w:val="003525D4"/>
    <w:rsid w:val="00352FE4"/>
    <w:rsid w:val="0035300F"/>
    <w:rsid w:val="00354469"/>
    <w:rsid w:val="0035448A"/>
    <w:rsid w:val="003547DE"/>
    <w:rsid w:val="00355453"/>
    <w:rsid w:val="003555D2"/>
    <w:rsid w:val="003559A1"/>
    <w:rsid w:val="00355B59"/>
    <w:rsid w:val="00356540"/>
    <w:rsid w:val="003566E6"/>
    <w:rsid w:val="00356744"/>
    <w:rsid w:val="00356926"/>
    <w:rsid w:val="00356C79"/>
    <w:rsid w:val="00356CD5"/>
    <w:rsid w:val="003570AC"/>
    <w:rsid w:val="00357420"/>
    <w:rsid w:val="00357544"/>
    <w:rsid w:val="003578DC"/>
    <w:rsid w:val="00357C20"/>
    <w:rsid w:val="00360285"/>
    <w:rsid w:val="0036060B"/>
    <w:rsid w:val="003606C0"/>
    <w:rsid w:val="0036097F"/>
    <w:rsid w:val="003609EB"/>
    <w:rsid w:val="00360D47"/>
    <w:rsid w:val="00360FAE"/>
    <w:rsid w:val="00360FD1"/>
    <w:rsid w:val="0036155F"/>
    <w:rsid w:val="00361812"/>
    <w:rsid w:val="00361AA2"/>
    <w:rsid w:val="00361C09"/>
    <w:rsid w:val="00361EA9"/>
    <w:rsid w:val="00362387"/>
    <w:rsid w:val="00362505"/>
    <w:rsid w:val="00363344"/>
    <w:rsid w:val="003633E1"/>
    <w:rsid w:val="00363DC6"/>
    <w:rsid w:val="00363FE3"/>
    <w:rsid w:val="003640C2"/>
    <w:rsid w:val="00364581"/>
    <w:rsid w:val="00364B53"/>
    <w:rsid w:val="00364BCA"/>
    <w:rsid w:val="003651FF"/>
    <w:rsid w:val="0036568B"/>
    <w:rsid w:val="00365AB9"/>
    <w:rsid w:val="00365C9E"/>
    <w:rsid w:val="00365D63"/>
    <w:rsid w:val="00365DC9"/>
    <w:rsid w:val="00365DE2"/>
    <w:rsid w:val="0036639F"/>
    <w:rsid w:val="003665E9"/>
    <w:rsid w:val="003668A5"/>
    <w:rsid w:val="003671E8"/>
    <w:rsid w:val="003675CC"/>
    <w:rsid w:val="0037090C"/>
    <w:rsid w:val="0037112B"/>
    <w:rsid w:val="00371181"/>
    <w:rsid w:val="0037128C"/>
    <w:rsid w:val="00371316"/>
    <w:rsid w:val="00371B1D"/>
    <w:rsid w:val="0037230B"/>
    <w:rsid w:val="00372476"/>
    <w:rsid w:val="003724C3"/>
    <w:rsid w:val="0037259B"/>
    <w:rsid w:val="0037289B"/>
    <w:rsid w:val="003729F9"/>
    <w:rsid w:val="003732A4"/>
    <w:rsid w:val="003734FE"/>
    <w:rsid w:val="0037370B"/>
    <w:rsid w:val="00373CE2"/>
    <w:rsid w:val="00374340"/>
    <w:rsid w:val="003757DE"/>
    <w:rsid w:val="00375AE4"/>
    <w:rsid w:val="00375C87"/>
    <w:rsid w:val="00375F4A"/>
    <w:rsid w:val="00376061"/>
    <w:rsid w:val="003763F2"/>
    <w:rsid w:val="00376551"/>
    <w:rsid w:val="00376625"/>
    <w:rsid w:val="0037738B"/>
    <w:rsid w:val="0037752E"/>
    <w:rsid w:val="0037753E"/>
    <w:rsid w:val="00377549"/>
    <w:rsid w:val="00377B33"/>
    <w:rsid w:val="00380052"/>
    <w:rsid w:val="003801D8"/>
    <w:rsid w:val="0038065D"/>
    <w:rsid w:val="003806AE"/>
    <w:rsid w:val="003817EF"/>
    <w:rsid w:val="00381983"/>
    <w:rsid w:val="00382741"/>
    <w:rsid w:val="00382981"/>
    <w:rsid w:val="00382C24"/>
    <w:rsid w:val="003839AA"/>
    <w:rsid w:val="003842D1"/>
    <w:rsid w:val="003843E4"/>
    <w:rsid w:val="00384988"/>
    <w:rsid w:val="00384E38"/>
    <w:rsid w:val="00384EDD"/>
    <w:rsid w:val="00385426"/>
    <w:rsid w:val="003855E1"/>
    <w:rsid w:val="0038575C"/>
    <w:rsid w:val="00385CBB"/>
    <w:rsid w:val="00385FBB"/>
    <w:rsid w:val="00386498"/>
    <w:rsid w:val="00387351"/>
    <w:rsid w:val="00387987"/>
    <w:rsid w:val="00387E5E"/>
    <w:rsid w:val="003907CF"/>
    <w:rsid w:val="003913D9"/>
    <w:rsid w:val="00391776"/>
    <w:rsid w:val="00391943"/>
    <w:rsid w:val="00391D47"/>
    <w:rsid w:val="00392578"/>
    <w:rsid w:val="003926A8"/>
    <w:rsid w:val="00392806"/>
    <w:rsid w:val="003929A4"/>
    <w:rsid w:val="00392CEC"/>
    <w:rsid w:val="00392E92"/>
    <w:rsid w:val="00392F5B"/>
    <w:rsid w:val="00393D67"/>
    <w:rsid w:val="003941E1"/>
    <w:rsid w:val="0039455B"/>
    <w:rsid w:val="00394BB1"/>
    <w:rsid w:val="00395536"/>
    <w:rsid w:val="0039563E"/>
    <w:rsid w:val="0039592D"/>
    <w:rsid w:val="00396082"/>
    <w:rsid w:val="00396AAF"/>
    <w:rsid w:val="00396D3F"/>
    <w:rsid w:val="00396EB2"/>
    <w:rsid w:val="00396F8D"/>
    <w:rsid w:val="003971AD"/>
    <w:rsid w:val="00397234"/>
    <w:rsid w:val="00397B41"/>
    <w:rsid w:val="00397C56"/>
    <w:rsid w:val="003A042B"/>
    <w:rsid w:val="003A0852"/>
    <w:rsid w:val="003A08AE"/>
    <w:rsid w:val="003A1F08"/>
    <w:rsid w:val="003A22C1"/>
    <w:rsid w:val="003A239E"/>
    <w:rsid w:val="003A26D2"/>
    <w:rsid w:val="003A3978"/>
    <w:rsid w:val="003A3D05"/>
    <w:rsid w:val="003A47A9"/>
    <w:rsid w:val="003A5748"/>
    <w:rsid w:val="003A613A"/>
    <w:rsid w:val="003A6265"/>
    <w:rsid w:val="003A66EF"/>
    <w:rsid w:val="003A689D"/>
    <w:rsid w:val="003A73DF"/>
    <w:rsid w:val="003A769E"/>
    <w:rsid w:val="003A780A"/>
    <w:rsid w:val="003A7F68"/>
    <w:rsid w:val="003B0B84"/>
    <w:rsid w:val="003B0BB0"/>
    <w:rsid w:val="003B0E50"/>
    <w:rsid w:val="003B1053"/>
    <w:rsid w:val="003B166B"/>
    <w:rsid w:val="003B1F61"/>
    <w:rsid w:val="003B23BE"/>
    <w:rsid w:val="003B30AD"/>
    <w:rsid w:val="003B413C"/>
    <w:rsid w:val="003B4CBF"/>
    <w:rsid w:val="003B505F"/>
    <w:rsid w:val="003B57EC"/>
    <w:rsid w:val="003B5853"/>
    <w:rsid w:val="003B5A1E"/>
    <w:rsid w:val="003B5E39"/>
    <w:rsid w:val="003B639B"/>
    <w:rsid w:val="003B6576"/>
    <w:rsid w:val="003B6636"/>
    <w:rsid w:val="003B6D05"/>
    <w:rsid w:val="003B71E3"/>
    <w:rsid w:val="003B7A94"/>
    <w:rsid w:val="003B7CBC"/>
    <w:rsid w:val="003C0A02"/>
    <w:rsid w:val="003C1F92"/>
    <w:rsid w:val="003C2143"/>
    <w:rsid w:val="003C22AC"/>
    <w:rsid w:val="003C2534"/>
    <w:rsid w:val="003C26AC"/>
    <w:rsid w:val="003C2A0B"/>
    <w:rsid w:val="003C2B58"/>
    <w:rsid w:val="003C2EC6"/>
    <w:rsid w:val="003C32FE"/>
    <w:rsid w:val="003C3358"/>
    <w:rsid w:val="003C3DF6"/>
    <w:rsid w:val="003C41CF"/>
    <w:rsid w:val="003C4F30"/>
    <w:rsid w:val="003C5044"/>
    <w:rsid w:val="003C5153"/>
    <w:rsid w:val="003C5BB1"/>
    <w:rsid w:val="003C5BC7"/>
    <w:rsid w:val="003C5ED9"/>
    <w:rsid w:val="003C6AE0"/>
    <w:rsid w:val="003C6C20"/>
    <w:rsid w:val="003C6C2D"/>
    <w:rsid w:val="003C73F8"/>
    <w:rsid w:val="003C7457"/>
    <w:rsid w:val="003C797F"/>
    <w:rsid w:val="003C7AD3"/>
    <w:rsid w:val="003C7B2D"/>
    <w:rsid w:val="003D04DB"/>
    <w:rsid w:val="003D0F6A"/>
    <w:rsid w:val="003D0F91"/>
    <w:rsid w:val="003D130F"/>
    <w:rsid w:val="003D16F2"/>
    <w:rsid w:val="003D1801"/>
    <w:rsid w:val="003D1D5C"/>
    <w:rsid w:val="003D1EB4"/>
    <w:rsid w:val="003D2136"/>
    <w:rsid w:val="003D2796"/>
    <w:rsid w:val="003D29BF"/>
    <w:rsid w:val="003D2AE6"/>
    <w:rsid w:val="003D2C35"/>
    <w:rsid w:val="003D314F"/>
    <w:rsid w:val="003D3533"/>
    <w:rsid w:val="003D3F08"/>
    <w:rsid w:val="003D415E"/>
    <w:rsid w:val="003D4194"/>
    <w:rsid w:val="003D43B8"/>
    <w:rsid w:val="003D54B9"/>
    <w:rsid w:val="003D5549"/>
    <w:rsid w:val="003D5B8A"/>
    <w:rsid w:val="003D5BAF"/>
    <w:rsid w:val="003D5CAC"/>
    <w:rsid w:val="003D62C4"/>
    <w:rsid w:val="003D6310"/>
    <w:rsid w:val="003D6CAC"/>
    <w:rsid w:val="003D6FE1"/>
    <w:rsid w:val="003D7383"/>
    <w:rsid w:val="003D7489"/>
    <w:rsid w:val="003D7A6A"/>
    <w:rsid w:val="003E000E"/>
    <w:rsid w:val="003E009E"/>
    <w:rsid w:val="003E0ABC"/>
    <w:rsid w:val="003E14F5"/>
    <w:rsid w:val="003E159B"/>
    <w:rsid w:val="003E20EB"/>
    <w:rsid w:val="003E2333"/>
    <w:rsid w:val="003E248F"/>
    <w:rsid w:val="003E26E6"/>
    <w:rsid w:val="003E2F13"/>
    <w:rsid w:val="003E31EE"/>
    <w:rsid w:val="003E364E"/>
    <w:rsid w:val="003E39A4"/>
    <w:rsid w:val="003E4AD0"/>
    <w:rsid w:val="003E4D21"/>
    <w:rsid w:val="003E4D5A"/>
    <w:rsid w:val="003E58C2"/>
    <w:rsid w:val="003E5FCA"/>
    <w:rsid w:val="003E66A4"/>
    <w:rsid w:val="003E672B"/>
    <w:rsid w:val="003E6C4F"/>
    <w:rsid w:val="003E6F99"/>
    <w:rsid w:val="003E77E9"/>
    <w:rsid w:val="003E798E"/>
    <w:rsid w:val="003E7E55"/>
    <w:rsid w:val="003F0032"/>
    <w:rsid w:val="003F06E0"/>
    <w:rsid w:val="003F0C61"/>
    <w:rsid w:val="003F0D90"/>
    <w:rsid w:val="003F0E51"/>
    <w:rsid w:val="003F2708"/>
    <w:rsid w:val="003F2DBB"/>
    <w:rsid w:val="003F2F7C"/>
    <w:rsid w:val="003F316F"/>
    <w:rsid w:val="003F3D90"/>
    <w:rsid w:val="003F3E9D"/>
    <w:rsid w:val="003F4681"/>
    <w:rsid w:val="003F48CD"/>
    <w:rsid w:val="003F4A41"/>
    <w:rsid w:val="003F5248"/>
    <w:rsid w:val="003F5B6A"/>
    <w:rsid w:val="003F5DEF"/>
    <w:rsid w:val="003F6A36"/>
    <w:rsid w:val="003F6CB2"/>
    <w:rsid w:val="003F6D65"/>
    <w:rsid w:val="003F7085"/>
    <w:rsid w:val="003F733D"/>
    <w:rsid w:val="003F782E"/>
    <w:rsid w:val="003F7B2B"/>
    <w:rsid w:val="004002DD"/>
    <w:rsid w:val="00400D5E"/>
    <w:rsid w:val="00401ED1"/>
    <w:rsid w:val="00402817"/>
    <w:rsid w:val="004029F9"/>
    <w:rsid w:val="004031B5"/>
    <w:rsid w:val="00403943"/>
    <w:rsid w:val="00403EED"/>
    <w:rsid w:val="0040422D"/>
    <w:rsid w:val="004045D8"/>
    <w:rsid w:val="0040494A"/>
    <w:rsid w:val="00405277"/>
    <w:rsid w:val="0040531A"/>
    <w:rsid w:val="00406086"/>
    <w:rsid w:val="004064E0"/>
    <w:rsid w:val="00406B63"/>
    <w:rsid w:val="00406E80"/>
    <w:rsid w:val="00406EEB"/>
    <w:rsid w:val="00406F61"/>
    <w:rsid w:val="00406FEF"/>
    <w:rsid w:val="0040710C"/>
    <w:rsid w:val="004078B5"/>
    <w:rsid w:val="00410333"/>
    <w:rsid w:val="0041045D"/>
    <w:rsid w:val="004105DF"/>
    <w:rsid w:val="0041076C"/>
    <w:rsid w:val="00410935"/>
    <w:rsid w:val="00410D67"/>
    <w:rsid w:val="00410D75"/>
    <w:rsid w:val="00410D9E"/>
    <w:rsid w:val="00411671"/>
    <w:rsid w:val="0041180B"/>
    <w:rsid w:val="0041189C"/>
    <w:rsid w:val="00411AFD"/>
    <w:rsid w:val="0041212D"/>
    <w:rsid w:val="0041284E"/>
    <w:rsid w:val="00412889"/>
    <w:rsid w:val="00413464"/>
    <w:rsid w:val="00413826"/>
    <w:rsid w:val="00413C2A"/>
    <w:rsid w:val="00414A8A"/>
    <w:rsid w:val="004156B7"/>
    <w:rsid w:val="00416D06"/>
    <w:rsid w:val="00417266"/>
    <w:rsid w:val="0041751A"/>
    <w:rsid w:val="004175BE"/>
    <w:rsid w:val="00417D4C"/>
    <w:rsid w:val="00420371"/>
    <w:rsid w:val="00420374"/>
    <w:rsid w:val="004204DC"/>
    <w:rsid w:val="004206BA"/>
    <w:rsid w:val="0042090E"/>
    <w:rsid w:val="0042091E"/>
    <w:rsid w:val="00420DB1"/>
    <w:rsid w:val="0042151A"/>
    <w:rsid w:val="004219C0"/>
    <w:rsid w:val="00421D2C"/>
    <w:rsid w:val="0042232C"/>
    <w:rsid w:val="00422BC0"/>
    <w:rsid w:val="0042391F"/>
    <w:rsid w:val="00423EBB"/>
    <w:rsid w:val="00424D94"/>
    <w:rsid w:val="00424DF9"/>
    <w:rsid w:val="004250F4"/>
    <w:rsid w:val="0042545B"/>
    <w:rsid w:val="00425E72"/>
    <w:rsid w:val="00425E85"/>
    <w:rsid w:val="0042649D"/>
    <w:rsid w:val="00426862"/>
    <w:rsid w:val="00426CE7"/>
    <w:rsid w:val="00426D50"/>
    <w:rsid w:val="00427673"/>
    <w:rsid w:val="004276E0"/>
    <w:rsid w:val="00427A72"/>
    <w:rsid w:val="00427D9F"/>
    <w:rsid w:val="00430277"/>
    <w:rsid w:val="00430AA9"/>
    <w:rsid w:val="0043134C"/>
    <w:rsid w:val="00431AA5"/>
    <w:rsid w:val="00431C39"/>
    <w:rsid w:val="004321B0"/>
    <w:rsid w:val="00432941"/>
    <w:rsid w:val="00432A56"/>
    <w:rsid w:val="00433D69"/>
    <w:rsid w:val="00433DC5"/>
    <w:rsid w:val="00434C19"/>
    <w:rsid w:val="00435E93"/>
    <w:rsid w:val="0043603B"/>
    <w:rsid w:val="00436048"/>
    <w:rsid w:val="00436479"/>
    <w:rsid w:val="0043662F"/>
    <w:rsid w:val="0043667B"/>
    <w:rsid w:val="00436B23"/>
    <w:rsid w:val="00436B37"/>
    <w:rsid w:val="00436EC1"/>
    <w:rsid w:val="004370B3"/>
    <w:rsid w:val="00437586"/>
    <w:rsid w:val="0043791D"/>
    <w:rsid w:val="00437CB8"/>
    <w:rsid w:val="00437D9B"/>
    <w:rsid w:val="00440A6B"/>
    <w:rsid w:val="00440C19"/>
    <w:rsid w:val="004413C7"/>
    <w:rsid w:val="004414E6"/>
    <w:rsid w:val="004417D2"/>
    <w:rsid w:val="00441D68"/>
    <w:rsid w:val="004424B2"/>
    <w:rsid w:val="004428A8"/>
    <w:rsid w:val="00442E2D"/>
    <w:rsid w:val="00442E67"/>
    <w:rsid w:val="0044305F"/>
    <w:rsid w:val="00443D1B"/>
    <w:rsid w:val="0044419E"/>
    <w:rsid w:val="00444597"/>
    <w:rsid w:val="00444692"/>
    <w:rsid w:val="004453BB"/>
    <w:rsid w:val="00445522"/>
    <w:rsid w:val="0044619B"/>
    <w:rsid w:val="00446802"/>
    <w:rsid w:val="004470C5"/>
    <w:rsid w:val="00447106"/>
    <w:rsid w:val="004474BB"/>
    <w:rsid w:val="004475E5"/>
    <w:rsid w:val="004503E1"/>
    <w:rsid w:val="00451A68"/>
    <w:rsid w:val="00451AA2"/>
    <w:rsid w:val="00451E5C"/>
    <w:rsid w:val="0045203D"/>
    <w:rsid w:val="0045209D"/>
    <w:rsid w:val="00452950"/>
    <w:rsid w:val="00452FA4"/>
    <w:rsid w:val="004531B1"/>
    <w:rsid w:val="00453265"/>
    <w:rsid w:val="004532DC"/>
    <w:rsid w:val="00453750"/>
    <w:rsid w:val="004537EC"/>
    <w:rsid w:val="00453CEB"/>
    <w:rsid w:val="00454096"/>
    <w:rsid w:val="004547C8"/>
    <w:rsid w:val="0045495E"/>
    <w:rsid w:val="00454EF7"/>
    <w:rsid w:val="00455BC0"/>
    <w:rsid w:val="00455C7E"/>
    <w:rsid w:val="00455D98"/>
    <w:rsid w:val="004562F8"/>
    <w:rsid w:val="0045637F"/>
    <w:rsid w:val="00456A60"/>
    <w:rsid w:val="00456AD9"/>
    <w:rsid w:val="00456F88"/>
    <w:rsid w:val="00457ADE"/>
    <w:rsid w:val="00460179"/>
    <w:rsid w:val="00460B1C"/>
    <w:rsid w:val="00460FB8"/>
    <w:rsid w:val="004617CF"/>
    <w:rsid w:val="004622BB"/>
    <w:rsid w:val="00462348"/>
    <w:rsid w:val="004626B6"/>
    <w:rsid w:val="00463683"/>
    <w:rsid w:val="00463FD6"/>
    <w:rsid w:val="00464D56"/>
    <w:rsid w:val="00464DF0"/>
    <w:rsid w:val="00465562"/>
    <w:rsid w:val="00465DDF"/>
    <w:rsid w:val="004661DB"/>
    <w:rsid w:val="004663C7"/>
    <w:rsid w:val="0046653C"/>
    <w:rsid w:val="00466B28"/>
    <w:rsid w:val="004676B5"/>
    <w:rsid w:val="00467828"/>
    <w:rsid w:val="00467D5E"/>
    <w:rsid w:val="004700FD"/>
    <w:rsid w:val="0047012B"/>
    <w:rsid w:val="004705A4"/>
    <w:rsid w:val="0047076A"/>
    <w:rsid w:val="0047089B"/>
    <w:rsid w:val="00470B26"/>
    <w:rsid w:val="00471164"/>
    <w:rsid w:val="00471238"/>
    <w:rsid w:val="0047126F"/>
    <w:rsid w:val="00471885"/>
    <w:rsid w:val="00471AA2"/>
    <w:rsid w:val="00471E18"/>
    <w:rsid w:val="00471FC6"/>
    <w:rsid w:val="0047228C"/>
    <w:rsid w:val="00472E52"/>
    <w:rsid w:val="004736FF"/>
    <w:rsid w:val="00473871"/>
    <w:rsid w:val="00473E21"/>
    <w:rsid w:val="004743DF"/>
    <w:rsid w:val="00474EE3"/>
    <w:rsid w:val="00474EFE"/>
    <w:rsid w:val="0047537E"/>
    <w:rsid w:val="0047620F"/>
    <w:rsid w:val="004763DF"/>
    <w:rsid w:val="00476508"/>
    <w:rsid w:val="004767BA"/>
    <w:rsid w:val="00476C99"/>
    <w:rsid w:val="00477447"/>
    <w:rsid w:val="0047794C"/>
    <w:rsid w:val="004779AA"/>
    <w:rsid w:val="00477F44"/>
    <w:rsid w:val="00480011"/>
    <w:rsid w:val="00480107"/>
    <w:rsid w:val="004809CB"/>
    <w:rsid w:val="00482259"/>
    <w:rsid w:val="004823EF"/>
    <w:rsid w:val="00482559"/>
    <w:rsid w:val="0048280E"/>
    <w:rsid w:val="00482C33"/>
    <w:rsid w:val="00482CB5"/>
    <w:rsid w:val="004830BE"/>
    <w:rsid w:val="004833CE"/>
    <w:rsid w:val="00483414"/>
    <w:rsid w:val="00483526"/>
    <w:rsid w:val="004836A0"/>
    <w:rsid w:val="00483BD1"/>
    <w:rsid w:val="00483D0D"/>
    <w:rsid w:val="004845B2"/>
    <w:rsid w:val="00485309"/>
    <w:rsid w:val="00485787"/>
    <w:rsid w:val="00485FC1"/>
    <w:rsid w:val="00486172"/>
    <w:rsid w:val="004865D8"/>
    <w:rsid w:val="0048673E"/>
    <w:rsid w:val="00486D58"/>
    <w:rsid w:val="00487169"/>
    <w:rsid w:val="004875EB"/>
    <w:rsid w:val="004878FE"/>
    <w:rsid w:val="0049015A"/>
    <w:rsid w:val="004902C9"/>
    <w:rsid w:val="00490D8B"/>
    <w:rsid w:val="00490E40"/>
    <w:rsid w:val="00491199"/>
    <w:rsid w:val="00491607"/>
    <w:rsid w:val="004919A3"/>
    <w:rsid w:val="00491D1E"/>
    <w:rsid w:val="00492A59"/>
    <w:rsid w:val="00492B5D"/>
    <w:rsid w:val="00492D47"/>
    <w:rsid w:val="004930AA"/>
    <w:rsid w:val="004939B6"/>
    <w:rsid w:val="00493AE1"/>
    <w:rsid w:val="00493CBE"/>
    <w:rsid w:val="004945A4"/>
    <w:rsid w:val="00494C49"/>
    <w:rsid w:val="00495214"/>
    <w:rsid w:val="00495276"/>
    <w:rsid w:val="004955D7"/>
    <w:rsid w:val="0049574B"/>
    <w:rsid w:val="00495B2E"/>
    <w:rsid w:val="004964BE"/>
    <w:rsid w:val="004964E5"/>
    <w:rsid w:val="004965B9"/>
    <w:rsid w:val="00497103"/>
    <w:rsid w:val="004976B0"/>
    <w:rsid w:val="00497953"/>
    <w:rsid w:val="00497FC7"/>
    <w:rsid w:val="00497FC9"/>
    <w:rsid w:val="004A0385"/>
    <w:rsid w:val="004A07F3"/>
    <w:rsid w:val="004A0DE1"/>
    <w:rsid w:val="004A0E02"/>
    <w:rsid w:val="004A0E75"/>
    <w:rsid w:val="004A0EEB"/>
    <w:rsid w:val="004A144B"/>
    <w:rsid w:val="004A1462"/>
    <w:rsid w:val="004A1FF4"/>
    <w:rsid w:val="004A234A"/>
    <w:rsid w:val="004A2819"/>
    <w:rsid w:val="004A30DB"/>
    <w:rsid w:val="004A3415"/>
    <w:rsid w:val="004A3A1C"/>
    <w:rsid w:val="004A4591"/>
    <w:rsid w:val="004A4B21"/>
    <w:rsid w:val="004A537A"/>
    <w:rsid w:val="004A581E"/>
    <w:rsid w:val="004A5AE0"/>
    <w:rsid w:val="004A5D89"/>
    <w:rsid w:val="004A5FCA"/>
    <w:rsid w:val="004A60D6"/>
    <w:rsid w:val="004A6B9E"/>
    <w:rsid w:val="004A6C9C"/>
    <w:rsid w:val="004A6CC0"/>
    <w:rsid w:val="004A6E79"/>
    <w:rsid w:val="004A6FE6"/>
    <w:rsid w:val="004A7203"/>
    <w:rsid w:val="004A7751"/>
    <w:rsid w:val="004A77C4"/>
    <w:rsid w:val="004A7ABE"/>
    <w:rsid w:val="004B0303"/>
    <w:rsid w:val="004B039B"/>
    <w:rsid w:val="004B09A3"/>
    <w:rsid w:val="004B117A"/>
    <w:rsid w:val="004B18AE"/>
    <w:rsid w:val="004B21B0"/>
    <w:rsid w:val="004B2564"/>
    <w:rsid w:val="004B2A1C"/>
    <w:rsid w:val="004B2D77"/>
    <w:rsid w:val="004B2F85"/>
    <w:rsid w:val="004B3850"/>
    <w:rsid w:val="004B3A7A"/>
    <w:rsid w:val="004B3E98"/>
    <w:rsid w:val="004B3FBA"/>
    <w:rsid w:val="004B42DF"/>
    <w:rsid w:val="004B4502"/>
    <w:rsid w:val="004B4756"/>
    <w:rsid w:val="004B5F7A"/>
    <w:rsid w:val="004B6164"/>
    <w:rsid w:val="004B63AE"/>
    <w:rsid w:val="004B7C1A"/>
    <w:rsid w:val="004C056A"/>
    <w:rsid w:val="004C0FFF"/>
    <w:rsid w:val="004C1260"/>
    <w:rsid w:val="004C14AA"/>
    <w:rsid w:val="004C1653"/>
    <w:rsid w:val="004C1BDC"/>
    <w:rsid w:val="004C209B"/>
    <w:rsid w:val="004C2149"/>
    <w:rsid w:val="004C2531"/>
    <w:rsid w:val="004C2B02"/>
    <w:rsid w:val="004C3342"/>
    <w:rsid w:val="004C3B1F"/>
    <w:rsid w:val="004C4056"/>
    <w:rsid w:val="004C4396"/>
    <w:rsid w:val="004C4AF0"/>
    <w:rsid w:val="004C4F65"/>
    <w:rsid w:val="004C52B7"/>
    <w:rsid w:val="004C58B1"/>
    <w:rsid w:val="004C5DAC"/>
    <w:rsid w:val="004C5FAC"/>
    <w:rsid w:val="004C6628"/>
    <w:rsid w:val="004C7A8F"/>
    <w:rsid w:val="004C7D9F"/>
    <w:rsid w:val="004D16BE"/>
    <w:rsid w:val="004D181E"/>
    <w:rsid w:val="004D1983"/>
    <w:rsid w:val="004D1BC8"/>
    <w:rsid w:val="004D1D1F"/>
    <w:rsid w:val="004D2576"/>
    <w:rsid w:val="004D2869"/>
    <w:rsid w:val="004D2D0A"/>
    <w:rsid w:val="004D3387"/>
    <w:rsid w:val="004D38B0"/>
    <w:rsid w:val="004D3AAD"/>
    <w:rsid w:val="004D4C8A"/>
    <w:rsid w:val="004D562B"/>
    <w:rsid w:val="004D581B"/>
    <w:rsid w:val="004D5AD1"/>
    <w:rsid w:val="004D708B"/>
    <w:rsid w:val="004D7A95"/>
    <w:rsid w:val="004D7ABD"/>
    <w:rsid w:val="004D7BF2"/>
    <w:rsid w:val="004E0BE3"/>
    <w:rsid w:val="004E0E03"/>
    <w:rsid w:val="004E0F37"/>
    <w:rsid w:val="004E13FA"/>
    <w:rsid w:val="004E1450"/>
    <w:rsid w:val="004E1AA9"/>
    <w:rsid w:val="004E1D0E"/>
    <w:rsid w:val="004E1DB7"/>
    <w:rsid w:val="004E1FE7"/>
    <w:rsid w:val="004E221D"/>
    <w:rsid w:val="004E229B"/>
    <w:rsid w:val="004E2601"/>
    <w:rsid w:val="004E2C89"/>
    <w:rsid w:val="004E3112"/>
    <w:rsid w:val="004E3885"/>
    <w:rsid w:val="004E3B2D"/>
    <w:rsid w:val="004E4096"/>
    <w:rsid w:val="004E5265"/>
    <w:rsid w:val="004E56E5"/>
    <w:rsid w:val="004E5B3C"/>
    <w:rsid w:val="004E6146"/>
    <w:rsid w:val="004E6717"/>
    <w:rsid w:val="004E694F"/>
    <w:rsid w:val="004E6D72"/>
    <w:rsid w:val="004E71DD"/>
    <w:rsid w:val="004E7219"/>
    <w:rsid w:val="004E7332"/>
    <w:rsid w:val="004E776C"/>
    <w:rsid w:val="004E7906"/>
    <w:rsid w:val="004E7A25"/>
    <w:rsid w:val="004E7F0D"/>
    <w:rsid w:val="004F01B0"/>
    <w:rsid w:val="004F0348"/>
    <w:rsid w:val="004F05C6"/>
    <w:rsid w:val="004F1244"/>
    <w:rsid w:val="004F19E2"/>
    <w:rsid w:val="004F1D1F"/>
    <w:rsid w:val="004F23B5"/>
    <w:rsid w:val="004F24FD"/>
    <w:rsid w:val="004F2E45"/>
    <w:rsid w:val="004F30E8"/>
    <w:rsid w:val="004F431D"/>
    <w:rsid w:val="004F43AB"/>
    <w:rsid w:val="004F45C7"/>
    <w:rsid w:val="004F4C67"/>
    <w:rsid w:val="004F4F1F"/>
    <w:rsid w:val="004F4F7A"/>
    <w:rsid w:val="004F4F85"/>
    <w:rsid w:val="004F532F"/>
    <w:rsid w:val="004F539A"/>
    <w:rsid w:val="004F5524"/>
    <w:rsid w:val="004F5B56"/>
    <w:rsid w:val="004F678D"/>
    <w:rsid w:val="004F679D"/>
    <w:rsid w:val="004F717A"/>
    <w:rsid w:val="0050010C"/>
    <w:rsid w:val="005001D1"/>
    <w:rsid w:val="005001D8"/>
    <w:rsid w:val="005002E1"/>
    <w:rsid w:val="005006C5"/>
    <w:rsid w:val="00500CCA"/>
    <w:rsid w:val="00500EA7"/>
    <w:rsid w:val="005010B6"/>
    <w:rsid w:val="005011A2"/>
    <w:rsid w:val="00501372"/>
    <w:rsid w:val="0050194A"/>
    <w:rsid w:val="00501D89"/>
    <w:rsid w:val="00501F13"/>
    <w:rsid w:val="0050204B"/>
    <w:rsid w:val="00502507"/>
    <w:rsid w:val="00502920"/>
    <w:rsid w:val="00502A0F"/>
    <w:rsid w:val="00502FAD"/>
    <w:rsid w:val="00503072"/>
    <w:rsid w:val="0050313A"/>
    <w:rsid w:val="005031BB"/>
    <w:rsid w:val="00503380"/>
    <w:rsid w:val="005038C5"/>
    <w:rsid w:val="00503B67"/>
    <w:rsid w:val="00503E67"/>
    <w:rsid w:val="00503F81"/>
    <w:rsid w:val="005048AA"/>
    <w:rsid w:val="005048E9"/>
    <w:rsid w:val="00504A34"/>
    <w:rsid w:val="00505366"/>
    <w:rsid w:val="0050657A"/>
    <w:rsid w:val="00507986"/>
    <w:rsid w:val="00510184"/>
    <w:rsid w:val="00510973"/>
    <w:rsid w:val="00510A6C"/>
    <w:rsid w:val="00510D89"/>
    <w:rsid w:val="00511F6D"/>
    <w:rsid w:val="005125A5"/>
    <w:rsid w:val="00512DCB"/>
    <w:rsid w:val="005130A4"/>
    <w:rsid w:val="0051326F"/>
    <w:rsid w:val="00513BCD"/>
    <w:rsid w:val="00513F33"/>
    <w:rsid w:val="005147FC"/>
    <w:rsid w:val="00514DD2"/>
    <w:rsid w:val="005158BE"/>
    <w:rsid w:val="00515C82"/>
    <w:rsid w:val="005164BC"/>
    <w:rsid w:val="00516835"/>
    <w:rsid w:val="005169B9"/>
    <w:rsid w:val="00516FB8"/>
    <w:rsid w:val="00517613"/>
    <w:rsid w:val="00517AA9"/>
    <w:rsid w:val="00517E6B"/>
    <w:rsid w:val="0052031E"/>
    <w:rsid w:val="005204F9"/>
    <w:rsid w:val="00520550"/>
    <w:rsid w:val="00520A36"/>
    <w:rsid w:val="00520B9E"/>
    <w:rsid w:val="00520C3B"/>
    <w:rsid w:val="00520C4B"/>
    <w:rsid w:val="0052156D"/>
    <w:rsid w:val="00521A4E"/>
    <w:rsid w:val="00521BB7"/>
    <w:rsid w:val="00522475"/>
    <w:rsid w:val="005227A0"/>
    <w:rsid w:val="0052289F"/>
    <w:rsid w:val="00522FC1"/>
    <w:rsid w:val="005232B5"/>
    <w:rsid w:val="005239EA"/>
    <w:rsid w:val="00523C70"/>
    <w:rsid w:val="00524289"/>
    <w:rsid w:val="00524400"/>
    <w:rsid w:val="00524F47"/>
    <w:rsid w:val="005250BC"/>
    <w:rsid w:val="005254F8"/>
    <w:rsid w:val="00525690"/>
    <w:rsid w:val="00525736"/>
    <w:rsid w:val="005259CE"/>
    <w:rsid w:val="00526053"/>
    <w:rsid w:val="005265D4"/>
    <w:rsid w:val="00526812"/>
    <w:rsid w:val="00527171"/>
    <w:rsid w:val="0052721A"/>
    <w:rsid w:val="00527B92"/>
    <w:rsid w:val="00527F31"/>
    <w:rsid w:val="00530147"/>
    <w:rsid w:val="0053022D"/>
    <w:rsid w:val="005308B4"/>
    <w:rsid w:val="00530924"/>
    <w:rsid w:val="005315AB"/>
    <w:rsid w:val="00531D8C"/>
    <w:rsid w:val="00532196"/>
    <w:rsid w:val="005324E4"/>
    <w:rsid w:val="005325F3"/>
    <w:rsid w:val="005326D9"/>
    <w:rsid w:val="00532AFD"/>
    <w:rsid w:val="00533572"/>
    <w:rsid w:val="005338E5"/>
    <w:rsid w:val="00534021"/>
    <w:rsid w:val="005342AA"/>
    <w:rsid w:val="00534623"/>
    <w:rsid w:val="005346A1"/>
    <w:rsid w:val="00534A74"/>
    <w:rsid w:val="00534EB1"/>
    <w:rsid w:val="005352B7"/>
    <w:rsid w:val="00535691"/>
    <w:rsid w:val="00535C3F"/>
    <w:rsid w:val="00535D72"/>
    <w:rsid w:val="00536216"/>
    <w:rsid w:val="0053634C"/>
    <w:rsid w:val="005364E8"/>
    <w:rsid w:val="005369F8"/>
    <w:rsid w:val="00536D35"/>
    <w:rsid w:val="005372F8"/>
    <w:rsid w:val="005373BF"/>
    <w:rsid w:val="005379CF"/>
    <w:rsid w:val="00537B4A"/>
    <w:rsid w:val="00537D3D"/>
    <w:rsid w:val="00537EE4"/>
    <w:rsid w:val="0054001C"/>
    <w:rsid w:val="005402FF"/>
    <w:rsid w:val="00540551"/>
    <w:rsid w:val="005408D0"/>
    <w:rsid w:val="005409B6"/>
    <w:rsid w:val="00540A49"/>
    <w:rsid w:val="00540FF0"/>
    <w:rsid w:val="00541177"/>
    <w:rsid w:val="005413A3"/>
    <w:rsid w:val="00541A40"/>
    <w:rsid w:val="00541FAA"/>
    <w:rsid w:val="0054203F"/>
    <w:rsid w:val="0054228F"/>
    <w:rsid w:val="00542988"/>
    <w:rsid w:val="00542C8D"/>
    <w:rsid w:val="00542CDA"/>
    <w:rsid w:val="00542EA3"/>
    <w:rsid w:val="0054365A"/>
    <w:rsid w:val="00543699"/>
    <w:rsid w:val="00543A22"/>
    <w:rsid w:val="00543C29"/>
    <w:rsid w:val="00543F8A"/>
    <w:rsid w:val="0054509A"/>
    <w:rsid w:val="00545557"/>
    <w:rsid w:val="00545927"/>
    <w:rsid w:val="00545FFF"/>
    <w:rsid w:val="00546559"/>
    <w:rsid w:val="00546B26"/>
    <w:rsid w:val="005474F6"/>
    <w:rsid w:val="005476A6"/>
    <w:rsid w:val="00547C0F"/>
    <w:rsid w:val="00547D62"/>
    <w:rsid w:val="005500D2"/>
    <w:rsid w:val="00550A92"/>
    <w:rsid w:val="00550BA0"/>
    <w:rsid w:val="00550E94"/>
    <w:rsid w:val="005511EC"/>
    <w:rsid w:val="00551544"/>
    <w:rsid w:val="00551B42"/>
    <w:rsid w:val="00551DB7"/>
    <w:rsid w:val="005526D6"/>
    <w:rsid w:val="00553469"/>
    <w:rsid w:val="00553B66"/>
    <w:rsid w:val="0055459A"/>
    <w:rsid w:val="00554A8A"/>
    <w:rsid w:val="00554AAD"/>
    <w:rsid w:val="00554C33"/>
    <w:rsid w:val="005553F0"/>
    <w:rsid w:val="005554C5"/>
    <w:rsid w:val="005556CA"/>
    <w:rsid w:val="005559D1"/>
    <w:rsid w:val="00555CE4"/>
    <w:rsid w:val="00555D63"/>
    <w:rsid w:val="00556192"/>
    <w:rsid w:val="005565B2"/>
    <w:rsid w:val="00556E6F"/>
    <w:rsid w:val="00556F6F"/>
    <w:rsid w:val="00557296"/>
    <w:rsid w:val="00557A6C"/>
    <w:rsid w:val="005608B2"/>
    <w:rsid w:val="0056099A"/>
    <w:rsid w:val="00560A43"/>
    <w:rsid w:val="00560FD3"/>
    <w:rsid w:val="00561000"/>
    <w:rsid w:val="00561471"/>
    <w:rsid w:val="0056270E"/>
    <w:rsid w:val="00562ECE"/>
    <w:rsid w:val="00563749"/>
    <w:rsid w:val="00563C85"/>
    <w:rsid w:val="00563DDB"/>
    <w:rsid w:val="00564813"/>
    <w:rsid w:val="0056546C"/>
    <w:rsid w:val="0056563A"/>
    <w:rsid w:val="00565966"/>
    <w:rsid w:val="00565B05"/>
    <w:rsid w:val="00565BD3"/>
    <w:rsid w:val="00565F1B"/>
    <w:rsid w:val="00566629"/>
    <w:rsid w:val="005674D2"/>
    <w:rsid w:val="00567686"/>
    <w:rsid w:val="005676DC"/>
    <w:rsid w:val="00567F43"/>
    <w:rsid w:val="005702C5"/>
    <w:rsid w:val="005703C5"/>
    <w:rsid w:val="00570460"/>
    <w:rsid w:val="005715C9"/>
    <w:rsid w:val="00571D67"/>
    <w:rsid w:val="00572E2F"/>
    <w:rsid w:val="00572E40"/>
    <w:rsid w:val="00573801"/>
    <w:rsid w:val="00574579"/>
    <w:rsid w:val="00574593"/>
    <w:rsid w:val="00574757"/>
    <w:rsid w:val="0057527E"/>
    <w:rsid w:val="00575554"/>
    <w:rsid w:val="00575A1D"/>
    <w:rsid w:val="00575A7F"/>
    <w:rsid w:val="005764A9"/>
    <w:rsid w:val="00576529"/>
    <w:rsid w:val="00576867"/>
    <w:rsid w:val="00576D2C"/>
    <w:rsid w:val="00576EFD"/>
    <w:rsid w:val="005771BB"/>
    <w:rsid w:val="00577BC4"/>
    <w:rsid w:val="005801AC"/>
    <w:rsid w:val="00580508"/>
    <w:rsid w:val="005806C3"/>
    <w:rsid w:val="005806F9"/>
    <w:rsid w:val="00580A71"/>
    <w:rsid w:val="00580C5C"/>
    <w:rsid w:val="00580DA8"/>
    <w:rsid w:val="00580F79"/>
    <w:rsid w:val="0058142E"/>
    <w:rsid w:val="005815C2"/>
    <w:rsid w:val="00581795"/>
    <w:rsid w:val="005817FE"/>
    <w:rsid w:val="00581FED"/>
    <w:rsid w:val="00582A39"/>
    <w:rsid w:val="00583AD0"/>
    <w:rsid w:val="00583B95"/>
    <w:rsid w:val="005850FD"/>
    <w:rsid w:val="0058597D"/>
    <w:rsid w:val="00585BB5"/>
    <w:rsid w:val="00585F34"/>
    <w:rsid w:val="00586223"/>
    <w:rsid w:val="00586851"/>
    <w:rsid w:val="00586891"/>
    <w:rsid w:val="00587DC2"/>
    <w:rsid w:val="005906E5"/>
    <w:rsid w:val="005907E3"/>
    <w:rsid w:val="00590AE1"/>
    <w:rsid w:val="00590EBE"/>
    <w:rsid w:val="0059185F"/>
    <w:rsid w:val="00591F15"/>
    <w:rsid w:val="0059279B"/>
    <w:rsid w:val="00592EBE"/>
    <w:rsid w:val="00593050"/>
    <w:rsid w:val="0059372F"/>
    <w:rsid w:val="0059393A"/>
    <w:rsid w:val="00594112"/>
    <w:rsid w:val="0059466A"/>
    <w:rsid w:val="00594734"/>
    <w:rsid w:val="0059494A"/>
    <w:rsid w:val="005950C8"/>
    <w:rsid w:val="0059531A"/>
    <w:rsid w:val="0059595B"/>
    <w:rsid w:val="00595A3D"/>
    <w:rsid w:val="00595D44"/>
    <w:rsid w:val="0059614A"/>
    <w:rsid w:val="005963B4"/>
    <w:rsid w:val="005967C6"/>
    <w:rsid w:val="00596A06"/>
    <w:rsid w:val="005977BF"/>
    <w:rsid w:val="0059796B"/>
    <w:rsid w:val="005A021D"/>
    <w:rsid w:val="005A02A7"/>
    <w:rsid w:val="005A0737"/>
    <w:rsid w:val="005A0CEA"/>
    <w:rsid w:val="005A1450"/>
    <w:rsid w:val="005A17FB"/>
    <w:rsid w:val="005A1852"/>
    <w:rsid w:val="005A190A"/>
    <w:rsid w:val="005A1A1B"/>
    <w:rsid w:val="005A20C9"/>
    <w:rsid w:val="005A2216"/>
    <w:rsid w:val="005A24B5"/>
    <w:rsid w:val="005A2CFC"/>
    <w:rsid w:val="005A2F84"/>
    <w:rsid w:val="005A3347"/>
    <w:rsid w:val="005A3636"/>
    <w:rsid w:val="005A4042"/>
    <w:rsid w:val="005A40BA"/>
    <w:rsid w:val="005A4228"/>
    <w:rsid w:val="005A504A"/>
    <w:rsid w:val="005A57D6"/>
    <w:rsid w:val="005A5A70"/>
    <w:rsid w:val="005A6CBB"/>
    <w:rsid w:val="005A7389"/>
    <w:rsid w:val="005A78EE"/>
    <w:rsid w:val="005A7CA2"/>
    <w:rsid w:val="005A7E48"/>
    <w:rsid w:val="005A7FD3"/>
    <w:rsid w:val="005B02F2"/>
    <w:rsid w:val="005B095F"/>
    <w:rsid w:val="005B0B51"/>
    <w:rsid w:val="005B1071"/>
    <w:rsid w:val="005B136C"/>
    <w:rsid w:val="005B1790"/>
    <w:rsid w:val="005B1A38"/>
    <w:rsid w:val="005B1D3C"/>
    <w:rsid w:val="005B1EB7"/>
    <w:rsid w:val="005B1F44"/>
    <w:rsid w:val="005B20D0"/>
    <w:rsid w:val="005B21E1"/>
    <w:rsid w:val="005B2AC2"/>
    <w:rsid w:val="005B2BF5"/>
    <w:rsid w:val="005B2DAB"/>
    <w:rsid w:val="005B3945"/>
    <w:rsid w:val="005B3A73"/>
    <w:rsid w:val="005B4811"/>
    <w:rsid w:val="005B4C75"/>
    <w:rsid w:val="005B529D"/>
    <w:rsid w:val="005B52D1"/>
    <w:rsid w:val="005B53E0"/>
    <w:rsid w:val="005B554D"/>
    <w:rsid w:val="005B5853"/>
    <w:rsid w:val="005B5E6C"/>
    <w:rsid w:val="005B63E4"/>
    <w:rsid w:val="005B69CA"/>
    <w:rsid w:val="005B6AB5"/>
    <w:rsid w:val="005B6CCC"/>
    <w:rsid w:val="005B71CE"/>
    <w:rsid w:val="005B757C"/>
    <w:rsid w:val="005B78A1"/>
    <w:rsid w:val="005B7F43"/>
    <w:rsid w:val="005C02D4"/>
    <w:rsid w:val="005C05FF"/>
    <w:rsid w:val="005C0704"/>
    <w:rsid w:val="005C1160"/>
    <w:rsid w:val="005C1432"/>
    <w:rsid w:val="005C14A0"/>
    <w:rsid w:val="005C1622"/>
    <w:rsid w:val="005C198B"/>
    <w:rsid w:val="005C23D7"/>
    <w:rsid w:val="005C26CE"/>
    <w:rsid w:val="005C27AB"/>
    <w:rsid w:val="005C2859"/>
    <w:rsid w:val="005C287F"/>
    <w:rsid w:val="005C2947"/>
    <w:rsid w:val="005C2D2D"/>
    <w:rsid w:val="005C3857"/>
    <w:rsid w:val="005C4228"/>
    <w:rsid w:val="005C438E"/>
    <w:rsid w:val="005C43F3"/>
    <w:rsid w:val="005C552D"/>
    <w:rsid w:val="005C55B2"/>
    <w:rsid w:val="005C5648"/>
    <w:rsid w:val="005C57A7"/>
    <w:rsid w:val="005C608E"/>
    <w:rsid w:val="005C62D9"/>
    <w:rsid w:val="005C676B"/>
    <w:rsid w:val="005C6B05"/>
    <w:rsid w:val="005C6E27"/>
    <w:rsid w:val="005C7994"/>
    <w:rsid w:val="005C7ABF"/>
    <w:rsid w:val="005C7CF3"/>
    <w:rsid w:val="005D00DB"/>
    <w:rsid w:val="005D07D2"/>
    <w:rsid w:val="005D0A5B"/>
    <w:rsid w:val="005D0F46"/>
    <w:rsid w:val="005D0F8C"/>
    <w:rsid w:val="005D14F8"/>
    <w:rsid w:val="005D1BB8"/>
    <w:rsid w:val="005D1FBA"/>
    <w:rsid w:val="005D2018"/>
    <w:rsid w:val="005D24A9"/>
    <w:rsid w:val="005D25B7"/>
    <w:rsid w:val="005D25BE"/>
    <w:rsid w:val="005D293C"/>
    <w:rsid w:val="005D2A58"/>
    <w:rsid w:val="005D30B8"/>
    <w:rsid w:val="005D3ED4"/>
    <w:rsid w:val="005D48FE"/>
    <w:rsid w:val="005D4DA2"/>
    <w:rsid w:val="005D5504"/>
    <w:rsid w:val="005D5864"/>
    <w:rsid w:val="005D5880"/>
    <w:rsid w:val="005D5DA2"/>
    <w:rsid w:val="005D5EAC"/>
    <w:rsid w:val="005D6188"/>
    <w:rsid w:val="005D66B0"/>
    <w:rsid w:val="005D6BA1"/>
    <w:rsid w:val="005D6C63"/>
    <w:rsid w:val="005D6E99"/>
    <w:rsid w:val="005D7598"/>
    <w:rsid w:val="005E009F"/>
    <w:rsid w:val="005E04B7"/>
    <w:rsid w:val="005E0C21"/>
    <w:rsid w:val="005E1528"/>
    <w:rsid w:val="005E2189"/>
    <w:rsid w:val="005E25F7"/>
    <w:rsid w:val="005E2A5A"/>
    <w:rsid w:val="005E2C15"/>
    <w:rsid w:val="005E2CB6"/>
    <w:rsid w:val="005E35FD"/>
    <w:rsid w:val="005E3B69"/>
    <w:rsid w:val="005E3DDA"/>
    <w:rsid w:val="005E4583"/>
    <w:rsid w:val="005E4642"/>
    <w:rsid w:val="005E46DC"/>
    <w:rsid w:val="005E4866"/>
    <w:rsid w:val="005E4A51"/>
    <w:rsid w:val="005E4C95"/>
    <w:rsid w:val="005E58A5"/>
    <w:rsid w:val="005E5E61"/>
    <w:rsid w:val="005E6674"/>
    <w:rsid w:val="005E78E7"/>
    <w:rsid w:val="005F00DC"/>
    <w:rsid w:val="005F01BE"/>
    <w:rsid w:val="005F0224"/>
    <w:rsid w:val="005F038B"/>
    <w:rsid w:val="005F049B"/>
    <w:rsid w:val="005F0908"/>
    <w:rsid w:val="005F0B3C"/>
    <w:rsid w:val="005F0E3E"/>
    <w:rsid w:val="005F14B1"/>
    <w:rsid w:val="005F16C0"/>
    <w:rsid w:val="005F1D95"/>
    <w:rsid w:val="005F1FA4"/>
    <w:rsid w:val="005F2129"/>
    <w:rsid w:val="005F22F1"/>
    <w:rsid w:val="005F27EF"/>
    <w:rsid w:val="005F2F70"/>
    <w:rsid w:val="005F30B1"/>
    <w:rsid w:val="005F3434"/>
    <w:rsid w:val="005F3AEF"/>
    <w:rsid w:val="005F3C03"/>
    <w:rsid w:val="005F3DD2"/>
    <w:rsid w:val="005F4418"/>
    <w:rsid w:val="005F492A"/>
    <w:rsid w:val="005F49D2"/>
    <w:rsid w:val="005F4CED"/>
    <w:rsid w:val="005F5352"/>
    <w:rsid w:val="005F5527"/>
    <w:rsid w:val="005F6B5C"/>
    <w:rsid w:val="005F6BF4"/>
    <w:rsid w:val="005F6D08"/>
    <w:rsid w:val="005F6F91"/>
    <w:rsid w:val="005F7321"/>
    <w:rsid w:val="005F7CC7"/>
    <w:rsid w:val="005F7EC5"/>
    <w:rsid w:val="00600F74"/>
    <w:rsid w:val="00601269"/>
    <w:rsid w:val="00601459"/>
    <w:rsid w:val="00601C2F"/>
    <w:rsid w:val="00602BBC"/>
    <w:rsid w:val="00603003"/>
    <w:rsid w:val="0060320F"/>
    <w:rsid w:val="00603ABE"/>
    <w:rsid w:val="00603D36"/>
    <w:rsid w:val="00603F19"/>
    <w:rsid w:val="0060433E"/>
    <w:rsid w:val="00604D69"/>
    <w:rsid w:val="006052E4"/>
    <w:rsid w:val="00605442"/>
    <w:rsid w:val="0060549B"/>
    <w:rsid w:val="00605538"/>
    <w:rsid w:val="00605776"/>
    <w:rsid w:val="006061F3"/>
    <w:rsid w:val="0060683C"/>
    <w:rsid w:val="00607532"/>
    <w:rsid w:val="00607C9B"/>
    <w:rsid w:val="006104FE"/>
    <w:rsid w:val="00610930"/>
    <w:rsid w:val="00610B37"/>
    <w:rsid w:val="00611216"/>
    <w:rsid w:val="006112E4"/>
    <w:rsid w:val="0061223F"/>
    <w:rsid w:val="006125B0"/>
    <w:rsid w:val="00612C20"/>
    <w:rsid w:val="00612E61"/>
    <w:rsid w:val="00612FC6"/>
    <w:rsid w:val="00613D28"/>
    <w:rsid w:val="0061404F"/>
    <w:rsid w:val="0061424C"/>
    <w:rsid w:val="00614C2C"/>
    <w:rsid w:val="00614E96"/>
    <w:rsid w:val="00614EA9"/>
    <w:rsid w:val="00615072"/>
    <w:rsid w:val="00615EA0"/>
    <w:rsid w:val="00615F30"/>
    <w:rsid w:val="00616E27"/>
    <w:rsid w:val="00617088"/>
    <w:rsid w:val="00617831"/>
    <w:rsid w:val="0061794C"/>
    <w:rsid w:val="0062007E"/>
    <w:rsid w:val="00620205"/>
    <w:rsid w:val="006202CC"/>
    <w:rsid w:val="0062030A"/>
    <w:rsid w:val="00620470"/>
    <w:rsid w:val="00620736"/>
    <w:rsid w:val="00620DB1"/>
    <w:rsid w:val="006212E4"/>
    <w:rsid w:val="00621EF4"/>
    <w:rsid w:val="00622128"/>
    <w:rsid w:val="006229CF"/>
    <w:rsid w:val="006229D3"/>
    <w:rsid w:val="006241BE"/>
    <w:rsid w:val="006244E5"/>
    <w:rsid w:val="0062456C"/>
    <w:rsid w:val="00625009"/>
    <w:rsid w:val="00625237"/>
    <w:rsid w:val="00625523"/>
    <w:rsid w:val="00625759"/>
    <w:rsid w:val="006259EF"/>
    <w:rsid w:val="00625B32"/>
    <w:rsid w:val="00625B8F"/>
    <w:rsid w:val="006266E5"/>
    <w:rsid w:val="006278CC"/>
    <w:rsid w:val="00627912"/>
    <w:rsid w:val="00627F05"/>
    <w:rsid w:val="00630332"/>
    <w:rsid w:val="00630F2B"/>
    <w:rsid w:val="006315AC"/>
    <w:rsid w:val="00631621"/>
    <w:rsid w:val="0063189C"/>
    <w:rsid w:val="00632878"/>
    <w:rsid w:val="006329CF"/>
    <w:rsid w:val="00632A7A"/>
    <w:rsid w:val="00632C05"/>
    <w:rsid w:val="006330FA"/>
    <w:rsid w:val="00633595"/>
    <w:rsid w:val="00634521"/>
    <w:rsid w:val="0063468C"/>
    <w:rsid w:val="00634DAD"/>
    <w:rsid w:val="0063546E"/>
    <w:rsid w:val="0063556C"/>
    <w:rsid w:val="006356A3"/>
    <w:rsid w:val="006356C7"/>
    <w:rsid w:val="006358A5"/>
    <w:rsid w:val="006359D0"/>
    <w:rsid w:val="00635B2E"/>
    <w:rsid w:val="006364F7"/>
    <w:rsid w:val="00636D65"/>
    <w:rsid w:val="00636EAC"/>
    <w:rsid w:val="0063728E"/>
    <w:rsid w:val="006372F2"/>
    <w:rsid w:val="0063730B"/>
    <w:rsid w:val="006373B0"/>
    <w:rsid w:val="00637630"/>
    <w:rsid w:val="00637810"/>
    <w:rsid w:val="00637918"/>
    <w:rsid w:val="0063799F"/>
    <w:rsid w:val="00637E30"/>
    <w:rsid w:val="00637E67"/>
    <w:rsid w:val="00640391"/>
    <w:rsid w:val="0064090C"/>
    <w:rsid w:val="00640A83"/>
    <w:rsid w:val="00642D42"/>
    <w:rsid w:val="00642E0E"/>
    <w:rsid w:val="00643044"/>
    <w:rsid w:val="006430ED"/>
    <w:rsid w:val="006434BE"/>
    <w:rsid w:val="00643B35"/>
    <w:rsid w:val="00644879"/>
    <w:rsid w:val="006449C3"/>
    <w:rsid w:val="00644C6D"/>
    <w:rsid w:val="0064527F"/>
    <w:rsid w:val="006454AC"/>
    <w:rsid w:val="006457EB"/>
    <w:rsid w:val="00645A81"/>
    <w:rsid w:val="00645CCC"/>
    <w:rsid w:val="00646222"/>
    <w:rsid w:val="0064663D"/>
    <w:rsid w:val="00646934"/>
    <w:rsid w:val="00646CA0"/>
    <w:rsid w:val="00650191"/>
    <w:rsid w:val="00650351"/>
    <w:rsid w:val="006505DC"/>
    <w:rsid w:val="006509BB"/>
    <w:rsid w:val="00650BE0"/>
    <w:rsid w:val="00651032"/>
    <w:rsid w:val="00651361"/>
    <w:rsid w:val="006514C8"/>
    <w:rsid w:val="00651605"/>
    <w:rsid w:val="006516A6"/>
    <w:rsid w:val="00651A21"/>
    <w:rsid w:val="00651FD1"/>
    <w:rsid w:val="0065207E"/>
    <w:rsid w:val="00652C86"/>
    <w:rsid w:val="006531CB"/>
    <w:rsid w:val="00653453"/>
    <w:rsid w:val="00653E4D"/>
    <w:rsid w:val="00653F03"/>
    <w:rsid w:val="006541A6"/>
    <w:rsid w:val="00654347"/>
    <w:rsid w:val="00654926"/>
    <w:rsid w:val="00654C6A"/>
    <w:rsid w:val="00655B41"/>
    <w:rsid w:val="00656821"/>
    <w:rsid w:val="006569B1"/>
    <w:rsid w:val="00656F75"/>
    <w:rsid w:val="006572F6"/>
    <w:rsid w:val="00657379"/>
    <w:rsid w:val="006576D8"/>
    <w:rsid w:val="0065797F"/>
    <w:rsid w:val="00657BBC"/>
    <w:rsid w:val="006600F5"/>
    <w:rsid w:val="0066027D"/>
    <w:rsid w:val="00660609"/>
    <w:rsid w:val="006609B1"/>
    <w:rsid w:val="00660AD1"/>
    <w:rsid w:val="00661B81"/>
    <w:rsid w:val="00661D76"/>
    <w:rsid w:val="00661E8F"/>
    <w:rsid w:val="00662020"/>
    <w:rsid w:val="006623BF"/>
    <w:rsid w:val="006624F0"/>
    <w:rsid w:val="0066294A"/>
    <w:rsid w:val="0066318C"/>
    <w:rsid w:val="006637B9"/>
    <w:rsid w:val="00663AAC"/>
    <w:rsid w:val="00664533"/>
    <w:rsid w:val="0066498E"/>
    <w:rsid w:val="0066537A"/>
    <w:rsid w:val="006659DD"/>
    <w:rsid w:val="00665B84"/>
    <w:rsid w:val="006662AD"/>
    <w:rsid w:val="006668CA"/>
    <w:rsid w:val="00666E99"/>
    <w:rsid w:val="00666F35"/>
    <w:rsid w:val="0066760C"/>
    <w:rsid w:val="00667ABB"/>
    <w:rsid w:val="006708C9"/>
    <w:rsid w:val="00670B88"/>
    <w:rsid w:val="00670E84"/>
    <w:rsid w:val="0067240D"/>
    <w:rsid w:val="006726E0"/>
    <w:rsid w:val="006734B0"/>
    <w:rsid w:val="006742C5"/>
    <w:rsid w:val="00674A96"/>
    <w:rsid w:val="00674D18"/>
    <w:rsid w:val="006750F1"/>
    <w:rsid w:val="00675A81"/>
    <w:rsid w:val="0067643D"/>
    <w:rsid w:val="0067675D"/>
    <w:rsid w:val="00677258"/>
    <w:rsid w:val="00677A1C"/>
    <w:rsid w:val="00677C73"/>
    <w:rsid w:val="00677F7C"/>
    <w:rsid w:val="0068074C"/>
    <w:rsid w:val="00682FEC"/>
    <w:rsid w:val="006834E5"/>
    <w:rsid w:val="00683564"/>
    <w:rsid w:val="006836FF"/>
    <w:rsid w:val="00683815"/>
    <w:rsid w:val="00683A28"/>
    <w:rsid w:val="00684959"/>
    <w:rsid w:val="00684DEA"/>
    <w:rsid w:val="006854F2"/>
    <w:rsid w:val="0068565C"/>
    <w:rsid w:val="00685CE0"/>
    <w:rsid w:val="0068620A"/>
    <w:rsid w:val="006862BE"/>
    <w:rsid w:val="00686490"/>
    <w:rsid w:val="00686E12"/>
    <w:rsid w:val="0069093D"/>
    <w:rsid w:val="00690BBC"/>
    <w:rsid w:val="00690E56"/>
    <w:rsid w:val="00691B4D"/>
    <w:rsid w:val="00691D2D"/>
    <w:rsid w:val="00692151"/>
    <w:rsid w:val="0069225F"/>
    <w:rsid w:val="006923B1"/>
    <w:rsid w:val="0069249C"/>
    <w:rsid w:val="00692613"/>
    <w:rsid w:val="00692D8D"/>
    <w:rsid w:val="0069335D"/>
    <w:rsid w:val="00694A48"/>
    <w:rsid w:val="00694C3C"/>
    <w:rsid w:val="00696ADE"/>
    <w:rsid w:val="00696C04"/>
    <w:rsid w:val="0069765A"/>
    <w:rsid w:val="00697E8B"/>
    <w:rsid w:val="006A040F"/>
    <w:rsid w:val="006A0863"/>
    <w:rsid w:val="006A1039"/>
    <w:rsid w:val="006A1B17"/>
    <w:rsid w:val="006A1FB8"/>
    <w:rsid w:val="006A21AF"/>
    <w:rsid w:val="006A29D9"/>
    <w:rsid w:val="006A2D1D"/>
    <w:rsid w:val="006A2D5D"/>
    <w:rsid w:val="006A49AE"/>
    <w:rsid w:val="006A4C49"/>
    <w:rsid w:val="006A52FF"/>
    <w:rsid w:val="006A5837"/>
    <w:rsid w:val="006A5A4C"/>
    <w:rsid w:val="006A5EE2"/>
    <w:rsid w:val="006A6846"/>
    <w:rsid w:val="006A7121"/>
    <w:rsid w:val="006A75AC"/>
    <w:rsid w:val="006A7632"/>
    <w:rsid w:val="006A7897"/>
    <w:rsid w:val="006A7F23"/>
    <w:rsid w:val="006B0109"/>
    <w:rsid w:val="006B056A"/>
    <w:rsid w:val="006B0630"/>
    <w:rsid w:val="006B0FA2"/>
    <w:rsid w:val="006B1475"/>
    <w:rsid w:val="006B1754"/>
    <w:rsid w:val="006B1A63"/>
    <w:rsid w:val="006B1ED5"/>
    <w:rsid w:val="006B20E7"/>
    <w:rsid w:val="006B2A03"/>
    <w:rsid w:val="006B2ABD"/>
    <w:rsid w:val="006B2E94"/>
    <w:rsid w:val="006B307B"/>
    <w:rsid w:val="006B37A9"/>
    <w:rsid w:val="006B3858"/>
    <w:rsid w:val="006B424E"/>
    <w:rsid w:val="006B4FA7"/>
    <w:rsid w:val="006B5363"/>
    <w:rsid w:val="006B56D9"/>
    <w:rsid w:val="006B59BE"/>
    <w:rsid w:val="006B61DB"/>
    <w:rsid w:val="006B657B"/>
    <w:rsid w:val="006B709C"/>
    <w:rsid w:val="006B7AF5"/>
    <w:rsid w:val="006C01B3"/>
    <w:rsid w:val="006C0671"/>
    <w:rsid w:val="006C0F3D"/>
    <w:rsid w:val="006C0FB3"/>
    <w:rsid w:val="006C150F"/>
    <w:rsid w:val="006C1918"/>
    <w:rsid w:val="006C1ABF"/>
    <w:rsid w:val="006C1BD3"/>
    <w:rsid w:val="006C1C44"/>
    <w:rsid w:val="006C1C92"/>
    <w:rsid w:val="006C1D80"/>
    <w:rsid w:val="006C2017"/>
    <w:rsid w:val="006C2950"/>
    <w:rsid w:val="006C2C47"/>
    <w:rsid w:val="006C34ED"/>
    <w:rsid w:val="006C3549"/>
    <w:rsid w:val="006C3A8A"/>
    <w:rsid w:val="006C3B12"/>
    <w:rsid w:val="006C3D2D"/>
    <w:rsid w:val="006C4023"/>
    <w:rsid w:val="006C4287"/>
    <w:rsid w:val="006C431D"/>
    <w:rsid w:val="006C4D54"/>
    <w:rsid w:val="006C58DF"/>
    <w:rsid w:val="006C6452"/>
    <w:rsid w:val="006C6CE3"/>
    <w:rsid w:val="006C6D27"/>
    <w:rsid w:val="006C7199"/>
    <w:rsid w:val="006C73FF"/>
    <w:rsid w:val="006C7422"/>
    <w:rsid w:val="006D0087"/>
    <w:rsid w:val="006D04D2"/>
    <w:rsid w:val="006D09D9"/>
    <w:rsid w:val="006D167F"/>
    <w:rsid w:val="006D176D"/>
    <w:rsid w:val="006D280F"/>
    <w:rsid w:val="006D32A1"/>
    <w:rsid w:val="006D383A"/>
    <w:rsid w:val="006D3E50"/>
    <w:rsid w:val="006D4161"/>
    <w:rsid w:val="006D4B9E"/>
    <w:rsid w:val="006D5088"/>
    <w:rsid w:val="006D5968"/>
    <w:rsid w:val="006D5CCE"/>
    <w:rsid w:val="006D60EF"/>
    <w:rsid w:val="006D6131"/>
    <w:rsid w:val="006D658E"/>
    <w:rsid w:val="006D66B2"/>
    <w:rsid w:val="006D6C22"/>
    <w:rsid w:val="006D6CC0"/>
    <w:rsid w:val="006D6DC4"/>
    <w:rsid w:val="006D73C8"/>
    <w:rsid w:val="006D76F3"/>
    <w:rsid w:val="006D786C"/>
    <w:rsid w:val="006D795F"/>
    <w:rsid w:val="006D79E4"/>
    <w:rsid w:val="006D7BA7"/>
    <w:rsid w:val="006E07AA"/>
    <w:rsid w:val="006E08BF"/>
    <w:rsid w:val="006E123A"/>
    <w:rsid w:val="006E160A"/>
    <w:rsid w:val="006E1791"/>
    <w:rsid w:val="006E24C0"/>
    <w:rsid w:val="006E2C4B"/>
    <w:rsid w:val="006E2C56"/>
    <w:rsid w:val="006E36C3"/>
    <w:rsid w:val="006E3C03"/>
    <w:rsid w:val="006E4010"/>
    <w:rsid w:val="006E42E4"/>
    <w:rsid w:val="006E45B0"/>
    <w:rsid w:val="006E4684"/>
    <w:rsid w:val="006E4ABF"/>
    <w:rsid w:val="006E52CE"/>
    <w:rsid w:val="006E57B4"/>
    <w:rsid w:val="006E585B"/>
    <w:rsid w:val="006E5FB1"/>
    <w:rsid w:val="006E6297"/>
    <w:rsid w:val="006E632D"/>
    <w:rsid w:val="006E6560"/>
    <w:rsid w:val="006E663F"/>
    <w:rsid w:val="006E67D8"/>
    <w:rsid w:val="006E6CC2"/>
    <w:rsid w:val="006E6E66"/>
    <w:rsid w:val="006E70B2"/>
    <w:rsid w:val="006E7235"/>
    <w:rsid w:val="006E787E"/>
    <w:rsid w:val="006E7A0B"/>
    <w:rsid w:val="006E7A1D"/>
    <w:rsid w:val="006F0215"/>
    <w:rsid w:val="006F027E"/>
    <w:rsid w:val="006F10E1"/>
    <w:rsid w:val="006F11DD"/>
    <w:rsid w:val="006F161B"/>
    <w:rsid w:val="006F16E8"/>
    <w:rsid w:val="006F19AA"/>
    <w:rsid w:val="006F19AB"/>
    <w:rsid w:val="006F26FB"/>
    <w:rsid w:val="006F281D"/>
    <w:rsid w:val="006F285F"/>
    <w:rsid w:val="006F2A71"/>
    <w:rsid w:val="006F3142"/>
    <w:rsid w:val="006F347B"/>
    <w:rsid w:val="006F3536"/>
    <w:rsid w:val="006F3A6E"/>
    <w:rsid w:val="006F4068"/>
    <w:rsid w:val="006F49D3"/>
    <w:rsid w:val="006F4A1E"/>
    <w:rsid w:val="006F4CA3"/>
    <w:rsid w:val="006F4F50"/>
    <w:rsid w:val="006F66C9"/>
    <w:rsid w:val="006F6C95"/>
    <w:rsid w:val="006F6E0F"/>
    <w:rsid w:val="006F713A"/>
    <w:rsid w:val="006F78A5"/>
    <w:rsid w:val="007001EE"/>
    <w:rsid w:val="00700615"/>
    <w:rsid w:val="00700ABF"/>
    <w:rsid w:val="00700C6D"/>
    <w:rsid w:val="00700D58"/>
    <w:rsid w:val="00701441"/>
    <w:rsid w:val="00701458"/>
    <w:rsid w:val="00701F32"/>
    <w:rsid w:val="007021CD"/>
    <w:rsid w:val="00702208"/>
    <w:rsid w:val="0070253B"/>
    <w:rsid w:val="00702A1E"/>
    <w:rsid w:val="00702A70"/>
    <w:rsid w:val="00702E9B"/>
    <w:rsid w:val="0070320C"/>
    <w:rsid w:val="007033B5"/>
    <w:rsid w:val="00704670"/>
    <w:rsid w:val="00704B68"/>
    <w:rsid w:val="00704C87"/>
    <w:rsid w:val="00704E3E"/>
    <w:rsid w:val="007057C2"/>
    <w:rsid w:val="00705DA7"/>
    <w:rsid w:val="00706096"/>
    <w:rsid w:val="00706400"/>
    <w:rsid w:val="00706474"/>
    <w:rsid w:val="007068AF"/>
    <w:rsid w:val="007069D0"/>
    <w:rsid w:val="0070704B"/>
    <w:rsid w:val="00710AF8"/>
    <w:rsid w:val="00710BF9"/>
    <w:rsid w:val="00710F65"/>
    <w:rsid w:val="00712339"/>
    <w:rsid w:val="007123F2"/>
    <w:rsid w:val="00712ACD"/>
    <w:rsid w:val="0071327A"/>
    <w:rsid w:val="00713714"/>
    <w:rsid w:val="0071397B"/>
    <w:rsid w:val="007139D1"/>
    <w:rsid w:val="00713E05"/>
    <w:rsid w:val="007149F9"/>
    <w:rsid w:val="00715002"/>
    <w:rsid w:val="007150CC"/>
    <w:rsid w:val="00715734"/>
    <w:rsid w:val="007158E1"/>
    <w:rsid w:val="007159B9"/>
    <w:rsid w:val="00715C7C"/>
    <w:rsid w:val="007163C0"/>
    <w:rsid w:val="007167BA"/>
    <w:rsid w:val="00716B1B"/>
    <w:rsid w:val="007202FA"/>
    <w:rsid w:val="0072059F"/>
    <w:rsid w:val="00720648"/>
    <w:rsid w:val="00720B9C"/>
    <w:rsid w:val="00720C94"/>
    <w:rsid w:val="00720F65"/>
    <w:rsid w:val="0072168B"/>
    <w:rsid w:val="007217C3"/>
    <w:rsid w:val="00721986"/>
    <w:rsid w:val="0072199D"/>
    <w:rsid w:val="00721AE9"/>
    <w:rsid w:val="0072219B"/>
    <w:rsid w:val="00722424"/>
    <w:rsid w:val="0072288D"/>
    <w:rsid w:val="00722DED"/>
    <w:rsid w:val="00722F8A"/>
    <w:rsid w:val="00723013"/>
    <w:rsid w:val="0072357A"/>
    <w:rsid w:val="00723C1D"/>
    <w:rsid w:val="00723CC5"/>
    <w:rsid w:val="007240CE"/>
    <w:rsid w:val="007244C8"/>
    <w:rsid w:val="00724A11"/>
    <w:rsid w:val="00724B22"/>
    <w:rsid w:val="00725154"/>
    <w:rsid w:val="007253B8"/>
    <w:rsid w:val="007255AF"/>
    <w:rsid w:val="007264A6"/>
    <w:rsid w:val="00726680"/>
    <w:rsid w:val="00726C56"/>
    <w:rsid w:val="00727068"/>
    <w:rsid w:val="007270D6"/>
    <w:rsid w:val="007273AA"/>
    <w:rsid w:val="00727786"/>
    <w:rsid w:val="007278B3"/>
    <w:rsid w:val="00727ADF"/>
    <w:rsid w:val="00727AE5"/>
    <w:rsid w:val="00727BB3"/>
    <w:rsid w:val="00727BCF"/>
    <w:rsid w:val="00727D4C"/>
    <w:rsid w:val="00727E46"/>
    <w:rsid w:val="00730041"/>
    <w:rsid w:val="0073024E"/>
    <w:rsid w:val="00730D60"/>
    <w:rsid w:val="00731D31"/>
    <w:rsid w:val="00731EC4"/>
    <w:rsid w:val="00731FA8"/>
    <w:rsid w:val="00732122"/>
    <w:rsid w:val="0073212E"/>
    <w:rsid w:val="007324C6"/>
    <w:rsid w:val="00732B7E"/>
    <w:rsid w:val="00732E66"/>
    <w:rsid w:val="0073326F"/>
    <w:rsid w:val="0073378E"/>
    <w:rsid w:val="00733F2B"/>
    <w:rsid w:val="007343B1"/>
    <w:rsid w:val="00734516"/>
    <w:rsid w:val="00734679"/>
    <w:rsid w:val="00734D2F"/>
    <w:rsid w:val="00735043"/>
    <w:rsid w:val="007350EE"/>
    <w:rsid w:val="007356CC"/>
    <w:rsid w:val="0073630E"/>
    <w:rsid w:val="0073631E"/>
    <w:rsid w:val="00736983"/>
    <w:rsid w:val="007374FB"/>
    <w:rsid w:val="00737520"/>
    <w:rsid w:val="0074038B"/>
    <w:rsid w:val="0074067F"/>
    <w:rsid w:val="007406F6"/>
    <w:rsid w:val="00740C3E"/>
    <w:rsid w:val="00740E0F"/>
    <w:rsid w:val="00742601"/>
    <w:rsid w:val="00742E54"/>
    <w:rsid w:val="00742F99"/>
    <w:rsid w:val="00743A72"/>
    <w:rsid w:val="0074450C"/>
    <w:rsid w:val="00744632"/>
    <w:rsid w:val="00744A32"/>
    <w:rsid w:val="00744A94"/>
    <w:rsid w:val="00744C7D"/>
    <w:rsid w:val="007452B3"/>
    <w:rsid w:val="007467DE"/>
    <w:rsid w:val="0074683C"/>
    <w:rsid w:val="00746F21"/>
    <w:rsid w:val="00746F99"/>
    <w:rsid w:val="0074714A"/>
    <w:rsid w:val="007474F0"/>
    <w:rsid w:val="00747AC3"/>
    <w:rsid w:val="00747B67"/>
    <w:rsid w:val="00747D5C"/>
    <w:rsid w:val="00747DE1"/>
    <w:rsid w:val="00750052"/>
    <w:rsid w:val="00750E46"/>
    <w:rsid w:val="00750F1F"/>
    <w:rsid w:val="00750F58"/>
    <w:rsid w:val="0075243C"/>
    <w:rsid w:val="007524DB"/>
    <w:rsid w:val="007526C7"/>
    <w:rsid w:val="00753115"/>
    <w:rsid w:val="007536B9"/>
    <w:rsid w:val="007538C4"/>
    <w:rsid w:val="00753941"/>
    <w:rsid w:val="00753A65"/>
    <w:rsid w:val="00753ADE"/>
    <w:rsid w:val="007544FE"/>
    <w:rsid w:val="00754D6C"/>
    <w:rsid w:val="007551D8"/>
    <w:rsid w:val="0075625B"/>
    <w:rsid w:val="00756E22"/>
    <w:rsid w:val="00756E3A"/>
    <w:rsid w:val="0075719C"/>
    <w:rsid w:val="00757B56"/>
    <w:rsid w:val="00760B67"/>
    <w:rsid w:val="00760F3C"/>
    <w:rsid w:val="0076115B"/>
    <w:rsid w:val="00761CE2"/>
    <w:rsid w:val="00761E1F"/>
    <w:rsid w:val="00761E43"/>
    <w:rsid w:val="0076244C"/>
    <w:rsid w:val="007634F8"/>
    <w:rsid w:val="00763CCF"/>
    <w:rsid w:val="00763E35"/>
    <w:rsid w:val="00764C13"/>
    <w:rsid w:val="0076503E"/>
    <w:rsid w:val="00765091"/>
    <w:rsid w:val="007657FC"/>
    <w:rsid w:val="0076677C"/>
    <w:rsid w:val="00766829"/>
    <w:rsid w:val="00766AEC"/>
    <w:rsid w:val="0076737F"/>
    <w:rsid w:val="007678E6"/>
    <w:rsid w:val="00767B25"/>
    <w:rsid w:val="007702E5"/>
    <w:rsid w:val="00770AC7"/>
    <w:rsid w:val="0077170D"/>
    <w:rsid w:val="0077176D"/>
    <w:rsid w:val="00771BEC"/>
    <w:rsid w:val="00771F85"/>
    <w:rsid w:val="00772487"/>
    <w:rsid w:val="007726D3"/>
    <w:rsid w:val="00772730"/>
    <w:rsid w:val="00772A78"/>
    <w:rsid w:val="0077300F"/>
    <w:rsid w:val="00773308"/>
    <w:rsid w:val="0077389E"/>
    <w:rsid w:val="00773F61"/>
    <w:rsid w:val="00774E68"/>
    <w:rsid w:val="00774E93"/>
    <w:rsid w:val="00774F70"/>
    <w:rsid w:val="0077505C"/>
    <w:rsid w:val="00775446"/>
    <w:rsid w:val="0077594D"/>
    <w:rsid w:val="007761EE"/>
    <w:rsid w:val="0077697F"/>
    <w:rsid w:val="00776A46"/>
    <w:rsid w:val="0077727E"/>
    <w:rsid w:val="007772C8"/>
    <w:rsid w:val="00777388"/>
    <w:rsid w:val="00777BAD"/>
    <w:rsid w:val="00777DAD"/>
    <w:rsid w:val="00780097"/>
    <w:rsid w:val="007809A9"/>
    <w:rsid w:val="00780C36"/>
    <w:rsid w:val="00780D40"/>
    <w:rsid w:val="00781125"/>
    <w:rsid w:val="00781F3B"/>
    <w:rsid w:val="007824AB"/>
    <w:rsid w:val="00783482"/>
    <w:rsid w:val="0078358A"/>
    <w:rsid w:val="00783850"/>
    <w:rsid w:val="00783CD9"/>
    <w:rsid w:val="00784B1E"/>
    <w:rsid w:val="00784D2F"/>
    <w:rsid w:val="00784F53"/>
    <w:rsid w:val="00785D0A"/>
    <w:rsid w:val="00785D38"/>
    <w:rsid w:val="00786364"/>
    <w:rsid w:val="00787591"/>
    <w:rsid w:val="007877E8"/>
    <w:rsid w:val="00787AC0"/>
    <w:rsid w:val="00787EAD"/>
    <w:rsid w:val="0079068D"/>
    <w:rsid w:val="00790A1C"/>
    <w:rsid w:val="00790BF1"/>
    <w:rsid w:val="00791581"/>
    <w:rsid w:val="00792AFA"/>
    <w:rsid w:val="00792B80"/>
    <w:rsid w:val="007930AB"/>
    <w:rsid w:val="007938BB"/>
    <w:rsid w:val="00795121"/>
    <w:rsid w:val="00795C02"/>
    <w:rsid w:val="00795E68"/>
    <w:rsid w:val="00795F23"/>
    <w:rsid w:val="00796843"/>
    <w:rsid w:val="0079764A"/>
    <w:rsid w:val="00797A48"/>
    <w:rsid w:val="00797D0E"/>
    <w:rsid w:val="00797D14"/>
    <w:rsid w:val="00797DAD"/>
    <w:rsid w:val="007A0926"/>
    <w:rsid w:val="007A1E36"/>
    <w:rsid w:val="007A2D31"/>
    <w:rsid w:val="007A2FCF"/>
    <w:rsid w:val="007A3AB1"/>
    <w:rsid w:val="007A3DF5"/>
    <w:rsid w:val="007A3F08"/>
    <w:rsid w:val="007A44B6"/>
    <w:rsid w:val="007A4845"/>
    <w:rsid w:val="007A4DFA"/>
    <w:rsid w:val="007A4EBD"/>
    <w:rsid w:val="007A521B"/>
    <w:rsid w:val="007A54C1"/>
    <w:rsid w:val="007A582C"/>
    <w:rsid w:val="007A61EA"/>
    <w:rsid w:val="007A6C7D"/>
    <w:rsid w:val="007A6F9A"/>
    <w:rsid w:val="007A7002"/>
    <w:rsid w:val="007A70F6"/>
    <w:rsid w:val="007A711B"/>
    <w:rsid w:val="007A75A0"/>
    <w:rsid w:val="007A7E74"/>
    <w:rsid w:val="007A7F2A"/>
    <w:rsid w:val="007B0184"/>
    <w:rsid w:val="007B06A5"/>
    <w:rsid w:val="007B0A01"/>
    <w:rsid w:val="007B0BE6"/>
    <w:rsid w:val="007B0C46"/>
    <w:rsid w:val="007B112B"/>
    <w:rsid w:val="007B1E28"/>
    <w:rsid w:val="007B21F2"/>
    <w:rsid w:val="007B328D"/>
    <w:rsid w:val="007B3C58"/>
    <w:rsid w:val="007B3D45"/>
    <w:rsid w:val="007B3D81"/>
    <w:rsid w:val="007B3FAA"/>
    <w:rsid w:val="007B4427"/>
    <w:rsid w:val="007B44BE"/>
    <w:rsid w:val="007B4E92"/>
    <w:rsid w:val="007B566B"/>
    <w:rsid w:val="007B571D"/>
    <w:rsid w:val="007B5815"/>
    <w:rsid w:val="007B5B26"/>
    <w:rsid w:val="007B619F"/>
    <w:rsid w:val="007B6592"/>
    <w:rsid w:val="007B67E7"/>
    <w:rsid w:val="007B687A"/>
    <w:rsid w:val="007B691A"/>
    <w:rsid w:val="007B6942"/>
    <w:rsid w:val="007B6CE2"/>
    <w:rsid w:val="007B6D25"/>
    <w:rsid w:val="007B6FD2"/>
    <w:rsid w:val="007B72DD"/>
    <w:rsid w:val="007B78B6"/>
    <w:rsid w:val="007C0288"/>
    <w:rsid w:val="007C029D"/>
    <w:rsid w:val="007C07ED"/>
    <w:rsid w:val="007C07F6"/>
    <w:rsid w:val="007C0832"/>
    <w:rsid w:val="007C096F"/>
    <w:rsid w:val="007C09AB"/>
    <w:rsid w:val="007C1372"/>
    <w:rsid w:val="007C17FC"/>
    <w:rsid w:val="007C1C85"/>
    <w:rsid w:val="007C1FF6"/>
    <w:rsid w:val="007C2E02"/>
    <w:rsid w:val="007C2F86"/>
    <w:rsid w:val="007C4108"/>
    <w:rsid w:val="007C45FB"/>
    <w:rsid w:val="007C4A9A"/>
    <w:rsid w:val="007C4F1A"/>
    <w:rsid w:val="007C514B"/>
    <w:rsid w:val="007C553D"/>
    <w:rsid w:val="007C56CB"/>
    <w:rsid w:val="007C5CAC"/>
    <w:rsid w:val="007C6847"/>
    <w:rsid w:val="007C71D4"/>
    <w:rsid w:val="007C71E2"/>
    <w:rsid w:val="007C76F8"/>
    <w:rsid w:val="007C7734"/>
    <w:rsid w:val="007C7D40"/>
    <w:rsid w:val="007D01B9"/>
    <w:rsid w:val="007D0632"/>
    <w:rsid w:val="007D0E2D"/>
    <w:rsid w:val="007D15AE"/>
    <w:rsid w:val="007D16B5"/>
    <w:rsid w:val="007D189C"/>
    <w:rsid w:val="007D1D12"/>
    <w:rsid w:val="007D1D95"/>
    <w:rsid w:val="007D233B"/>
    <w:rsid w:val="007D29F6"/>
    <w:rsid w:val="007D2A91"/>
    <w:rsid w:val="007D337B"/>
    <w:rsid w:val="007D4382"/>
    <w:rsid w:val="007D46C8"/>
    <w:rsid w:val="007D56D2"/>
    <w:rsid w:val="007D5C93"/>
    <w:rsid w:val="007D61B8"/>
    <w:rsid w:val="007D6945"/>
    <w:rsid w:val="007D6C89"/>
    <w:rsid w:val="007D6CF7"/>
    <w:rsid w:val="007D6DE7"/>
    <w:rsid w:val="007D6DEE"/>
    <w:rsid w:val="007D70B5"/>
    <w:rsid w:val="007D7181"/>
    <w:rsid w:val="007D7206"/>
    <w:rsid w:val="007D72D2"/>
    <w:rsid w:val="007D760B"/>
    <w:rsid w:val="007D77AF"/>
    <w:rsid w:val="007D7E03"/>
    <w:rsid w:val="007D7EB3"/>
    <w:rsid w:val="007D7FD7"/>
    <w:rsid w:val="007E01DB"/>
    <w:rsid w:val="007E10DE"/>
    <w:rsid w:val="007E128A"/>
    <w:rsid w:val="007E19A6"/>
    <w:rsid w:val="007E2A38"/>
    <w:rsid w:val="007E3217"/>
    <w:rsid w:val="007E36FC"/>
    <w:rsid w:val="007E3828"/>
    <w:rsid w:val="007E3B77"/>
    <w:rsid w:val="007E3C92"/>
    <w:rsid w:val="007E405F"/>
    <w:rsid w:val="007E4217"/>
    <w:rsid w:val="007E49EE"/>
    <w:rsid w:val="007E5629"/>
    <w:rsid w:val="007E5799"/>
    <w:rsid w:val="007E5AD7"/>
    <w:rsid w:val="007E68C3"/>
    <w:rsid w:val="007E69A8"/>
    <w:rsid w:val="007E6E57"/>
    <w:rsid w:val="007E6E5C"/>
    <w:rsid w:val="007E750F"/>
    <w:rsid w:val="007E7763"/>
    <w:rsid w:val="007E7CB0"/>
    <w:rsid w:val="007E7D7C"/>
    <w:rsid w:val="007F02E3"/>
    <w:rsid w:val="007F1517"/>
    <w:rsid w:val="007F1621"/>
    <w:rsid w:val="007F16B7"/>
    <w:rsid w:val="007F17F4"/>
    <w:rsid w:val="007F186C"/>
    <w:rsid w:val="007F1D4F"/>
    <w:rsid w:val="007F34DE"/>
    <w:rsid w:val="007F34EB"/>
    <w:rsid w:val="007F3B20"/>
    <w:rsid w:val="007F3B2C"/>
    <w:rsid w:val="007F3C16"/>
    <w:rsid w:val="007F4051"/>
    <w:rsid w:val="007F42D5"/>
    <w:rsid w:val="007F48AD"/>
    <w:rsid w:val="007F4A1B"/>
    <w:rsid w:val="007F4A20"/>
    <w:rsid w:val="007F4AD9"/>
    <w:rsid w:val="007F4C7A"/>
    <w:rsid w:val="007F52E0"/>
    <w:rsid w:val="007F53B3"/>
    <w:rsid w:val="007F572D"/>
    <w:rsid w:val="007F5D02"/>
    <w:rsid w:val="007F6056"/>
    <w:rsid w:val="007F630F"/>
    <w:rsid w:val="007F64B4"/>
    <w:rsid w:val="007F7FCA"/>
    <w:rsid w:val="007F7FF2"/>
    <w:rsid w:val="008001E8"/>
    <w:rsid w:val="00800889"/>
    <w:rsid w:val="00800A64"/>
    <w:rsid w:val="00800C46"/>
    <w:rsid w:val="0080175F"/>
    <w:rsid w:val="00801C4D"/>
    <w:rsid w:val="00801F46"/>
    <w:rsid w:val="00802129"/>
    <w:rsid w:val="008024D4"/>
    <w:rsid w:val="00802E55"/>
    <w:rsid w:val="00802F2E"/>
    <w:rsid w:val="00803382"/>
    <w:rsid w:val="00803CE5"/>
    <w:rsid w:val="00804642"/>
    <w:rsid w:val="008050AB"/>
    <w:rsid w:val="0080548B"/>
    <w:rsid w:val="008059B4"/>
    <w:rsid w:val="00805A57"/>
    <w:rsid w:val="00805B42"/>
    <w:rsid w:val="00805E4B"/>
    <w:rsid w:val="00805F58"/>
    <w:rsid w:val="00805F9E"/>
    <w:rsid w:val="00806D63"/>
    <w:rsid w:val="00807409"/>
    <w:rsid w:val="0080798A"/>
    <w:rsid w:val="00807C14"/>
    <w:rsid w:val="0081021F"/>
    <w:rsid w:val="008102AD"/>
    <w:rsid w:val="0081167C"/>
    <w:rsid w:val="00811E96"/>
    <w:rsid w:val="00811EF6"/>
    <w:rsid w:val="0081268F"/>
    <w:rsid w:val="0081297F"/>
    <w:rsid w:val="008148B4"/>
    <w:rsid w:val="0081495F"/>
    <w:rsid w:val="008153A7"/>
    <w:rsid w:val="008153B7"/>
    <w:rsid w:val="00815EB6"/>
    <w:rsid w:val="0081653B"/>
    <w:rsid w:val="008166A5"/>
    <w:rsid w:val="008168F8"/>
    <w:rsid w:val="00816F7B"/>
    <w:rsid w:val="00820393"/>
    <w:rsid w:val="008203CF"/>
    <w:rsid w:val="00820603"/>
    <w:rsid w:val="00820F52"/>
    <w:rsid w:val="00822420"/>
    <w:rsid w:val="0082350D"/>
    <w:rsid w:val="00823E80"/>
    <w:rsid w:val="008245D8"/>
    <w:rsid w:val="008246BA"/>
    <w:rsid w:val="00824762"/>
    <w:rsid w:val="00824AA0"/>
    <w:rsid w:val="00824B1A"/>
    <w:rsid w:val="00825A14"/>
    <w:rsid w:val="00825A1B"/>
    <w:rsid w:val="00825AAA"/>
    <w:rsid w:val="00825B75"/>
    <w:rsid w:val="008303D0"/>
    <w:rsid w:val="00830B48"/>
    <w:rsid w:val="00830EA0"/>
    <w:rsid w:val="0083121F"/>
    <w:rsid w:val="00831437"/>
    <w:rsid w:val="00831AF4"/>
    <w:rsid w:val="00831C86"/>
    <w:rsid w:val="00831FC6"/>
    <w:rsid w:val="008327D7"/>
    <w:rsid w:val="00832A1F"/>
    <w:rsid w:val="008330E7"/>
    <w:rsid w:val="00833E19"/>
    <w:rsid w:val="00834535"/>
    <w:rsid w:val="00834E18"/>
    <w:rsid w:val="00834E9C"/>
    <w:rsid w:val="00835707"/>
    <w:rsid w:val="00835CAC"/>
    <w:rsid w:val="0083622F"/>
    <w:rsid w:val="00836462"/>
    <w:rsid w:val="0083646C"/>
    <w:rsid w:val="008364D5"/>
    <w:rsid w:val="008368AA"/>
    <w:rsid w:val="0083723D"/>
    <w:rsid w:val="00837276"/>
    <w:rsid w:val="008372A9"/>
    <w:rsid w:val="008375AA"/>
    <w:rsid w:val="00837997"/>
    <w:rsid w:val="00842138"/>
    <w:rsid w:val="00842561"/>
    <w:rsid w:val="00842644"/>
    <w:rsid w:val="00842BBF"/>
    <w:rsid w:val="00842F70"/>
    <w:rsid w:val="008438E5"/>
    <w:rsid w:val="00843FE7"/>
    <w:rsid w:val="0084464C"/>
    <w:rsid w:val="00844CA1"/>
    <w:rsid w:val="00844E79"/>
    <w:rsid w:val="00844FF2"/>
    <w:rsid w:val="00845656"/>
    <w:rsid w:val="00845894"/>
    <w:rsid w:val="008459A9"/>
    <w:rsid w:val="00845E79"/>
    <w:rsid w:val="00845E9A"/>
    <w:rsid w:val="0084668B"/>
    <w:rsid w:val="00846E79"/>
    <w:rsid w:val="008472B9"/>
    <w:rsid w:val="008472FB"/>
    <w:rsid w:val="00847373"/>
    <w:rsid w:val="008474A5"/>
    <w:rsid w:val="008477E8"/>
    <w:rsid w:val="008478AA"/>
    <w:rsid w:val="00847989"/>
    <w:rsid w:val="00847B0A"/>
    <w:rsid w:val="00847B8A"/>
    <w:rsid w:val="00847C79"/>
    <w:rsid w:val="00847C9D"/>
    <w:rsid w:val="00847D4E"/>
    <w:rsid w:val="0085005C"/>
    <w:rsid w:val="00850080"/>
    <w:rsid w:val="00850599"/>
    <w:rsid w:val="0085085C"/>
    <w:rsid w:val="00850910"/>
    <w:rsid w:val="00851076"/>
    <w:rsid w:val="008511EC"/>
    <w:rsid w:val="00851379"/>
    <w:rsid w:val="00851C99"/>
    <w:rsid w:val="00851CD4"/>
    <w:rsid w:val="00851E3E"/>
    <w:rsid w:val="00851F62"/>
    <w:rsid w:val="00851FD3"/>
    <w:rsid w:val="00852213"/>
    <w:rsid w:val="0085238A"/>
    <w:rsid w:val="008524EB"/>
    <w:rsid w:val="00852890"/>
    <w:rsid w:val="00852978"/>
    <w:rsid w:val="00852CAB"/>
    <w:rsid w:val="0085318D"/>
    <w:rsid w:val="008535F5"/>
    <w:rsid w:val="00853A58"/>
    <w:rsid w:val="008547B9"/>
    <w:rsid w:val="00855D0F"/>
    <w:rsid w:val="008565BC"/>
    <w:rsid w:val="00856648"/>
    <w:rsid w:val="00856A67"/>
    <w:rsid w:val="00856B26"/>
    <w:rsid w:val="00856B71"/>
    <w:rsid w:val="00856C36"/>
    <w:rsid w:val="00856C93"/>
    <w:rsid w:val="008573F9"/>
    <w:rsid w:val="00857D59"/>
    <w:rsid w:val="00861572"/>
    <w:rsid w:val="00861731"/>
    <w:rsid w:val="0086190F"/>
    <w:rsid w:val="00861EB1"/>
    <w:rsid w:val="0086219D"/>
    <w:rsid w:val="00862402"/>
    <w:rsid w:val="00862862"/>
    <w:rsid w:val="00862BAF"/>
    <w:rsid w:val="00862D12"/>
    <w:rsid w:val="00863B4F"/>
    <w:rsid w:val="00863E87"/>
    <w:rsid w:val="00864147"/>
    <w:rsid w:val="008642D0"/>
    <w:rsid w:val="0086437F"/>
    <w:rsid w:val="00864795"/>
    <w:rsid w:val="0086575B"/>
    <w:rsid w:val="00865D25"/>
    <w:rsid w:val="0086613E"/>
    <w:rsid w:val="008674E7"/>
    <w:rsid w:val="008674FE"/>
    <w:rsid w:val="008676E6"/>
    <w:rsid w:val="00867ECB"/>
    <w:rsid w:val="00867FC5"/>
    <w:rsid w:val="008714DB"/>
    <w:rsid w:val="00871578"/>
    <w:rsid w:val="00871B57"/>
    <w:rsid w:val="00871BB6"/>
    <w:rsid w:val="00871E21"/>
    <w:rsid w:val="0087223D"/>
    <w:rsid w:val="0087267C"/>
    <w:rsid w:val="008736E6"/>
    <w:rsid w:val="008747C9"/>
    <w:rsid w:val="00874EB6"/>
    <w:rsid w:val="00875402"/>
    <w:rsid w:val="00875449"/>
    <w:rsid w:val="00875858"/>
    <w:rsid w:val="00876359"/>
    <w:rsid w:val="00876705"/>
    <w:rsid w:val="00876A88"/>
    <w:rsid w:val="00877544"/>
    <w:rsid w:val="00877E88"/>
    <w:rsid w:val="0088002F"/>
    <w:rsid w:val="008802A2"/>
    <w:rsid w:val="008806EF"/>
    <w:rsid w:val="00880A80"/>
    <w:rsid w:val="00881072"/>
    <w:rsid w:val="008816A3"/>
    <w:rsid w:val="00881D7B"/>
    <w:rsid w:val="008829F7"/>
    <w:rsid w:val="00882E18"/>
    <w:rsid w:val="00884A24"/>
    <w:rsid w:val="00884B09"/>
    <w:rsid w:val="00884F1E"/>
    <w:rsid w:val="00885345"/>
    <w:rsid w:val="00885469"/>
    <w:rsid w:val="008862D8"/>
    <w:rsid w:val="008865D6"/>
    <w:rsid w:val="008866AA"/>
    <w:rsid w:val="008866DF"/>
    <w:rsid w:val="00886AEF"/>
    <w:rsid w:val="00886BD1"/>
    <w:rsid w:val="00887178"/>
    <w:rsid w:val="00887446"/>
    <w:rsid w:val="0088747B"/>
    <w:rsid w:val="00887648"/>
    <w:rsid w:val="008879D3"/>
    <w:rsid w:val="00890168"/>
    <w:rsid w:val="008902CA"/>
    <w:rsid w:val="00890A6C"/>
    <w:rsid w:val="00890D9C"/>
    <w:rsid w:val="00891328"/>
    <w:rsid w:val="00891AC5"/>
    <w:rsid w:val="00892310"/>
    <w:rsid w:val="00892F80"/>
    <w:rsid w:val="00893560"/>
    <w:rsid w:val="00893A03"/>
    <w:rsid w:val="00894610"/>
    <w:rsid w:val="00894E27"/>
    <w:rsid w:val="00895566"/>
    <w:rsid w:val="00895572"/>
    <w:rsid w:val="00895AFB"/>
    <w:rsid w:val="00895BAB"/>
    <w:rsid w:val="00895CB8"/>
    <w:rsid w:val="00895E96"/>
    <w:rsid w:val="008961F6"/>
    <w:rsid w:val="00896315"/>
    <w:rsid w:val="0089661E"/>
    <w:rsid w:val="00896C38"/>
    <w:rsid w:val="00897627"/>
    <w:rsid w:val="00897D19"/>
    <w:rsid w:val="00897F55"/>
    <w:rsid w:val="008A0340"/>
    <w:rsid w:val="008A0544"/>
    <w:rsid w:val="008A056C"/>
    <w:rsid w:val="008A099F"/>
    <w:rsid w:val="008A0C03"/>
    <w:rsid w:val="008A0D84"/>
    <w:rsid w:val="008A12D8"/>
    <w:rsid w:val="008A14DB"/>
    <w:rsid w:val="008A16A0"/>
    <w:rsid w:val="008A1870"/>
    <w:rsid w:val="008A1A62"/>
    <w:rsid w:val="008A1D01"/>
    <w:rsid w:val="008A1DEE"/>
    <w:rsid w:val="008A1FFE"/>
    <w:rsid w:val="008A21D4"/>
    <w:rsid w:val="008A2348"/>
    <w:rsid w:val="008A2747"/>
    <w:rsid w:val="008A2836"/>
    <w:rsid w:val="008A2C51"/>
    <w:rsid w:val="008A342D"/>
    <w:rsid w:val="008A35F8"/>
    <w:rsid w:val="008A374A"/>
    <w:rsid w:val="008A388C"/>
    <w:rsid w:val="008A3F6F"/>
    <w:rsid w:val="008A45D1"/>
    <w:rsid w:val="008A4609"/>
    <w:rsid w:val="008A4780"/>
    <w:rsid w:val="008A4896"/>
    <w:rsid w:val="008A4C8C"/>
    <w:rsid w:val="008A5963"/>
    <w:rsid w:val="008A5ABF"/>
    <w:rsid w:val="008A5FD4"/>
    <w:rsid w:val="008A60E7"/>
    <w:rsid w:val="008A6D23"/>
    <w:rsid w:val="008A6E78"/>
    <w:rsid w:val="008A7100"/>
    <w:rsid w:val="008A71D4"/>
    <w:rsid w:val="008A774D"/>
    <w:rsid w:val="008A78F7"/>
    <w:rsid w:val="008B018D"/>
    <w:rsid w:val="008B0887"/>
    <w:rsid w:val="008B09E2"/>
    <w:rsid w:val="008B1542"/>
    <w:rsid w:val="008B17A0"/>
    <w:rsid w:val="008B22B0"/>
    <w:rsid w:val="008B2C01"/>
    <w:rsid w:val="008B2E28"/>
    <w:rsid w:val="008B31F7"/>
    <w:rsid w:val="008B33C0"/>
    <w:rsid w:val="008B3522"/>
    <w:rsid w:val="008B3869"/>
    <w:rsid w:val="008B3966"/>
    <w:rsid w:val="008B3D4A"/>
    <w:rsid w:val="008B411B"/>
    <w:rsid w:val="008B4256"/>
    <w:rsid w:val="008B468D"/>
    <w:rsid w:val="008B4F41"/>
    <w:rsid w:val="008B5F0A"/>
    <w:rsid w:val="008B694B"/>
    <w:rsid w:val="008B6972"/>
    <w:rsid w:val="008B7031"/>
    <w:rsid w:val="008B7DFF"/>
    <w:rsid w:val="008C05F1"/>
    <w:rsid w:val="008C07C7"/>
    <w:rsid w:val="008C097F"/>
    <w:rsid w:val="008C09EB"/>
    <w:rsid w:val="008C0B8B"/>
    <w:rsid w:val="008C0E17"/>
    <w:rsid w:val="008C1006"/>
    <w:rsid w:val="008C2AB9"/>
    <w:rsid w:val="008C329B"/>
    <w:rsid w:val="008C362D"/>
    <w:rsid w:val="008C3BE0"/>
    <w:rsid w:val="008C3DBB"/>
    <w:rsid w:val="008C4092"/>
    <w:rsid w:val="008C4722"/>
    <w:rsid w:val="008C5036"/>
    <w:rsid w:val="008C520D"/>
    <w:rsid w:val="008C5D99"/>
    <w:rsid w:val="008C61AE"/>
    <w:rsid w:val="008C6560"/>
    <w:rsid w:val="008C6F75"/>
    <w:rsid w:val="008C7200"/>
    <w:rsid w:val="008C7627"/>
    <w:rsid w:val="008C76BC"/>
    <w:rsid w:val="008D043E"/>
    <w:rsid w:val="008D0443"/>
    <w:rsid w:val="008D0D42"/>
    <w:rsid w:val="008D111E"/>
    <w:rsid w:val="008D12BF"/>
    <w:rsid w:val="008D1B62"/>
    <w:rsid w:val="008D1B9E"/>
    <w:rsid w:val="008D1F9A"/>
    <w:rsid w:val="008D2082"/>
    <w:rsid w:val="008D21EE"/>
    <w:rsid w:val="008D2388"/>
    <w:rsid w:val="008D24C9"/>
    <w:rsid w:val="008D26B5"/>
    <w:rsid w:val="008D2DC1"/>
    <w:rsid w:val="008D359A"/>
    <w:rsid w:val="008D3A1D"/>
    <w:rsid w:val="008D4146"/>
    <w:rsid w:val="008D42F6"/>
    <w:rsid w:val="008D5013"/>
    <w:rsid w:val="008D59E9"/>
    <w:rsid w:val="008D66CC"/>
    <w:rsid w:val="008D70B6"/>
    <w:rsid w:val="008D7367"/>
    <w:rsid w:val="008D73F0"/>
    <w:rsid w:val="008D750B"/>
    <w:rsid w:val="008D7D2D"/>
    <w:rsid w:val="008D7E9F"/>
    <w:rsid w:val="008E006F"/>
    <w:rsid w:val="008E0B35"/>
    <w:rsid w:val="008E0F0B"/>
    <w:rsid w:val="008E1159"/>
    <w:rsid w:val="008E1580"/>
    <w:rsid w:val="008E1A9C"/>
    <w:rsid w:val="008E20F1"/>
    <w:rsid w:val="008E2F17"/>
    <w:rsid w:val="008E3175"/>
    <w:rsid w:val="008E32CE"/>
    <w:rsid w:val="008E3CC4"/>
    <w:rsid w:val="008E3DDC"/>
    <w:rsid w:val="008E417F"/>
    <w:rsid w:val="008E4F24"/>
    <w:rsid w:val="008E5512"/>
    <w:rsid w:val="008E566F"/>
    <w:rsid w:val="008E57FE"/>
    <w:rsid w:val="008E59C0"/>
    <w:rsid w:val="008E5F4E"/>
    <w:rsid w:val="008E6511"/>
    <w:rsid w:val="008E6EF3"/>
    <w:rsid w:val="008E75D6"/>
    <w:rsid w:val="008E76F8"/>
    <w:rsid w:val="008F0475"/>
    <w:rsid w:val="008F058D"/>
    <w:rsid w:val="008F080D"/>
    <w:rsid w:val="008F08C3"/>
    <w:rsid w:val="008F0F63"/>
    <w:rsid w:val="008F1056"/>
    <w:rsid w:val="008F1589"/>
    <w:rsid w:val="008F1873"/>
    <w:rsid w:val="008F18E5"/>
    <w:rsid w:val="008F1AF7"/>
    <w:rsid w:val="008F1E86"/>
    <w:rsid w:val="008F2E02"/>
    <w:rsid w:val="008F3327"/>
    <w:rsid w:val="008F3549"/>
    <w:rsid w:val="008F46F9"/>
    <w:rsid w:val="008F49E7"/>
    <w:rsid w:val="008F49F7"/>
    <w:rsid w:val="008F4A43"/>
    <w:rsid w:val="008F4BA0"/>
    <w:rsid w:val="008F4D58"/>
    <w:rsid w:val="008F509D"/>
    <w:rsid w:val="008F5110"/>
    <w:rsid w:val="008F51BE"/>
    <w:rsid w:val="008F51FC"/>
    <w:rsid w:val="008F578B"/>
    <w:rsid w:val="008F5B13"/>
    <w:rsid w:val="008F5BFB"/>
    <w:rsid w:val="008F6006"/>
    <w:rsid w:val="008F621B"/>
    <w:rsid w:val="008F62CE"/>
    <w:rsid w:val="008F71B1"/>
    <w:rsid w:val="008F71BC"/>
    <w:rsid w:val="008F7246"/>
    <w:rsid w:val="008F7A70"/>
    <w:rsid w:val="008F7DE6"/>
    <w:rsid w:val="00900FAB"/>
    <w:rsid w:val="009015B2"/>
    <w:rsid w:val="00901881"/>
    <w:rsid w:val="00901D1D"/>
    <w:rsid w:val="00901EF9"/>
    <w:rsid w:val="009022AF"/>
    <w:rsid w:val="009022F5"/>
    <w:rsid w:val="00902914"/>
    <w:rsid w:val="00902EB6"/>
    <w:rsid w:val="009033E0"/>
    <w:rsid w:val="00903496"/>
    <w:rsid w:val="009037F5"/>
    <w:rsid w:val="009040D4"/>
    <w:rsid w:val="009041FF"/>
    <w:rsid w:val="009044C4"/>
    <w:rsid w:val="00904723"/>
    <w:rsid w:val="00905ACD"/>
    <w:rsid w:val="00905FB1"/>
    <w:rsid w:val="00906209"/>
    <w:rsid w:val="0090659B"/>
    <w:rsid w:val="0090660F"/>
    <w:rsid w:val="00906793"/>
    <w:rsid w:val="009068CE"/>
    <w:rsid w:val="00906D38"/>
    <w:rsid w:val="00906E90"/>
    <w:rsid w:val="00906F53"/>
    <w:rsid w:val="0090752F"/>
    <w:rsid w:val="00907652"/>
    <w:rsid w:val="00907A2C"/>
    <w:rsid w:val="00907C3D"/>
    <w:rsid w:val="0091051D"/>
    <w:rsid w:val="00910533"/>
    <w:rsid w:val="00910C50"/>
    <w:rsid w:val="0091115E"/>
    <w:rsid w:val="00911371"/>
    <w:rsid w:val="009117BF"/>
    <w:rsid w:val="009120C5"/>
    <w:rsid w:val="00912796"/>
    <w:rsid w:val="0091293D"/>
    <w:rsid w:val="00912CB8"/>
    <w:rsid w:val="00912D42"/>
    <w:rsid w:val="0091353C"/>
    <w:rsid w:val="00913863"/>
    <w:rsid w:val="00913B73"/>
    <w:rsid w:val="00913C62"/>
    <w:rsid w:val="00914133"/>
    <w:rsid w:val="009143C1"/>
    <w:rsid w:val="009147BA"/>
    <w:rsid w:val="00914E96"/>
    <w:rsid w:val="00914ED5"/>
    <w:rsid w:val="009155E5"/>
    <w:rsid w:val="0091566D"/>
    <w:rsid w:val="00915A06"/>
    <w:rsid w:val="009160AC"/>
    <w:rsid w:val="00916484"/>
    <w:rsid w:val="00916B7D"/>
    <w:rsid w:val="00916DC6"/>
    <w:rsid w:val="00916F2F"/>
    <w:rsid w:val="00917575"/>
    <w:rsid w:val="009176BF"/>
    <w:rsid w:val="00917ABD"/>
    <w:rsid w:val="00920136"/>
    <w:rsid w:val="00920652"/>
    <w:rsid w:val="00920813"/>
    <w:rsid w:val="009208A1"/>
    <w:rsid w:val="009209E3"/>
    <w:rsid w:val="00921847"/>
    <w:rsid w:val="00921EDE"/>
    <w:rsid w:val="0092228B"/>
    <w:rsid w:val="0092279A"/>
    <w:rsid w:val="00922D87"/>
    <w:rsid w:val="00923216"/>
    <w:rsid w:val="009234D0"/>
    <w:rsid w:val="00923A33"/>
    <w:rsid w:val="00923DB7"/>
    <w:rsid w:val="00924DE4"/>
    <w:rsid w:val="009252F5"/>
    <w:rsid w:val="009261BF"/>
    <w:rsid w:val="009266A4"/>
    <w:rsid w:val="00926AD5"/>
    <w:rsid w:val="00926EC9"/>
    <w:rsid w:val="009272C6"/>
    <w:rsid w:val="009279B7"/>
    <w:rsid w:val="00927A6F"/>
    <w:rsid w:val="0093051C"/>
    <w:rsid w:val="00930866"/>
    <w:rsid w:val="009309DE"/>
    <w:rsid w:val="00930F89"/>
    <w:rsid w:val="0093107E"/>
    <w:rsid w:val="009313EE"/>
    <w:rsid w:val="00931A9D"/>
    <w:rsid w:val="00931E55"/>
    <w:rsid w:val="009328F8"/>
    <w:rsid w:val="00932F82"/>
    <w:rsid w:val="009336A3"/>
    <w:rsid w:val="00933910"/>
    <w:rsid w:val="00933A3E"/>
    <w:rsid w:val="00934452"/>
    <w:rsid w:val="00934D39"/>
    <w:rsid w:val="00934DEB"/>
    <w:rsid w:val="00935456"/>
    <w:rsid w:val="0093548A"/>
    <w:rsid w:val="00935F94"/>
    <w:rsid w:val="00936381"/>
    <w:rsid w:val="00936B1D"/>
    <w:rsid w:val="00936DD1"/>
    <w:rsid w:val="00936F5C"/>
    <w:rsid w:val="00936F84"/>
    <w:rsid w:val="0093709F"/>
    <w:rsid w:val="009376D4"/>
    <w:rsid w:val="009376D7"/>
    <w:rsid w:val="00937A6E"/>
    <w:rsid w:val="00940851"/>
    <w:rsid w:val="00940F62"/>
    <w:rsid w:val="00941194"/>
    <w:rsid w:val="0094125B"/>
    <w:rsid w:val="00941352"/>
    <w:rsid w:val="0094160F"/>
    <w:rsid w:val="0094229E"/>
    <w:rsid w:val="009422BC"/>
    <w:rsid w:val="0094287F"/>
    <w:rsid w:val="00942B51"/>
    <w:rsid w:val="009430E5"/>
    <w:rsid w:val="0094315F"/>
    <w:rsid w:val="009431A3"/>
    <w:rsid w:val="009432CB"/>
    <w:rsid w:val="0094359E"/>
    <w:rsid w:val="009436D4"/>
    <w:rsid w:val="00943AFE"/>
    <w:rsid w:val="00943B48"/>
    <w:rsid w:val="00943BD8"/>
    <w:rsid w:val="00943DE3"/>
    <w:rsid w:val="00943F2E"/>
    <w:rsid w:val="00943F8C"/>
    <w:rsid w:val="00944192"/>
    <w:rsid w:val="00944B20"/>
    <w:rsid w:val="009462A7"/>
    <w:rsid w:val="0094678B"/>
    <w:rsid w:val="00946AB7"/>
    <w:rsid w:val="00946B07"/>
    <w:rsid w:val="00950145"/>
    <w:rsid w:val="009505BB"/>
    <w:rsid w:val="00950DB9"/>
    <w:rsid w:val="00950E72"/>
    <w:rsid w:val="009510AD"/>
    <w:rsid w:val="009513BE"/>
    <w:rsid w:val="00951973"/>
    <w:rsid w:val="00951CEE"/>
    <w:rsid w:val="00951CF7"/>
    <w:rsid w:val="00951DAD"/>
    <w:rsid w:val="00951DBF"/>
    <w:rsid w:val="00951E28"/>
    <w:rsid w:val="00951EFA"/>
    <w:rsid w:val="00951F9F"/>
    <w:rsid w:val="00952259"/>
    <w:rsid w:val="0095242E"/>
    <w:rsid w:val="009538A9"/>
    <w:rsid w:val="00953A7B"/>
    <w:rsid w:val="00953B97"/>
    <w:rsid w:val="00954408"/>
    <w:rsid w:val="00954D0E"/>
    <w:rsid w:val="00954FE1"/>
    <w:rsid w:val="0095542B"/>
    <w:rsid w:val="009556AE"/>
    <w:rsid w:val="00955DD9"/>
    <w:rsid w:val="009565BD"/>
    <w:rsid w:val="00956939"/>
    <w:rsid w:val="00956AAC"/>
    <w:rsid w:val="00956AB0"/>
    <w:rsid w:val="00956BC0"/>
    <w:rsid w:val="00956FDE"/>
    <w:rsid w:val="009578F0"/>
    <w:rsid w:val="00961878"/>
    <w:rsid w:val="00961B62"/>
    <w:rsid w:val="00961BC0"/>
    <w:rsid w:val="00961EF6"/>
    <w:rsid w:val="009620E7"/>
    <w:rsid w:val="00962780"/>
    <w:rsid w:val="00962B87"/>
    <w:rsid w:val="00962E13"/>
    <w:rsid w:val="00962FF1"/>
    <w:rsid w:val="009630CE"/>
    <w:rsid w:val="00963209"/>
    <w:rsid w:val="009641AD"/>
    <w:rsid w:val="009642EC"/>
    <w:rsid w:val="009647A2"/>
    <w:rsid w:val="00964E73"/>
    <w:rsid w:val="00965248"/>
    <w:rsid w:val="00965427"/>
    <w:rsid w:val="00965842"/>
    <w:rsid w:val="00966017"/>
    <w:rsid w:val="0096653F"/>
    <w:rsid w:val="00967247"/>
    <w:rsid w:val="009679D9"/>
    <w:rsid w:val="009703F8"/>
    <w:rsid w:val="0097067B"/>
    <w:rsid w:val="0097105D"/>
    <w:rsid w:val="009712AE"/>
    <w:rsid w:val="009715BE"/>
    <w:rsid w:val="0097174E"/>
    <w:rsid w:val="00971BE0"/>
    <w:rsid w:val="00971EFA"/>
    <w:rsid w:val="0097253D"/>
    <w:rsid w:val="009725A2"/>
    <w:rsid w:val="00972CE5"/>
    <w:rsid w:val="00973313"/>
    <w:rsid w:val="00973381"/>
    <w:rsid w:val="00973E62"/>
    <w:rsid w:val="00974130"/>
    <w:rsid w:val="00974399"/>
    <w:rsid w:val="0097449C"/>
    <w:rsid w:val="00974915"/>
    <w:rsid w:val="009752C7"/>
    <w:rsid w:val="009759F2"/>
    <w:rsid w:val="00976190"/>
    <w:rsid w:val="00976469"/>
    <w:rsid w:val="00976532"/>
    <w:rsid w:val="0097654B"/>
    <w:rsid w:val="00976809"/>
    <w:rsid w:val="00976A43"/>
    <w:rsid w:val="00976B93"/>
    <w:rsid w:val="009770B8"/>
    <w:rsid w:val="00977265"/>
    <w:rsid w:val="00977266"/>
    <w:rsid w:val="00977AB6"/>
    <w:rsid w:val="00977BEC"/>
    <w:rsid w:val="00977C6D"/>
    <w:rsid w:val="00977F17"/>
    <w:rsid w:val="00980499"/>
    <w:rsid w:val="00980BF6"/>
    <w:rsid w:val="00981469"/>
    <w:rsid w:val="00981AF3"/>
    <w:rsid w:val="00982497"/>
    <w:rsid w:val="009826C6"/>
    <w:rsid w:val="00982885"/>
    <w:rsid w:val="00982C61"/>
    <w:rsid w:val="00982CD1"/>
    <w:rsid w:val="0098342A"/>
    <w:rsid w:val="00983AE1"/>
    <w:rsid w:val="00983E85"/>
    <w:rsid w:val="00984082"/>
    <w:rsid w:val="009854B6"/>
    <w:rsid w:val="00985829"/>
    <w:rsid w:val="00985ACC"/>
    <w:rsid w:val="00985D36"/>
    <w:rsid w:val="00985DBA"/>
    <w:rsid w:val="00985E92"/>
    <w:rsid w:val="009865D6"/>
    <w:rsid w:val="00986975"/>
    <w:rsid w:val="0098757B"/>
    <w:rsid w:val="00987708"/>
    <w:rsid w:val="00987CA0"/>
    <w:rsid w:val="00990506"/>
    <w:rsid w:val="00990883"/>
    <w:rsid w:val="00990F79"/>
    <w:rsid w:val="009910DC"/>
    <w:rsid w:val="00991584"/>
    <w:rsid w:val="0099172C"/>
    <w:rsid w:val="00991B19"/>
    <w:rsid w:val="00991F23"/>
    <w:rsid w:val="0099234F"/>
    <w:rsid w:val="00992605"/>
    <w:rsid w:val="00992CD6"/>
    <w:rsid w:val="0099339C"/>
    <w:rsid w:val="00993599"/>
    <w:rsid w:val="00994CCA"/>
    <w:rsid w:val="00996FFF"/>
    <w:rsid w:val="009974A8"/>
    <w:rsid w:val="009975C9"/>
    <w:rsid w:val="009A0116"/>
    <w:rsid w:val="009A030F"/>
    <w:rsid w:val="009A0A09"/>
    <w:rsid w:val="009A0A9F"/>
    <w:rsid w:val="009A1489"/>
    <w:rsid w:val="009A245B"/>
    <w:rsid w:val="009A24A2"/>
    <w:rsid w:val="009A2516"/>
    <w:rsid w:val="009A2845"/>
    <w:rsid w:val="009A2B4B"/>
    <w:rsid w:val="009A2FAA"/>
    <w:rsid w:val="009A3127"/>
    <w:rsid w:val="009A33AB"/>
    <w:rsid w:val="009A349F"/>
    <w:rsid w:val="009A359B"/>
    <w:rsid w:val="009A3852"/>
    <w:rsid w:val="009A3D49"/>
    <w:rsid w:val="009A3E52"/>
    <w:rsid w:val="009A4788"/>
    <w:rsid w:val="009A4A6E"/>
    <w:rsid w:val="009A58E6"/>
    <w:rsid w:val="009A5FDB"/>
    <w:rsid w:val="009A6B3F"/>
    <w:rsid w:val="009A78AB"/>
    <w:rsid w:val="009B0287"/>
    <w:rsid w:val="009B03D5"/>
    <w:rsid w:val="009B0A9C"/>
    <w:rsid w:val="009B10AE"/>
    <w:rsid w:val="009B1240"/>
    <w:rsid w:val="009B1690"/>
    <w:rsid w:val="009B18D7"/>
    <w:rsid w:val="009B1C40"/>
    <w:rsid w:val="009B1FD6"/>
    <w:rsid w:val="009B23EE"/>
    <w:rsid w:val="009B257E"/>
    <w:rsid w:val="009B3610"/>
    <w:rsid w:val="009B37D3"/>
    <w:rsid w:val="009B4C61"/>
    <w:rsid w:val="009B4CB0"/>
    <w:rsid w:val="009B4CE0"/>
    <w:rsid w:val="009B5208"/>
    <w:rsid w:val="009B54CF"/>
    <w:rsid w:val="009B5A8C"/>
    <w:rsid w:val="009B5C74"/>
    <w:rsid w:val="009B614C"/>
    <w:rsid w:val="009B661E"/>
    <w:rsid w:val="009B68A4"/>
    <w:rsid w:val="009B75F0"/>
    <w:rsid w:val="009B7AD5"/>
    <w:rsid w:val="009B7D1B"/>
    <w:rsid w:val="009C01B9"/>
    <w:rsid w:val="009C0342"/>
    <w:rsid w:val="009C0408"/>
    <w:rsid w:val="009C12CC"/>
    <w:rsid w:val="009C161A"/>
    <w:rsid w:val="009C1DAD"/>
    <w:rsid w:val="009C1E60"/>
    <w:rsid w:val="009C3C12"/>
    <w:rsid w:val="009C4088"/>
    <w:rsid w:val="009C47BA"/>
    <w:rsid w:val="009C4B23"/>
    <w:rsid w:val="009C5D49"/>
    <w:rsid w:val="009C6BE2"/>
    <w:rsid w:val="009C718C"/>
    <w:rsid w:val="009C7342"/>
    <w:rsid w:val="009C7345"/>
    <w:rsid w:val="009C7B24"/>
    <w:rsid w:val="009C7BBD"/>
    <w:rsid w:val="009C7FE0"/>
    <w:rsid w:val="009D05CC"/>
    <w:rsid w:val="009D07DD"/>
    <w:rsid w:val="009D09AE"/>
    <w:rsid w:val="009D0EE8"/>
    <w:rsid w:val="009D10F3"/>
    <w:rsid w:val="009D11AB"/>
    <w:rsid w:val="009D1B21"/>
    <w:rsid w:val="009D1CB6"/>
    <w:rsid w:val="009D2A1F"/>
    <w:rsid w:val="009D2BAC"/>
    <w:rsid w:val="009D33BC"/>
    <w:rsid w:val="009D41AC"/>
    <w:rsid w:val="009D4244"/>
    <w:rsid w:val="009D496A"/>
    <w:rsid w:val="009D55EE"/>
    <w:rsid w:val="009D58A8"/>
    <w:rsid w:val="009D5970"/>
    <w:rsid w:val="009D59AE"/>
    <w:rsid w:val="009D5C32"/>
    <w:rsid w:val="009D73F5"/>
    <w:rsid w:val="009D740A"/>
    <w:rsid w:val="009D7D93"/>
    <w:rsid w:val="009E040E"/>
    <w:rsid w:val="009E1385"/>
    <w:rsid w:val="009E15ED"/>
    <w:rsid w:val="009E1607"/>
    <w:rsid w:val="009E1A3F"/>
    <w:rsid w:val="009E21B7"/>
    <w:rsid w:val="009E22AA"/>
    <w:rsid w:val="009E2CF2"/>
    <w:rsid w:val="009E2EA7"/>
    <w:rsid w:val="009E312B"/>
    <w:rsid w:val="009E3966"/>
    <w:rsid w:val="009E41D0"/>
    <w:rsid w:val="009E4844"/>
    <w:rsid w:val="009E4CC2"/>
    <w:rsid w:val="009E5156"/>
    <w:rsid w:val="009E564F"/>
    <w:rsid w:val="009E58C8"/>
    <w:rsid w:val="009E5E7A"/>
    <w:rsid w:val="009E6184"/>
    <w:rsid w:val="009E6333"/>
    <w:rsid w:val="009E655C"/>
    <w:rsid w:val="009E6F2E"/>
    <w:rsid w:val="009E7475"/>
    <w:rsid w:val="009E74E4"/>
    <w:rsid w:val="009E752B"/>
    <w:rsid w:val="009E7FE6"/>
    <w:rsid w:val="009F0A3A"/>
    <w:rsid w:val="009F0BD3"/>
    <w:rsid w:val="009F1A72"/>
    <w:rsid w:val="009F1A79"/>
    <w:rsid w:val="009F1F49"/>
    <w:rsid w:val="009F254C"/>
    <w:rsid w:val="009F2CB1"/>
    <w:rsid w:val="009F3218"/>
    <w:rsid w:val="009F321B"/>
    <w:rsid w:val="009F354F"/>
    <w:rsid w:val="009F394C"/>
    <w:rsid w:val="009F3A44"/>
    <w:rsid w:val="009F4F93"/>
    <w:rsid w:val="009F556C"/>
    <w:rsid w:val="009F63EE"/>
    <w:rsid w:val="009F711E"/>
    <w:rsid w:val="009F7F2B"/>
    <w:rsid w:val="00A0001D"/>
    <w:rsid w:val="00A01037"/>
    <w:rsid w:val="00A0119C"/>
    <w:rsid w:val="00A017D4"/>
    <w:rsid w:val="00A01C9C"/>
    <w:rsid w:val="00A01E3D"/>
    <w:rsid w:val="00A01F05"/>
    <w:rsid w:val="00A0287D"/>
    <w:rsid w:val="00A03332"/>
    <w:rsid w:val="00A0369C"/>
    <w:rsid w:val="00A03771"/>
    <w:rsid w:val="00A04024"/>
    <w:rsid w:val="00A041D1"/>
    <w:rsid w:val="00A04595"/>
    <w:rsid w:val="00A04A8C"/>
    <w:rsid w:val="00A052E4"/>
    <w:rsid w:val="00A0541B"/>
    <w:rsid w:val="00A05DBE"/>
    <w:rsid w:val="00A06208"/>
    <w:rsid w:val="00A0628B"/>
    <w:rsid w:val="00A062C9"/>
    <w:rsid w:val="00A068D9"/>
    <w:rsid w:val="00A06EB9"/>
    <w:rsid w:val="00A1016F"/>
    <w:rsid w:val="00A105AE"/>
    <w:rsid w:val="00A10848"/>
    <w:rsid w:val="00A10996"/>
    <w:rsid w:val="00A10B74"/>
    <w:rsid w:val="00A10C18"/>
    <w:rsid w:val="00A10EC9"/>
    <w:rsid w:val="00A112D6"/>
    <w:rsid w:val="00A11E8D"/>
    <w:rsid w:val="00A11F7F"/>
    <w:rsid w:val="00A1206E"/>
    <w:rsid w:val="00A12648"/>
    <w:rsid w:val="00A13130"/>
    <w:rsid w:val="00A136A9"/>
    <w:rsid w:val="00A13855"/>
    <w:rsid w:val="00A140A3"/>
    <w:rsid w:val="00A15500"/>
    <w:rsid w:val="00A155A6"/>
    <w:rsid w:val="00A15B34"/>
    <w:rsid w:val="00A15BE1"/>
    <w:rsid w:val="00A16421"/>
    <w:rsid w:val="00A1647B"/>
    <w:rsid w:val="00A177A3"/>
    <w:rsid w:val="00A17907"/>
    <w:rsid w:val="00A2072F"/>
    <w:rsid w:val="00A20EFE"/>
    <w:rsid w:val="00A21556"/>
    <w:rsid w:val="00A21776"/>
    <w:rsid w:val="00A21903"/>
    <w:rsid w:val="00A22AF7"/>
    <w:rsid w:val="00A23211"/>
    <w:rsid w:val="00A23A7D"/>
    <w:rsid w:val="00A2405B"/>
    <w:rsid w:val="00A241BB"/>
    <w:rsid w:val="00A25467"/>
    <w:rsid w:val="00A2551C"/>
    <w:rsid w:val="00A25A79"/>
    <w:rsid w:val="00A25C16"/>
    <w:rsid w:val="00A2617B"/>
    <w:rsid w:val="00A264EE"/>
    <w:rsid w:val="00A27672"/>
    <w:rsid w:val="00A27DBB"/>
    <w:rsid w:val="00A27EBC"/>
    <w:rsid w:val="00A27EF7"/>
    <w:rsid w:val="00A30028"/>
    <w:rsid w:val="00A300DA"/>
    <w:rsid w:val="00A301EF"/>
    <w:rsid w:val="00A3040F"/>
    <w:rsid w:val="00A3123A"/>
    <w:rsid w:val="00A3168A"/>
    <w:rsid w:val="00A31713"/>
    <w:rsid w:val="00A31CD2"/>
    <w:rsid w:val="00A32EFA"/>
    <w:rsid w:val="00A335F7"/>
    <w:rsid w:val="00A33696"/>
    <w:rsid w:val="00A339B5"/>
    <w:rsid w:val="00A339FB"/>
    <w:rsid w:val="00A348FE"/>
    <w:rsid w:val="00A34B01"/>
    <w:rsid w:val="00A3521C"/>
    <w:rsid w:val="00A35D28"/>
    <w:rsid w:val="00A35E53"/>
    <w:rsid w:val="00A36254"/>
    <w:rsid w:val="00A36325"/>
    <w:rsid w:val="00A3635F"/>
    <w:rsid w:val="00A368B5"/>
    <w:rsid w:val="00A36905"/>
    <w:rsid w:val="00A36916"/>
    <w:rsid w:val="00A36941"/>
    <w:rsid w:val="00A36BA5"/>
    <w:rsid w:val="00A3747B"/>
    <w:rsid w:val="00A37995"/>
    <w:rsid w:val="00A408EB"/>
    <w:rsid w:val="00A4109A"/>
    <w:rsid w:val="00A4123C"/>
    <w:rsid w:val="00A41312"/>
    <w:rsid w:val="00A4133B"/>
    <w:rsid w:val="00A4189A"/>
    <w:rsid w:val="00A41A4E"/>
    <w:rsid w:val="00A42565"/>
    <w:rsid w:val="00A42621"/>
    <w:rsid w:val="00A436D2"/>
    <w:rsid w:val="00A43752"/>
    <w:rsid w:val="00A4391C"/>
    <w:rsid w:val="00A443B8"/>
    <w:rsid w:val="00A4469D"/>
    <w:rsid w:val="00A452B2"/>
    <w:rsid w:val="00A454E3"/>
    <w:rsid w:val="00A463F3"/>
    <w:rsid w:val="00A46A5C"/>
    <w:rsid w:val="00A47100"/>
    <w:rsid w:val="00A472D1"/>
    <w:rsid w:val="00A47335"/>
    <w:rsid w:val="00A47902"/>
    <w:rsid w:val="00A47B8B"/>
    <w:rsid w:val="00A50258"/>
    <w:rsid w:val="00A5085F"/>
    <w:rsid w:val="00A51149"/>
    <w:rsid w:val="00A52796"/>
    <w:rsid w:val="00A53AB4"/>
    <w:rsid w:val="00A53DBB"/>
    <w:rsid w:val="00A53FB6"/>
    <w:rsid w:val="00A5498C"/>
    <w:rsid w:val="00A549E2"/>
    <w:rsid w:val="00A54FE4"/>
    <w:rsid w:val="00A5541A"/>
    <w:rsid w:val="00A56092"/>
    <w:rsid w:val="00A567CB"/>
    <w:rsid w:val="00A57263"/>
    <w:rsid w:val="00A57B23"/>
    <w:rsid w:val="00A57C29"/>
    <w:rsid w:val="00A57DEC"/>
    <w:rsid w:val="00A60C13"/>
    <w:rsid w:val="00A615A6"/>
    <w:rsid w:val="00A61AD5"/>
    <w:rsid w:val="00A61C95"/>
    <w:rsid w:val="00A62ADC"/>
    <w:rsid w:val="00A62DEF"/>
    <w:rsid w:val="00A637C6"/>
    <w:rsid w:val="00A63824"/>
    <w:rsid w:val="00A63A5F"/>
    <w:rsid w:val="00A63D9A"/>
    <w:rsid w:val="00A63FAB"/>
    <w:rsid w:val="00A6458B"/>
    <w:rsid w:val="00A64688"/>
    <w:rsid w:val="00A649B7"/>
    <w:rsid w:val="00A64C0E"/>
    <w:rsid w:val="00A65221"/>
    <w:rsid w:val="00A65327"/>
    <w:rsid w:val="00A6533E"/>
    <w:rsid w:val="00A653AC"/>
    <w:rsid w:val="00A65632"/>
    <w:rsid w:val="00A65BF7"/>
    <w:rsid w:val="00A65DCD"/>
    <w:rsid w:val="00A66506"/>
    <w:rsid w:val="00A66E2A"/>
    <w:rsid w:val="00A6769C"/>
    <w:rsid w:val="00A67E65"/>
    <w:rsid w:val="00A67E6C"/>
    <w:rsid w:val="00A67FE1"/>
    <w:rsid w:val="00A70081"/>
    <w:rsid w:val="00A703C1"/>
    <w:rsid w:val="00A70642"/>
    <w:rsid w:val="00A7067D"/>
    <w:rsid w:val="00A70761"/>
    <w:rsid w:val="00A712E0"/>
    <w:rsid w:val="00A7189A"/>
    <w:rsid w:val="00A71C9E"/>
    <w:rsid w:val="00A71DDE"/>
    <w:rsid w:val="00A7228B"/>
    <w:rsid w:val="00A72855"/>
    <w:rsid w:val="00A72A7B"/>
    <w:rsid w:val="00A72B75"/>
    <w:rsid w:val="00A73038"/>
    <w:rsid w:val="00A7328F"/>
    <w:rsid w:val="00A737C5"/>
    <w:rsid w:val="00A73F8D"/>
    <w:rsid w:val="00A74754"/>
    <w:rsid w:val="00A749FD"/>
    <w:rsid w:val="00A74B8A"/>
    <w:rsid w:val="00A74C77"/>
    <w:rsid w:val="00A74D94"/>
    <w:rsid w:val="00A74FBE"/>
    <w:rsid w:val="00A75387"/>
    <w:rsid w:val="00A758BE"/>
    <w:rsid w:val="00A75C2A"/>
    <w:rsid w:val="00A7668A"/>
    <w:rsid w:val="00A76713"/>
    <w:rsid w:val="00A76BC8"/>
    <w:rsid w:val="00A76C99"/>
    <w:rsid w:val="00A76F14"/>
    <w:rsid w:val="00A76F6E"/>
    <w:rsid w:val="00A775D5"/>
    <w:rsid w:val="00A77611"/>
    <w:rsid w:val="00A800C8"/>
    <w:rsid w:val="00A801F8"/>
    <w:rsid w:val="00A80DC3"/>
    <w:rsid w:val="00A811CB"/>
    <w:rsid w:val="00A81D00"/>
    <w:rsid w:val="00A81D2F"/>
    <w:rsid w:val="00A81E59"/>
    <w:rsid w:val="00A81EBE"/>
    <w:rsid w:val="00A826F1"/>
    <w:rsid w:val="00A82712"/>
    <w:rsid w:val="00A82D02"/>
    <w:rsid w:val="00A8304F"/>
    <w:rsid w:val="00A83369"/>
    <w:rsid w:val="00A83A27"/>
    <w:rsid w:val="00A8428C"/>
    <w:rsid w:val="00A84364"/>
    <w:rsid w:val="00A84CD0"/>
    <w:rsid w:val="00A858E9"/>
    <w:rsid w:val="00A85E5B"/>
    <w:rsid w:val="00A85E73"/>
    <w:rsid w:val="00A85EC0"/>
    <w:rsid w:val="00A86ED1"/>
    <w:rsid w:val="00A86F9B"/>
    <w:rsid w:val="00A87A64"/>
    <w:rsid w:val="00A915F4"/>
    <w:rsid w:val="00A916EF"/>
    <w:rsid w:val="00A917A9"/>
    <w:rsid w:val="00A91C36"/>
    <w:rsid w:val="00A91D41"/>
    <w:rsid w:val="00A926F4"/>
    <w:rsid w:val="00A93F51"/>
    <w:rsid w:val="00A940CD"/>
    <w:rsid w:val="00A94153"/>
    <w:rsid w:val="00A947D6"/>
    <w:rsid w:val="00A96010"/>
    <w:rsid w:val="00A9684D"/>
    <w:rsid w:val="00A97402"/>
    <w:rsid w:val="00A97873"/>
    <w:rsid w:val="00AA0426"/>
    <w:rsid w:val="00AA0B30"/>
    <w:rsid w:val="00AA0CEA"/>
    <w:rsid w:val="00AA0EFF"/>
    <w:rsid w:val="00AA1D97"/>
    <w:rsid w:val="00AA1E6C"/>
    <w:rsid w:val="00AA23B0"/>
    <w:rsid w:val="00AA29DC"/>
    <w:rsid w:val="00AA2B4F"/>
    <w:rsid w:val="00AA321D"/>
    <w:rsid w:val="00AA3259"/>
    <w:rsid w:val="00AA383C"/>
    <w:rsid w:val="00AA3C4B"/>
    <w:rsid w:val="00AA44B5"/>
    <w:rsid w:val="00AA44CD"/>
    <w:rsid w:val="00AA4B32"/>
    <w:rsid w:val="00AA4CFF"/>
    <w:rsid w:val="00AA4D52"/>
    <w:rsid w:val="00AA4F04"/>
    <w:rsid w:val="00AA5170"/>
    <w:rsid w:val="00AA532E"/>
    <w:rsid w:val="00AA5773"/>
    <w:rsid w:val="00AA5E6F"/>
    <w:rsid w:val="00AA60AB"/>
    <w:rsid w:val="00AA6669"/>
    <w:rsid w:val="00AA690A"/>
    <w:rsid w:val="00AA6AB3"/>
    <w:rsid w:val="00AA6D26"/>
    <w:rsid w:val="00AA74C0"/>
    <w:rsid w:val="00AB0541"/>
    <w:rsid w:val="00AB09EE"/>
    <w:rsid w:val="00AB1065"/>
    <w:rsid w:val="00AB1717"/>
    <w:rsid w:val="00AB19B4"/>
    <w:rsid w:val="00AB2400"/>
    <w:rsid w:val="00AB25DF"/>
    <w:rsid w:val="00AB2F78"/>
    <w:rsid w:val="00AB2FCB"/>
    <w:rsid w:val="00AB4DCD"/>
    <w:rsid w:val="00AB4F87"/>
    <w:rsid w:val="00AB5377"/>
    <w:rsid w:val="00AB5B77"/>
    <w:rsid w:val="00AB6A49"/>
    <w:rsid w:val="00AB763D"/>
    <w:rsid w:val="00AB7891"/>
    <w:rsid w:val="00AB7B94"/>
    <w:rsid w:val="00AB7D08"/>
    <w:rsid w:val="00AB7F83"/>
    <w:rsid w:val="00AC0B81"/>
    <w:rsid w:val="00AC1D7C"/>
    <w:rsid w:val="00AC2090"/>
    <w:rsid w:val="00AC2300"/>
    <w:rsid w:val="00AC328A"/>
    <w:rsid w:val="00AC3451"/>
    <w:rsid w:val="00AC3506"/>
    <w:rsid w:val="00AC37C7"/>
    <w:rsid w:val="00AC387E"/>
    <w:rsid w:val="00AC4DD2"/>
    <w:rsid w:val="00AC5210"/>
    <w:rsid w:val="00AC54BD"/>
    <w:rsid w:val="00AC5BDF"/>
    <w:rsid w:val="00AC5DA2"/>
    <w:rsid w:val="00AC662A"/>
    <w:rsid w:val="00AC665E"/>
    <w:rsid w:val="00AC6752"/>
    <w:rsid w:val="00AC6903"/>
    <w:rsid w:val="00AC6B95"/>
    <w:rsid w:val="00AC6E76"/>
    <w:rsid w:val="00AC722F"/>
    <w:rsid w:val="00AC7290"/>
    <w:rsid w:val="00AC7669"/>
    <w:rsid w:val="00AC79C9"/>
    <w:rsid w:val="00AD03B9"/>
    <w:rsid w:val="00AD0AF6"/>
    <w:rsid w:val="00AD1000"/>
    <w:rsid w:val="00AD277E"/>
    <w:rsid w:val="00AD343E"/>
    <w:rsid w:val="00AD3A02"/>
    <w:rsid w:val="00AD3B2B"/>
    <w:rsid w:val="00AD4267"/>
    <w:rsid w:val="00AD476A"/>
    <w:rsid w:val="00AD47AA"/>
    <w:rsid w:val="00AD4ABF"/>
    <w:rsid w:val="00AD4C67"/>
    <w:rsid w:val="00AD52D1"/>
    <w:rsid w:val="00AD54E1"/>
    <w:rsid w:val="00AD54E5"/>
    <w:rsid w:val="00AD5632"/>
    <w:rsid w:val="00AD5B3B"/>
    <w:rsid w:val="00AD5F10"/>
    <w:rsid w:val="00AD6222"/>
    <w:rsid w:val="00AD6306"/>
    <w:rsid w:val="00AD6718"/>
    <w:rsid w:val="00AD67DE"/>
    <w:rsid w:val="00AD7076"/>
    <w:rsid w:val="00AD739C"/>
    <w:rsid w:val="00AE0451"/>
    <w:rsid w:val="00AE070A"/>
    <w:rsid w:val="00AE0712"/>
    <w:rsid w:val="00AE0764"/>
    <w:rsid w:val="00AE0967"/>
    <w:rsid w:val="00AE16D1"/>
    <w:rsid w:val="00AE1BC1"/>
    <w:rsid w:val="00AE1BD1"/>
    <w:rsid w:val="00AE1DBE"/>
    <w:rsid w:val="00AE276C"/>
    <w:rsid w:val="00AE3DF4"/>
    <w:rsid w:val="00AE41D4"/>
    <w:rsid w:val="00AE4788"/>
    <w:rsid w:val="00AE4BEA"/>
    <w:rsid w:val="00AE4C6D"/>
    <w:rsid w:val="00AE4F91"/>
    <w:rsid w:val="00AE50A3"/>
    <w:rsid w:val="00AE54FF"/>
    <w:rsid w:val="00AE563F"/>
    <w:rsid w:val="00AE6595"/>
    <w:rsid w:val="00AE6B0B"/>
    <w:rsid w:val="00AE7185"/>
    <w:rsid w:val="00AE71A8"/>
    <w:rsid w:val="00AE74AF"/>
    <w:rsid w:val="00AE74B3"/>
    <w:rsid w:val="00AE7530"/>
    <w:rsid w:val="00AE7678"/>
    <w:rsid w:val="00AE7891"/>
    <w:rsid w:val="00AE7940"/>
    <w:rsid w:val="00AE7998"/>
    <w:rsid w:val="00AE7EA4"/>
    <w:rsid w:val="00AF0329"/>
    <w:rsid w:val="00AF0774"/>
    <w:rsid w:val="00AF11B5"/>
    <w:rsid w:val="00AF1F48"/>
    <w:rsid w:val="00AF2007"/>
    <w:rsid w:val="00AF2612"/>
    <w:rsid w:val="00AF2F60"/>
    <w:rsid w:val="00AF3889"/>
    <w:rsid w:val="00AF39DC"/>
    <w:rsid w:val="00AF3B73"/>
    <w:rsid w:val="00AF3BD3"/>
    <w:rsid w:val="00AF3F13"/>
    <w:rsid w:val="00AF3FE3"/>
    <w:rsid w:val="00AF4442"/>
    <w:rsid w:val="00AF4A53"/>
    <w:rsid w:val="00AF4F33"/>
    <w:rsid w:val="00AF52DC"/>
    <w:rsid w:val="00AF5D65"/>
    <w:rsid w:val="00AF6195"/>
    <w:rsid w:val="00AF6305"/>
    <w:rsid w:val="00AF6A68"/>
    <w:rsid w:val="00AF6FC7"/>
    <w:rsid w:val="00AF72F9"/>
    <w:rsid w:val="00B001C6"/>
    <w:rsid w:val="00B008DF"/>
    <w:rsid w:val="00B00BB3"/>
    <w:rsid w:val="00B00E5C"/>
    <w:rsid w:val="00B011D8"/>
    <w:rsid w:val="00B0131B"/>
    <w:rsid w:val="00B014AD"/>
    <w:rsid w:val="00B01819"/>
    <w:rsid w:val="00B018F4"/>
    <w:rsid w:val="00B0225E"/>
    <w:rsid w:val="00B022D8"/>
    <w:rsid w:val="00B02540"/>
    <w:rsid w:val="00B02836"/>
    <w:rsid w:val="00B02E5C"/>
    <w:rsid w:val="00B039AB"/>
    <w:rsid w:val="00B039E9"/>
    <w:rsid w:val="00B03B7D"/>
    <w:rsid w:val="00B04129"/>
    <w:rsid w:val="00B04DC3"/>
    <w:rsid w:val="00B04EED"/>
    <w:rsid w:val="00B0529B"/>
    <w:rsid w:val="00B05302"/>
    <w:rsid w:val="00B05AC2"/>
    <w:rsid w:val="00B05E03"/>
    <w:rsid w:val="00B0644E"/>
    <w:rsid w:val="00B0675C"/>
    <w:rsid w:val="00B10403"/>
    <w:rsid w:val="00B1077D"/>
    <w:rsid w:val="00B107AF"/>
    <w:rsid w:val="00B10841"/>
    <w:rsid w:val="00B10B1F"/>
    <w:rsid w:val="00B11176"/>
    <w:rsid w:val="00B11A6E"/>
    <w:rsid w:val="00B123B7"/>
    <w:rsid w:val="00B13CB1"/>
    <w:rsid w:val="00B14BEA"/>
    <w:rsid w:val="00B167CE"/>
    <w:rsid w:val="00B16B62"/>
    <w:rsid w:val="00B16DD7"/>
    <w:rsid w:val="00B17902"/>
    <w:rsid w:val="00B17A2E"/>
    <w:rsid w:val="00B17C66"/>
    <w:rsid w:val="00B20292"/>
    <w:rsid w:val="00B206B1"/>
    <w:rsid w:val="00B22004"/>
    <w:rsid w:val="00B228AD"/>
    <w:rsid w:val="00B22C0A"/>
    <w:rsid w:val="00B22F42"/>
    <w:rsid w:val="00B22FF9"/>
    <w:rsid w:val="00B23F87"/>
    <w:rsid w:val="00B24213"/>
    <w:rsid w:val="00B242E1"/>
    <w:rsid w:val="00B244B0"/>
    <w:rsid w:val="00B24980"/>
    <w:rsid w:val="00B250B5"/>
    <w:rsid w:val="00B250D5"/>
    <w:rsid w:val="00B25B42"/>
    <w:rsid w:val="00B2635D"/>
    <w:rsid w:val="00B267F1"/>
    <w:rsid w:val="00B2725F"/>
    <w:rsid w:val="00B27998"/>
    <w:rsid w:val="00B308E1"/>
    <w:rsid w:val="00B30FEF"/>
    <w:rsid w:val="00B31431"/>
    <w:rsid w:val="00B316BA"/>
    <w:rsid w:val="00B31D3D"/>
    <w:rsid w:val="00B32623"/>
    <w:rsid w:val="00B32BC9"/>
    <w:rsid w:val="00B331DC"/>
    <w:rsid w:val="00B33BCF"/>
    <w:rsid w:val="00B3520E"/>
    <w:rsid w:val="00B35546"/>
    <w:rsid w:val="00B3556A"/>
    <w:rsid w:val="00B35594"/>
    <w:rsid w:val="00B3580D"/>
    <w:rsid w:val="00B359BE"/>
    <w:rsid w:val="00B366E5"/>
    <w:rsid w:val="00B36B6D"/>
    <w:rsid w:val="00B3756E"/>
    <w:rsid w:val="00B401AE"/>
    <w:rsid w:val="00B402BB"/>
    <w:rsid w:val="00B403A3"/>
    <w:rsid w:val="00B40F44"/>
    <w:rsid w:val="00B414AF"/>
    <w:rsid w:val="00B41708"/>
    <w:rsid w:val="00B41F7E"/>
    <w:rsid w:val="00B4206F"/>
    <w:rsid w:val="00B42998"/>
    <w:rsid w:val="00B42DF1"/>
    <w:rsid w:val="00B4301A"/>
    <w:rsid w:val="00B43B6A"/>
    <w:rsid w:val="00B43FF7"/>
    <w:rsid w:val="00B4438B"/>
    <w:rsid w:val="00B450DF"/>
    <w:rsid w:val="00B453BE"/>
    <w:rsid w:val="00B45979"/>
    <w:rsid w:val="00B45ACE"/>
    <w:rsid w:val="00B46241"/>
    <w:rsid w:val="00B46422"/>
    <w:rsid w:val="00B46735"/>
    <w:rsid w:val="00B468A0"/>
    <w:rsid w:val="00B46FDC"/>
    <w:rsid w:val="00B47896"/>
    <w:rsid w:val="00B47C72"/>
    <w:rsid w:val="00B47D36"/>
    <w:rsid w:val="00B507E9"/>
    <w:rsid w:val="00B50878"/>
    <w:rsid w:val="00B50894"/>
    <w:rsid w:val="00B50D0F"/>
    <w:rsid w:val="00B51EF7"/>
    <w:rsid w:val="00B5205A"/>
    <w:rsid w:val="00B52363"/>
    <w:rsid w:val="00B524C0"/>
    <w:rsid w:val="00B52693"/>
    <w:rsid w:val="00B52CF9"/>
    <w:rsid w:val="00B52D9E"/>
    <w:rsid w:val="00B52E12"/>
    <w:rsid w:val="00B530F8"/>
    <w:rsid w:val="00B53C31"/>
    <w:rsid w:val="00B5445A"/>
    <w:rsid w:val="00B555A9"/>
    <w:rsid w:val="00B55A15"/>
    <w:rsid w:val="00B55A1E"/>
    <w:rsid w:val="00B55E82"/>
    <w:rsid w:val="00B563AF"/>
    <w:rsid w:val="00B563E9"/>
    <w:rsid w:val="00B56634"/>
    <w:rsid w:val="00B56902"/>
    <w:rsid w:val="00B56922"/>
    <w:rsid w:val="00B56B70"/>
    <w:rsid w:val="00B57983"/>
    <w:rsid w:val="00B57C81"/>
    <w:rsid w:val="00B6036B"/>
    <w:rsid w:val="00B604C8"/>
    <w:rsid w:val="00B60ED0"/>
    <w:rsid w:val="00B611C4"/>
    <w:rsid w:val="00B61427"/>
    <w:rsid w:val="00B61DD4"/>
    <w:rsid w:val="00B61DE7"/>
    <w:rsid w:val="00B61FBA"/>
    <w:rsid w:val="00B62189"/>
    <w:rsid w:val="00B627E7"/>
    <w:rsid w:val="00B6283F"/>
    <w:rsid w:val="00B62B35"/>
    <w:rsid w:val="00B62F33"/>
    <w:rsid w:val="00B630AC"/>
    <w:rsid w:val="00B63937"/>
    <w:rsid w:val="00B65066"/>
    <w:rsid w:val="00B6668D"/>
    <w:rsid w:val="00B666B9"/>
    <w:rsid w:val="00B66A3F"/>
    <w:rsid w:val="00B66A94"/>
    <w:rsid w:val="00B66F81"/>
    <w:rsid w:val="00B67034"/>
    <w:rsid w:val="00B67145"/>
    <w:rsid w:val="00B677F1"/>
    <w:rsid w:val="00B67914"/>
    <w:rsid w:val="00B703D6"/>
    <w:rsid w:val="00B707AF"/>
    <w:rsid w:val="00B70882"/>
    <w:rsid w:val="00B709B8"/>
    <w:rsid w:val="00B70EC6"/>
    <w:rsid w:val="00B72D75"/>
    <w:rsid w:val="00B72F97"/>
    <w:rsid w:val="00B741EF"/>
    <w:rsid w:val="00B747A2"/>
    <w:rsid w:val="00B75001"/>
    <w:rsid w:val="00B75086"/>
    <w:rsid w:val="00B7532D"/>
    <w:rsid w:val="00B75D6E"/>
    <w:rsid w:val="00B75F72"/>
    <w:rsid w:val="00B76DC1"/>
    <w:rsid w:val="00B77CFD"/>
    <w:rsid w:val="00B800B7"/>
    <w:rsid w:val="00B80425"/>
    <w:rsid w:val="00B805C4"/>
    <w:rsid w:val="00B80D1E"/>
    <w:rsid w:val="00B81548"/>
    <w:rsid w:val="00B81633"/>
    <w:rsid w:val="00B81EDF"/>
    <w:rsid w:val="00B81F81"/>
    <w:rsid w:val="00B82FF5"/>
    <w:rsid w:val="00B83A38"/>
    <w:rsid w:val="00B83D46"/>
    <w:rsid w:val="00B84147"/>
    <w:rsid w:val="00B846BB"/>
    <w:rsid w:val="00B850CE"/>
    <w:rsid w:val="00B85CE0"/>
    <w:rsid w:val="00B862C0"/>
    <w:rsid w:val="00B863D9"/>
    <w:rsid w:val="00B864BA"/>
    <w:rsid w:val="00B86C03"/>
    <w:rsid w:val="00B86E98"/>
    <w:rsid w:val="00B87DD9"/>
    <w:rsid w:val="00B90192"/>
    <w:rsid w:val="00B9019E"/>
    <w:rsid w:val="00B90A0B"/>
    <w:rsid w:val="00B90A49"/>
    <w:rsid w:val="00B90B9B"/>
    <w:rsid w:val="00B90C7D"/>
    <w:rsid w:val="00B91455"/>
    <w:rsid w:val="00B919E1"/>
    <w:rsid w:val="00B91AD9"/>
    <w:rsid w:val="00B91E87"/>
    <w:rsid w:val="00B92313"/>
    <w:rsid w:val="00B92DE5"/>
    <w:rsid w:val="00B932DB"/>
    <w:rsid w:val="00B933BC"/>
    <w:rsid w:val="00B93791"/>
    <w:rsid w:val="00B93921"/>
    <w:rsid w:val="00B93C44"/>
    <w:rsid w:val="00B93C72"/>
    <w:rsid w:val="00B94562"/>
    <w:rsid w:val="00B945A2"/>
    <w:rsid w:val="00B94702"/>
    <w:rsid w:val="00B94A97"/>
    <w:rsid w:val="00B94EE8"/>
    <w:rsid w:val="00B962AB"/>
    <w:rsid w:val="00B966B6"/>
    <w:rsid w:val="00B96717"/>
    <w:rsid w:val="00B968F5"/>
    <w:rsid w:val="00B96C66"/>
    <w:rsid w:val="00B96E7B"/>
    <w:rsid w:val="00B9761E"/>
    <w:rsid w:val="00B97B6F"/>
    <w:rsid w:val="00BA05AF"/>
    <w:rsid w:val="00BA0622"/>
    <w:rsid w:val="00BA096B"/>
    <w:rsid w:val="00BA13D0"/>
    <w:rsid w:val="00BA1C0C"/>
    <w:rsid w:val="00BA1C65"/>
    <w:rsid w:val="00BA1F66"/>
    <w:rsid w:val="00BA23AE"/>
    <w:rsid w:val="00BA260D"/>
    <w:rsid w:val="00BA2A52"/>
    <w:rsid w:val="00BA2F50"/>
    <w:rsid w:val="00BA320A"/>
    <w:rsid w:val="00BA3293"/>
    <w:rsid w:val="00BA3475"/>
    <w:rsid w:val="00BA35C3"/>
    <w:rsid w:val="00BA3A6F"/>
    <w:rsid w:val="00BA3C29"/>
    <w:rsid w:val="00BA3F2E"/>
    <w:rsid w:val="00BA403D"/>
    <w:rsid w:val="00BA4110"/>
    <w:rsid w:val="00BA4357"/>
    <w:rsid w:val="00BA4760"/>
    <w:rsid w:val="00BA4FF0"/>
    <w:rsid w:val="00BA58D9"/>
    <w:rsid w:val="00BA5FB5"/>
    <w:rsid w:val="00BA6306"/>
    <w:rsid w:val="00BA6E60"/>
    <w:rsid w:val="00BA7003"/>
    <w:rsid w:val="00BA71ED"/>
    <w:rsid w:val="00BA79D3"/>
    <w:rsid w:val="00BA7CCE"/>
    <w:rsid w:val="00BB0517"/>
    <w:rsid w:val="00BB065D"/>
    <w:rsid w:val="00BB14CF"/>
    <w:rsid w:val="00BB17C8"/>
    <w:rsid w:val="00BB1CF9"/>
    <w:rsid w:val="00BB2101"/>
    <w:rsid w:val="00BB2133"/>
    <w:rsid w:val="00BB26DC"/>
    <w:rsid w:val="00BB27D3"/>
    <w:rsid w:val="00BB2C04"/>
    <w:rsid w:val="00BB30F3"/>
    <w:rsid w:val="00BB315F"/>
    <w:rsid w:val="00BB3186"/>
    <w:rsid w:val="00BB325E"/>
    <w:rsid w:val="00BB3D90"/>
    <w:rsid w:val="00BB48F1"/>
    <w:rsid w:val="00BB5036"/>
    <w:rsid w:val="00BB5BAF"/>
    <w:rsid w:val="00BB5F46"/>
    <w:rsid w:val="00BB6218"/>
    <w:rsid w:val="00BB6888"/>
    <w:rsid w:val="00BB6EFD"/>
    <w:rsid w:val="00BB75F8"/>
    <w:rsid w:val="00BB7709"/>
    <w:rsid w:val="00BB779D"/>
    <w:rsid w:val="00BB7899"/>
    <w:rsid w:val="00BB789F"/>
    <w:rsid w:val="00BB7A4D"/>
    <w:rsid w:val="00BC068E"/>
    <w:rsid w:val="00BC107E"/>
    <w:rsid w:val="00BC1C7C"/>
    <w:rsid w:val="00BC205F"/>
    <w:rsid w:val="00BC31E2"/>
    <w:rsid w:val="00BC3D44"/>
    <w:rsid w:val="00BC4213"/>
    <w:rsid w:val="00BC4C7F"/>
    <w:rsid w:val="00BC4FF8"/>
    <w:rsid w:val="00BC5C80"/>
    <w:rsid w:val="00BC5D5B"/>
    <w:rsid w:val="00BC5F08"/>
    <w:rsid w:val="00BC6161"/>
    <w:rsid w:val="00BC65A4"/>
    <w:rsid w:val="00BC65B2"/>
    <w:rsid w:val="00BC717C"/>
    <w:rsid w:val="00BC75B3"/>
    <w:rsid w:val="00BC7B04"/>
    <w:rsid w:val="00BC7E15"/>
    <w:rsid w:val="00BC7E36"/>
    <w:rsid w:val="00BD020B"/>
    <w:rsid w:val="00BD024E"/>
    <w:rsid w:val="00BD09B1"/>
    <w:rsid w:val="00BD0FE8"/>
    <w:rsid w:val="00BD16D6"/>
    <w:rsid w:val="00BD1B72"/>
    <w:rsid w:val="00BD2DE6"/>
    <w:rsid w:val="00BD31B3"/>
    <w:rsid w:val="00BD38B1"/>
    <w:rsid w:val="00BD3BB5"/>
    <w:rsid w:val="00BD41C0"/>
    <w:rsid w:val="00BD4295"/>
    <w:rsid w:val="00BD485C"/>
    <w:rsid w:val="00BD4AA0"/>
    <w:rsid w:val="00BD521B"/>
    <w:rsid w:val="00BD522C"/>
    <w:rsid w:val="00BD5E89"/>
    <w:rsid w:val="00BD6053"/>
    <w:rsid w:val="00BD6593"/>
    <w:rsid w:val="00BD66B2"/>
    <w:rsid w:val="00BD71AD"/>
    <w:rsid w:val="00BD7633"/>
    <w:rsid w:val="00BD76B1"/>
    <w:rsid w:val="00BD7725"/>
    <w:rsid w:val="00BD782C"/>
    <w:rsid w:val="00BD786C"/>
    <w:rsid w:val="00BD78AD"/>
    <w:rsid w:val="00BD78F4"/>
    <w:rsid w:val="00BD78FF"/>
    <w:rsid w:val="00BD7CDA"/>
    <w:rsid w:val="00BE0154"/>
    <w:rsid w:val="00BE04EC"/>
    <w:rsid w:val="00BE0F6C"/>
    <w:rsid w:val="00BE168E"/>
    <w:rsid w:val="00BE1821"/>
    <w:rsid w:val="00BE1BC9"/>
    <w:rsid w:val="00BE1D73"/>
    <w:rsid w:val="00BE1E0F"/>
    <w:rsid w:val="00BE1EC9"/>
    <w:rsid w:val="00BE1F09"/>
    <w:rsid w:val="00BE26F9"/>
    <w:rsid w:val="00BE2DD8"/>
    <w:rsid w:val="00BE301A"/>
    <w:rsid w:val="00BE32D0"/>
    <w:rsid w:val="00BE400A"/>
    <w:rsid w:val="00BE458A"/>
    <w:rsid w:val="00BE4BE8"/>
    <w:rsid w:val="00BE4E51"/>
    <w:rsid w:val="00BE57E3"/>
    <w:rsid w:val="00BE5D07"/>
    <w:rsid w:val="00BE61FC"/>
    <w:rsid w:val="00BE7A1E"/>
    <w:rsid w:val="00BF0159"/>
    <w:rsid w:val="00BF03E8"/>
    <w:rsid w:val="00BF0BB5"/>
    <w:rsid w:val="00BF0D84"/>
    <w:rsid w:val="00BF1423"/>
    <w:rsid w:val="00BF18FE"/>
    <w:rsid w:val="00BF1C55"/>
    <w:rsid w:val="00BF1F5C"/>
    <w:rsid w:val="00BF224A"/>
    <w:rsid w:val="00BF272F"/>
    <w:rsid w:val="00BF28A4"/>
    <w:rsid w:val="00BF2E27"/>
    <w:rsid w:val="00BF37C5"/>
    <w:rsid w:val="00BF3AAA"/>
    <w:rsid w:val="00BF3C20"/>
    <w:rsid w:val="00BF42FD"/>
    <w:rsid w:val="00BF4810"/>
    <w:rsid w:val="00BF497A"/>
    <w:rsid w:val="00BF4AC8"/>
    <w:rsid w:val="00BF4E3E"/>
    <w:rsid w:val="00BF5598"/>
    <w:rsid w:val="00BF5BF6"/>
    <w:rsid w:val="00BF5E37"/>
    <w:rsid w:val="00BF6983"/>
    <w:rsid w:val="00BF6A86"/>
    <w:rsid w:val="00BF70D4"/>
    <w:rsid w:val="00BF71E4"/>
    <w:rsid w:val="00BF7206"/>
    <w:rsid w:val="00BF7831"/>
    <w:rsid w:val="00BF7B13"/>
    <w:rsid w:val="00BF7F37"/>
    <w:rsid w:val="00C000A0"/>
    <w:rsid w:val="00C00865"/>
    <w:rsid w:val="00C010A6"/>
    <w:rsid w:val="00C0153B"/>
    <w:rsid w:val="00C0163D"/>
    <w:rsid w:val="00C017CA"/>
    <w:rsid w:val="00C02152"/>
    <w:rsid w:val="00C0264E"/>
    <w:rsid w:val="00C035DE"/>
    <w:rsid w:val="00C03CE8"/>
    <w:rsid w:val="00C04252"/>
    <w:rsid w:val="00C0475E"/>
    <w:rsid w:val="00C0494D"/>
    <w:rsid w:val="00C0531C"/>
    <w:rsid w:val="00C05806"/>
    <w:rsid w:val="00C05FA3"/>
    <w:rsid w:val="00C06A1F"/>
    <w:rsid w:val="00C06D0D"/>
    <w:rsid w:val="00C07158"/>
    <w:rsid w:val="00C073A5"/>
    <w:rsid w:val="00C108A9"/>
    <w:rsid w:val="00C10D63"/>
    <w:rsid w:val="00C12181"/>
    <w:rsid w:val="00C123A3"/>
    <w:rsid w:val="00C12466"/>
    <w:rsid w:val="00C12553"/>
    <w:rsid w:val="00C13F2B"/>
    <w:rsid w:val="00C141FB"/>
    <w:rsid w:val="00C143BD"/>
    <w:rsid w:val="00C1441B"/>
    <w:rsid w:val="00C14FB5"/>
    <w:rsid w:val="00C151EC"/>
    <w:rsid w:val="00C1544B"/>
    <w:rsid w:val="00C15A04"/>
    <w:rsid w:val="00C15D35"/>
    <w:rsid w:val="00C1656A"/>
    <w:rsid w:val="00C166FD"/>
    <w:rsid w:val="00C16815"/>
    <w:rsid w:val="00C16951"/>
    <w:rsid w:val="00C17D4D"/>
    <w:rsid w:val="00C205F8"/>
    <w:rsid w:val="00C20EBC"/>
    <w:rsid w:val="00C2100C"/>
    <w:rsid w:val="00C2106B"/>
    <w:rsid w:val="00C21175"/>
    <w:rsid w:val="00C226C2"/>
    <w:rsid w:val="00C2297F"/>
    <w:rsid w:val="00C22CC3"/>
    <w:rsid w:val="00C22DE8"/>
    <w:rsid w:val="00C2305A"/>
    <w:rsid w:val="00C23CC9"/>
    <w:rsid w:val="00C24114"/>
    <w:rsid w:val="00C24503"/>
    <w:rsid w:val="00C2450A"/>
    <w:rsid w:val="00C248DB"/>
    <w:rsid w:val="00C248DD"/>
    <w:rsid w:val="00C2492B"/>
    <w:rsid w:val="00C2557A"/>
    <w:rsid w:val="00C255F6"/>
    <w:rsid w:val="00C256E7"/>
    <w:rsid w:val="00C25831"/>
    <w:rsid w:val="00C2605E"/>
    <w:rsid w:val="00C262C5"/>
    <w:rsid w:val="00C264DE"/>
    <w:rsid w:val="00C26EDD"/>
    <w:rsid w:val="00C27400"/>
    <w:rsid w:val="00C27BF6"/>
    <w:rsid w:val="00C27C80"/>
    <w:rsid w:val="00C27C9C"/>
    <w:rsid w:val="00C30482"/>
    <w:rsid w:val="00C30577"/>
    <w:rsid w:val="00C30B3D"/>
    <w:rsid w:val="00C30BEF"/>
    <w:rsid w:val="00C30D62"/>
    <w:rsid w:val="00C30DC6"/>
    <w:rsid w:val="00C31631"/>
    <w:rsid w:val="00C316BC"/>
    <w:rsid w:val="00C31C71"/>
    <w:rsid w:val="00C31E72"/>
    <w:rsid w:val="00C32004"/>
    <w:rsid w:val="00C323BD"/>
    <w:rsid w:val="00C32DB9"/>
    <w:rsid w:val="00C33180"/>
    <w:rsid w:val="00C33462"/>
    <w:rsid w:val="00C33AE2"/>
    <w:rsid w:val="00C34138"/>
    <w:rsid w:val="00C34324"/>
    <w:rsid w:val="00C344E9"/>
    <w:rsid w:val="00C3492B"/>
    <w:rsid w:val="00C34969"/>
    <w:rsid w:val="00C34B08"/>
    <w:rsid w:val="00C35315"/>
    <w:rsid w:val="00C35554"/>
    <w:rsid w:val="00C3555A"/>
    <w:rsid w:val="00C3626C"/>
    <w:rsid w:val="00C364C5"/>
    <w:rsid w:val="00C36CE9"/>
    <w:rsid w:val="00C37741"/>
    <w:rsid w:val="00C37E3D"/>
    <w:rsid w:val="00C4041E"/>
    <w:rsid w:val="00C40C64"/>
    <w:rsid w:val="00C41011"/>
    <w:rsid w:val="00C42239"/>
    <w:rsid w:val="00C433C4"/>
    <w:rsid w:val="00C43B8B"/>
    <w:rsid w:val="00C43FBA"/>
    <w:rsid w:val="00C441CC"/>
    <w:rsid w:val="00C44475"/>
    <w:rsid w:val="00C44F87"/>
    <w:rsid w:val="00C451F2"/>
    <w:rsid w:val="00C45757"/>
    <w:rsid w:val="00C4609E"/>
    <w:rsid w:val="00C46807"/>
    <w:rsid w:val="00C4699B"/>
    <w:rsid w:val="00C47D44"/>
    <w:rsid w:val="00C50B1E"/>
    <w:rsid w:val="00C51C72"/>
    <w:rsid w:val="00C51CB1"/>
    <w:rsid w:val="00C51F30"/>
    <w:rsid w:val="00C521B4"/>
    <w:rsid w:val="00C52914"/>
    <w:rsid w:val="00C539F2"/>
    <w:rsid w:val="00C544CC"/>
    <w:rsid w:val="00C546E7"/>
    <w:rsid w:val="00C55114"/>
    <w:rsid w:val="00C55DC9"/>
    <w:rsid w:val="00C56262"/>
    <w:rsid w:val="00C57198"/>
    <w:rsid w:val="00C578CE"/>
    <w:rsid w:val="00C60CBB"/>
    <w:rsid w:val="00C61597"/>
    <w:rsid w:val="00C617BF"/>
    <w:rsid w:val="00C62692"/>
    <w:rsid w:val="00C62791"/>
    <w:rsid w:val="00C62FA1"/>
    <w:rsid w:val="00C632D6"/>
    <w:rsid w:val="00C63D13"/>
    <w:rsid w:val="00C63F9B"/>
    <w:rsid w:val="00C64069"/>
    <w:rsid w:val="00C646AC"/>
    <w:rsid w:val="00C64871"/>
    <w:rsid w:val="00C64B36"/>
    <w:rsid w:val="00C64C87"/>
    <w:rsid w:val="00C64EDD"/>
    <w:rsid w:val="00C653BA"/>
    <w:rsid w:val="00C657B4"/>
    <w:rsid w:val="00C6774F"/>
    <w:rsid w:val="00C677AA"/>
    <w:rsid w:val="00C67EA3"/>
    <w:rsid w:val="00C70669"/>
    <w:rsid w:val="00C70A37"/>
    <w:rsid w:val="00C70F72"/>
    <w:rsid w:val="00C713C7"/>
    <w:rsid w:val="00C715CB"/>
    <w:rsid w:val="00C71914"/>
    <w:rsid w:val="00C71A43"/>
    <w:rsid w:val="00C72593"/>
    <w:rsid w:val="00C7263B"/>
    <w:rsid w:val="00C727EF"/>
    <w:rsid w:val="00C72D01"/>
    <w:rsid w:val="00C72F2F"/>
    <w:rsid w:val="00C73290"/>
    <w:rsid w:val="00C736A7"/>
    <w:rsid w:val="00C73D50"/>
    <w:rsid w:val="00C74181"/>
    <w:rsid w:val="00C7460F"/>
    <w:rsid w:val="00C74636"/>
    <w:rsid w:val="00C74819"/>
    <w:rsid w:val="00C74AF1"/>
    <w:rsid w:val="00C752C9"/>
    <w:rsid w:val="00C759F1"/>
    <w:rsid w:val="00C7613A"/>
    <w:rsid w:val="00C761B9"/>
    <w:rsid w:val="00C77315"/>
    <w:rsid w:val="00C77AEB"/>
    <w:rsid w:val="00C77C98"/>
    <w:rsid w:val="00C80069"/>
    <w:rsid w:val="00C805C9"/>
    <w:rsid w:val="00C805DA"/>
    <w:rsid w:val="00C8096C"/>
    <w:rsid w:val="00C80A78"/>
    <w:rsid w:val="00C80B25"/>
    <w:rsid w:val="00C80F33"/>
    <w:rsid w:val="00C80FD0"/>
    <w:rsid w:val="00C8100B"/>
    <w:rsid w:val="00C816BC"/>
    <w:rsid w:val="00C825DD"/>
    <w:rsid w:val="00C82DDB"/>
    <w:rsid w:val="00C8460B"/>
    <w:rsid w:val="00C852AC"/>
    <w:rsid w:val="00C857F9"/>
    <w:rsid w:val="00C860BC"/>
    <w:rsid w:val="00C86543"/>
    <w:rsid w:val="00C8683F"/>
    <w:rsid w:val="00C86967"/>
    <w:rsid w:val="00C87D19"/>
    <w:rsid w:val="00C9003B"/>
    <w:rsid w:val="00C90525"/>
    <w:rsid w:val="00C9085E"/>
    <w:rsid w:val="00C9091D"/>
    <w:rsid w:val="00C90D2F"/>
    <w:rsid w:val="00C90FA2"/>
    <w:rsid w:val="00C91CA5"/>
    <w:rsid w:val="00C91D26"/>
    <w:rsid w:val="00C92141"/>
    <w:rsid w:val="00C92267"/>
    <w:rsid w:val="00C92DA4"/>
    <w:rsid w:val="00C92F61"/>
    <w:rsid w:val="00C93941"/>
    <w:rsid w:val="00C94857"/>
    <w:rsid w:val="00C959C2"/>
    <w:rsid w:val="00C95BC5"/>
    <w:rsid w:val="00C95DEA"/>
    <w:rsid w:val="00C95FCA"/>
    <w:rsid w:val="00C974ED"/>
    <w:rsid w:val="00C976AC"/>
    <w:rsid w:val="00C97A8D"/>
    <w:rsid w:val="00C97E8D"/>
    <w:rsid w:val="00C97F02"/>
    <w:rsid w:val="00CA0083"/>
    <w:rsid w:val="00CA04C0"/>
    <w:rsid w:val="00CA0837"/>
    <w:rsid w:val="00CA0BD9"/>
    <w:rsid w:val="00CA11E9"/>
    <w:rsid w:val="00CA12B2"/>
    <w:rsid w:val="00CA14DD"/>
    <w:rsid w:val="00CA2FBE"/>
    <w:rsid w:val="00CA4064"/>
    <w:rsid w:val="00CA41D2"/>
    <w:rsid w:val="00CA4753"/>
    <w:rsid w:val="00CA4D91"/>
    <w:rsid w:val="00CA4EB1"/>
    <w:rsid w:val="00CA4F20"/>
    <w:rsid w:val="00CA5080"/>
    <w:rsid w:val="00CA5908"/>
    <w:rsid w:val="00CA5A5A"/>
    <w:rsid w:val="00CA5D21"/>
    <w:rsid w:val="00CA5F84"/>
    <w:rsid w:val="00CA6512"/>
    <w:rsid w:val="00CA734A"/>
    <w:rsid w:val="00CA7A61"/>
    <w:rsid w:val="00CA7BF2"/>
    <w:rsid w:val="00CB0A21"/>
    <w:rsid w:val="00CB0C16"/>
    <w:rsid w:val="00CB1327"/>
    <w:rsid w:val="00CB144F"/>
    <w:rsid w:val="00CB149F"/>
    <w:rsid w:val="00CB1EAE"/>
    <w:rsid w:val="00CB1F5B"/>
    <w:rsid w:val="00CB2147"/>
    <w:rsid w:val="00CB2248"/>
    <w:rsid w:val="00CB28EA"/>
    <w:rsid w:val="00CB30F5"/>
    <w:rsid w:val="00CB315D"/>
    <w:rsid w:val="00CB38FE"/>
    <w:rsid w:val="00CB3B4E"/>
    <w:rsid w:val="00CB3DCC"/>
    <w:rsid w:val="00CB3EC6"/>
    <w:rsid w:val="00CB3F32"/>
    <w:rsid w:val="00CB4484"/>
    <w:rsid w:val="00CB4BEE"/>
    <w:rsid w:val="00CB4F56"/>
    <w:rsid w:val="00CB598E"/>
    <w:rsid w:val="00CB67F2"/>
    <w:rsid w:val="00CB682C"/>
    <w:rsid w:val="00CB68CC"/>
    <w:rsid w:val="00CB6BB5"/>
    <w:rsid w:val="00CB6D6A"/>
    <w:rsid w:val="00CB6EAA"/>
    <w:rsid w:val="00CB7873"/>
    <w:rsid w:val="00CC0309"/>
    <w:rsid w:val="00CC06C3"/>
    <w:rsid w:val="00CC07DB"/>
    <w:rsid w:val="00CC0A26"/>
    <w:rsid w:val="00CC0AB1"/>
    <w:rsid w:val="00CC0F71"/>
    <w:rsid w:val="00CC129B"/>
    <w:rsid w:val="00CC1838"/>
    <w:rsid w:val="00CC1C5B"/>
    <w:rsid w:val="00CC1F4F"/>
    <w:rsid w:val="00CC31AB"/>
    <w:rsid w:val="00CC341C"/>
    <w:rsid w:val="00CC3645"/>
    <w:rsid w:val="00CC3F55"/>
    <w:rsid w:val="00CC4116"/>
    <w:rsid w:val="00CC4E15"/>
    <w:rsid w:val="00CC54B1"/>
    <w:rsid w:val="00CC55AE"/>
    <w:rsid w:val="00CC5B06"/>
    <w:rsid w:val="00CC693F"/>
    <w:rsid w:val="00CC7253"/>
    <w:rsid w:val="00CC7751"/>
    <w:rsid w:val="00CC79A2"/>
    <w:rsid w:val="00CC7D66"/>
    <w:rsid w:val="00CD0153"/>
    <w:rsid w:val="00CD02C6"/>
    <w:rsid w:val="00CD092E"/>
    <w:rsid w:val="00CD0A75"/>
    <w:rsid w:val="00CD11DE"/>
    <w:rsid w:val="00CD143E"/>
    <w:rsid w:val="00CD1963"/>
    <w:rsid w:val="00CD19CA"/>
    <w:rsid w:val="00CD1AC2"/>
    <w:rsid w:val="00CD2331"/>
    <w:rsid w:val="00CD2889"/>
    <w:rsid w:val="00CD29C0"/>
    <w:rsid w:val="00CD34FD"/>
    <w:rsid w:val="00CD35E8"/>
    <w:rsid w:val="00CD3E17"/>
    <w:rsid w:val="00CD3EFC"/>
    <w:rsid w:val="00CD467E"/>
    <w:rsid w:val="00CD4860"/>
    <w:rsid w:val="00CD4B86"/>
    <w:rsid w:val="00CD4E3B"/>
    <w:rsid w:val="00CD50A4"/>
    <w:rsid w:val="00CD51ED"/>
    <w:rsid w:val="00CD5CFC"/>
    <w:rsid w:val="00CD63B2"/>
    <w:rsid w:val="00CD6C4D"/>
    <w:rsid w:val="00CD7357"/>
    <w:rsid w:val="00CD7B3A"/>
    <w:rsid w:val="00CE0199"/>
    <w:rsid w:val="00CE0440"/>
    <w:rsid w:val="00CE05E1"/>
    <w:rsid w:val="00CE0620"/>
    <w:rsid w:val="00CE1146"/>
    <w:rsid w:val="00CE16F2"/>
    <w:rsid w:val="00CE176D"/>
    <w:rsid w:val="00CE178F"/>
    <w:rsid w:val="00CE18AA"/>
    <w:rsid w:val="00CE1CC5"/>
    <w:rsid w:val="00CE1E16"/>
    <w:rsid w:val="00CE253C"/>
    <w:rsid w:val="00CE2619"/>
    <w:rsid w:val="00CE291E"/>
    <w:rsid w:val="00CE2920"/>
    <w:rsid w:val="00CE2EE4"/>
    <w:rsid w:val="00CE3346"/>
    <w:rsid w:val="00CE3797"/>
    <w:rsid w:val="00CE3ADA"/>
    <w:rsid w:val="00CE3ECD"/>
    <w:rsid w:val="00CE4025"/>
    <w:rsid w:val="00CE41CB"/>
    <w:rsid w:val="00CE48D3"/>
    <w:rsid w:val="00CE498F"/>
    <w:rsid w:val="00CE5D42"/>
    <w:rsid w:val="00CE5FE1"/>
    <w:rsid w:val="00CE6803"/>
    <w:rsid w:val="00CE693D"/>
    <w:rsid w:val="00CE6D99"/>
    <w:rsid w:val="00CE7351"/>
    <w:rsid w:val="00CE7A9A"/>
    <w:rsid w:val="00CF0777"/>
    <w:rsid w:val="00CF0FF4"/>
    <w:rsid w:val="00CF1622"/>
    <w:rsid w:val="00CF1E5A"/>
    <w:rsid w:val="00CF1EB5"/>
    <w:rsid w:val="00CF26D0"/>
    <w:rsid w:val="00CF34DB"/>
    <w:rsid w:val="00CF368F"/>
    <w:rsid w:val="00CF3CAD"/>
    <w:rsid w:val="00CF3DED"/>
    <w:rsid w:val="00CF3E28"/>
    <w:rsid w:val="00CF3E91"/>
    <w:rsid w:val="00CF425F"/>
    <w:rsid w:val="00CF4635"/>
    <w:rsid w:val="00CF46ED"/>
    <w:rsid w:val="00CF4FEF"/>
    <w:rsid w:val="00CF5173"/>
    <w:rsid w:val="00CF51E8"/>
    <w:rsid w:val="00CF5203"/>
    <w:rsid w:val="00CF5BA3"/>
    <w:rsid w:val="00CF637A"/>
    <w:rsid w:val="00CF6518"/>
    <w:rsid w:val="00CF7C31"/>
    <w:rsid w:val="00D00450"/>
    <w:rsid w:val="00D00CF6"/>
    <w:rsid w:val="00D013E2"/>
    <w:rsid w:val="00D0152F"/>
    <w:rsid w:val="00D01AF8"/>
    <w:rsid w:val="00D01BC6"/>
    <w:rsid w:val="00D01F80"/>
    <w:rsid w:val="00D0208A"/>
    <w:rsid w:val="00D025CC"/>
    <w:rsid w:val="00D028B3"/>
    <w:rsid w:val="00D0293C"/>
    <w:rsid w:val="00D02DA7"/>
    <w:rsid w:val="00D0304E"/>
    <w:rsid w:val="00D03F68"/>
    <w:rsid w:val="00D04031"/>
    <w:rsid w:val="00D044D9"/>
    <w:rsid w:val="00D045D3"/>
    <w:rsid w:val="00D04EC9"/>
    <w:rsid w:val="00D053C2"/>
    <w:rsid w:val="00D0542F"/>
    <w:rsid w:val="00D05E0E"/>
    <w:rsid w:val="00D06218"/>
    <w:rsid w:val="00D06B40"/>
    <w:rsid w:val="00D077BB"/>
    <w:rsid w:val="00D104AC"/>
    <w:rsid w:val="00D104D2"/>
    <w:rsid w:val="00D10566"/>
    <w:rsid w:val="00D10643"/>
    <w:rsid w:val="00D10F3E"/>
    <w:rsid w:val="00D112CB"/>
    <w:rsid w:val="00D11C6E"/>
    <w:rsid w:val="00D1219B"/>
    <w:rsid w:val="00D121E5"/>
    <w:rsid w:val="00D128F1"/>
    <w:rsid w:val="00D12AD5"/>
    <w:rsid w:val="00D12BD7"/>
    <w:rsid w:val="00D138B4"/>
    <w:rsid w:val="00D13D12"/>
    <w:rsid w:val="00D140C2"/>
    <w:rsid w:val="00D149DF"/>
    <w:rsid w:val="00D152AA"/>
    <w:rsid w:val="00D15500"/>
    <w:rsid w:val="00D15C15"/>
    <w:rsid w:val="00D15E24"/>
    <w:rsid w:val="00D1621C"/>
    <w:rsid w:val="00D16725"/>
    <w:rsid w:val="00D16D23"/>
    <w:rsid w:val="00D17086"/>
    <w:rsid w:val="00D17570"/>
    <w:rsid w:val="00D17643"/>
    <w:rsid w:val="00D17911"/>
    <w:rsid w:val="00D17FB4"/>
    <w:rsid w:val="00D20188"/>
    <w:rsid w:val="00D201E3"/>
    <w:rsid w:val="00D2027A"/>
    <w:rsid w:val="00D20B23"/>
    <w:rsid w:val="00D20C94"/>
    <w:rsid w:val="00D2140F"/>
    <w:rsid w:val="00D218EF"/>
    <w:rsid w:val="00D22433"/>
    <w:rsid w:val="00D224EF"/>
    <w:rsid w:val="00D22748"/>
    <w:rsid w:val="00D22E55"/>
    <w:rsid w:val="00D232AE"/>
    <w:rsid w:val="00D233E0"/>
    <w:rsid w:val="00D2347F"/>
    <w:rsid w:val="00D23626"/>
    <w:rsid w:val="00D242C0"/>
    <w:rsid w:val="00D242E5"/>
    <w:rsid w:val="00D25371"/>
    <w:rsid w:val="00D26918"/>
    <w:rsid w:val="00D26AEF"/>
    <w:rsid w:val="00D2700D"/>
    <w:rsid w:val="00D27734"/>
    <w:rsid w:val="00D27BED"/>
    <w:rsid w:val="00D301F8"/>
    <w:rsid w:val="00D30A43"/>
    <w:rsid w:val="00D3182A"/>
    <w:rsid w:val="00D31D84"/>
    <w:rsid w:val="00D32136"/>
    <w:rsid w:val="00D3222B"/>
    <w:rsid w:val="00D3227D"/>
    <w:rsid w:val="00D323CB"/>
    <w:rsid w:val="00D330D8"/>
    <w:rsid w:val="00D33197"/>
    <w:rsid w:val="00D331C9"/>
    <w:rsid w:val="00D33567"/>
    <w:rsid w:val="00D33EEE"/>
    <w:rsid w:val="00D341A7"/>
    <w:rsid w:val="00D34B4B"/>
    <w:rsid w:val="00D34D16"/>
    <w:rsid w:val="00D35236"/>
    <w:rsid w:val="00D352F1"/>
    <w:rsid w:val="00D35305"/>
    <w:rsid w:val="00D3579C"/>
    <w:rsid w:val="00D37121"/>
    <w:rsid w:val="00D3746F"/>
    <w:rsid w:val="00D376AA"/>
    <w:rsid w:val="00D40043"/>
    <w:rsid w:val="00D40A47"/>
    <w:rsid w:val="00D41051"/>
    <w:rsid w:val="00D410F8"/>
    <w:rsid w:val="00D417AE"/>
    <w:rsid w:val="00D419F5"/>
    <w:rsid w:val="00D41B6F"/>
    <w:rsid w:val="00D41D33"/>
    <w:rsid w:val="00D446AE"/>
    <w:rsid w:val="00D457ED"/>
    <w:rsid w:val="00D468B0"/>
    <w:rsid w:val="00D46A9C"/>
    <w:rsid w:val="00D46AEF"/>
    <w:rsid w:val="00D46D32"/>
    <w:rsid w:val="00D46EB7"/>
    <w:rsid w:val="00D46FA2"/>
    <w:rsid w:val="00D47592"/>
    <w:rsid w:val="00D476EB"/>
    <w:rsid w:val="00D478AA"/>
    <w:rsid w:val="00D47F55"/>
    <w:rsid w:val="00D50FBA"/>
    <w:rsid w:val="00D51372"/>
    <w:rsid w:val="00D5162F"/>
    <w:rsid w:val="00D51AD6"/>
    <w:rsid w:val="00D51C50"/>
    <w:rsid w:val="00D525C5"/>
    <w:rsid w:val="00D5266D"/>
    <w:rsid w:val="00D52BBA"/>
    <w:rsid w:val="00D52C1C"/>
    <w:rsid w:val="00D53BD6"/>
    <w:rsid w:val="00D5456F"/>
    <w:rsid w:val="00D548A9"/>
    <w:rsid w:val="00D54AEA"/>
    <w:rsid w:val="00D54E4B"/>
    <w:rsid w:val="00D557E6"/>
    <w:rsid w:val="00D55A96"/>
    <w:rsid w:val="00D56796"/>
    <w:rsid w:val="00D56D40"/>
    <w:rsid w:val="00D56D85"/>
    <w:rsid w:val="00D57BE9"/>
    <w:rsid w:val="00D60345"/>
    <w:rsid w:val="00D606FC"/>
    <w:rsid w:val="00D60B6B"/>
    <w:rsid w:val="00D60D72"/>
    <w:rsid w:val="00D60D80"/>
    <w:rsid w:val="00D61918"/>
    <w:rsid w:val="00D61CAC"/>
    <w:rsid w:val="00D62F54"/>
    <w:rsid w:val="00D63019"/>
    <w:rsid w:val="00D631BD"/>
    <w:rsid w:val="00D64502"/>
    <w:rsid w:val="00D64812"/>
    <w:rsid w:val="00D64E31"/>
    <w:rsid w:val="00D65360"/>
    <w:rsid w:val="00D65604"/>
    <w:rsid w:val="00D656B6"/>
    <w:rsid w:val="00D65F9D"/>
    <w:rsid w:val="00D666E7"/>
    <w:rsid w:val="00D66C52"/>
    <w:rsid w:val="00D678F8"/>
    <w:rsid w:val="00D67C66"/>
    <w:rsid w:val="00D67E37"/>
    <w:rsid w:val="00D67F4C"/>
    <w:rsid w:val="00D705C5"/>
    <w:rsid w:val="00D706C6"/>
    <w:rsid w:val="00D706EC"/>
    <w:rsid w:val="00D713EE"/>
    <w:rsid w:val="00D721EC"/>
    <w:rsid w:val="00D726CE"/>
    <w:rsid w:val="00D73677"/>
    <w:rsid w:val="00D73746"/>
    <w:rsid w:val="00D73943"/>
    <w:rsid w:val="00D74912"/>
    <w:rsid w:val="00D74A6E"/>
    <w:rsid w:val="00D75805"/>
    <w:rsid w:val="00D75B50"/>
    <w:rsid w:val="00D75BE2"/>
    <w:rsid w:val="00D76480"/>
    <w:rsid w:val="00D7678D"/>
    <w:rsid w:val="00D76CF5"/>
    <w:rsid w:val="00D779F7"/>
    <w:rsid w:val="00D805B9"/>
    <w:rsid w:val="00D80754"/>
    <w:rsid w:val="00D816B7"/>
    <w:rsid w:val="00D81F77"/>
    <w:rsid w:val="00D82F54"/>
    <w:rsid w:val="00D83026"/>
    <w:rsid w:val="00D83045"/>
    <w:rsid w:val="00D8314F"/>
    <w:rsid w:val="00D83354"/>
    <w:rsid w:val="00D83B9A"/>
    <w:rsid w:val="00D844D3"/>
    <w:rsid w:val="00D855A5"/>
    <w:rsid w:val="00D855E1"/>
    <w:rsid w:val="00D857E6"/>
    <w:rsid w:val="00D85885"/>
    <w:rsid w:val="00D8653A"/>
    <w:rsid w:val="00D871CE"/>
    <w:rsid w:val="00D87542"/>
    <w:rsid w:val="00D876D2"/>
    <w:rsid w:val="00D879B1"/>
    <w:rsid w:val="00D87D77"/>
    <w:rsid w:val="00D90174"/>
    <w:rsid w:val="00D916CC"/>
    <w:rsid w:val="00D917C2"/>
    <w:rsid w:val="00D91AF5"/>
    <w:rsid w:val="00D920CA"/>
    <w:rsid w:val="00D927D8"/>
    <w:rsid w:val="00D92BFA"/>
    <w:rsid w:val="00D935D1"/>
    <w:rsid w:val="00D936E6"/>
    <w:rsid w:val="00D9375F"/>
    <w:rsid w:val="00D937F8"/>
    <w:rsid w:val="00D93883"/>
    <w:rsid w:val="00D93A88"/>
    <w:rsid w:val="00D93B43"/>
    <w:rsid w:val="00D93D76"/>
    <w:rsid w:val="00D93D78"/>
    <w:rsid w:val="00D93F6A"/>
    <w:rsid w:val="00D93FAF"/>
    <w:rsid w:val="00D94046"/>
    <w:rsid w:val="00D940D3"/>
    <w:rsid w:val="00D945EB"/>
    <w:rsid w:val="00D9478A"/>
    <w:rsid w:val="00D94DB5"/>
    <w:rsid w:val="00D95202"/>
    <w:rsid w:val="00D95458"/>
    <w:rsid w:val="00D9598E"/>
    <w:rsid w:val="00D95B44"/>
    <w:rsid w:val="00D95C20"/>
    <w:rsid w:val="00D961B5"/>
    <w:rsid w:val="00D961C7"/>
    <w:rsid w:val="00D96BFE"/>
    <w:rsid w:val="00D96F7E"/>
    <w:rsid w:val="00D9778A"/>
    <w:rsid w:val="00D97B59"/>
    <w:rsid w:val="00D97C16"/>
    <w:rsid w:val="00D97D49"/>
    <w:rsid w:val="00DA022A"/>
    <w:rsid w:val="00DA025F"/>
    <w:rsid w:val="00DA04E9"/>
    <w:rsid w:val="00DA0755"/>
    <w:rsid w:val="00DA07A7"/>
    <w:rsid w:val="00DA08A5"/>
    <w:rsid w:val="00DA1994"/>
    <w:rsid w:val="00DA1D77"/>
    <w:rsid w:val="00DA23AB"/>
    <w:rsid w:val="00DA2B4B"/>
    <w:rsid w:val="00DA37F9"/>
    <w:rsid w:val="00DA4512"/>
    <w:rsid w:val="00DA4A61"/>
    <w:rsid w:val="00DA4D03"/>
    <w:rsid w:val="00DA4EAF"/>
    <w:rsid w:val="00DA5A16"/>
    <w:rsid w:val="00DA6949"/>
    <w:rsid w:val="00DA7D0B"/>
    <w:rsid w:val="00DB07CA"/>
    <w:rsid w:val="00DB0823"/>
    <w:rsid w:val="00DB0A27"/>
    <w:rsid w:val="00DB0E2A"/>
    <w:rsid w:val="00DB111E"/>
    <w:rsid w:val="00DB19F5"/>
    <w:rsid w:val="00DB2629"/>
    <w:rsid w:val="00DB2718"/>
    <w:rsid w:val="00DB2773"/>
    <w:rsid w:val="00DB27E9"/>
    <w:rsid w:val="00DB284D"/>
    <w:rsid w:val="00DB2A06"/>
    <w:rsid w:val="00DB383F"/>
    <w:rsid w:val="00DB3A50"/>
    <w:rsid w:val="00DB4D6A"/>
    <w:rsid w:val="00DB52B9"/>
    <w:rsid w:val="00DB532F"/>
    <w:rsid w:val="00DB53D6"/>
    <w:rsid w:val="00DB5641"/>
    <w:rsid w:val="00DB5CC0"/>
    <w:rsid w:val="00DB5FF0"/>
    <w:rsid w:val="00DB63F1"/>
    <w:rsid w:val="00DB65D7"/>
    <w:rsid w:val="00DB6791"/>
    <w:rsid w:val="00DB6C38"/>
    <w:rsid w:val="00DB6E05"/>
    <w:rsid w:val="00DB6E76"/>
    <w:rsid w:val="00DB72E7"/>
    <w:rsid w:val="00DB736F"/>
    <w:rsid w:val="00DB7445"/>
    <w:rsid w:val="00DB7D53"/>
    <w:rsid w:val="00DB7F62"/>
    <w:rsid w:val="00DC0464"/>
    <w:rsid w:val="00DC0632"/>
    <w:rsid w:val="00DC0787"/>
    <w:rsid w:val="00DC0A42"/>
    <w:rsid w:val="00DC0F18"/>
    <w:rsid w:val="00DC1303"/>
    <w:rsid w:val="00DC1403"/>
    <w:rsid w:val="00DC345A"/>
    <w:rsid w:val="00DC389B"/>
    <w:rsid w:val="00DC3904"/>
    <w:rsid w:val="00DC394C"/>
    <w:rsid w:val="00DC42A4"/>
    <w:rsid w:val="00DC42EA"/>
    <w:rsid w:val="00DC45A5"/>
    <w:rsid w:val="00DC4933"/>
    <w:rsid w:val="00DC558C"/>
    <w:rsid w:val="00DC5ED6"/>
    <w:rsid w:val="00DC5F7A"/>
    <w:rsid w:val="00DC6513"/>
    <w:rsid w:val="00DC693E"/>
    <w:rsid w:val="00DC70B8"/>
    <w:rsid w:val="00DC723A"/>
    <w:rsid w:val="00DC7C31"/>
    <w:rsid w:val="00DD0C3F"/>
    <w:rsid w:val="00DD1CDA"/>
    <w:rsid w:val="00DD1F41"/>
    <w:rsid w:val="00DD26CC"/>
    <w:rsid w:val="00DD3543"/>
    <w:rsid w:val="00DD3766"/>
    <w:rsid w:val="00DD380F"/>
    <w:rsid w:val="00DD4656"/>
    <w:rsid w:val="00DD503F"/>
    <w:rsid w:val="00DD514C"/>
    <w:rsid w:val="00DD5BE3"/>
    <w:rsid w:val="00DD60E2"/>
    <w:rsid w:val="00DD691A"/>
    <w:rsid w:val="00DD6DE7"/>
    <w:rsid w:val="00DD71D6"/>
    <w:rsid w:val="00DD73A8"/>
    <w:rsid w:val="00DD7687"/>
    <w:rsid w:val="00DD7B55"/>
    <w:rsid w:val="00DE0569"/>
    <w:rsid w:val="00DE0797"/>
    <w:rsid w:val="00DE08C3"/>
    <w:rsid w:val="00DE093F"/>
    <w:rsid w:val="00DE094A"/>
    <w:rsid w:val="00DE17FA"/>
    <w:rsid w:val="00DE1971"/>
    <w:rsid w:val="00DE1ACD"/>
    <w:rsid w:val="00DE1CF2"/>
    <w:rsid w:val="00DE1DAB"/>
    <w:rsid w:val="00DE1F29"/>
    <w:rsid w:val="00DE20A2"/>
    <w:rsid w:val="00DE261E"/>
    <w:rsid w:val="00DE269D"/>
    <w:rsid w:val="00DE2C35"/>
    <w:rsid w:val="00DE30DA"/>
    <w:rsid w:val="00DE3288"/>
    <w:rsid w:val="00DE4BC3"/>
    <w:rsid w:val="00DE4BE6"/>
    <w:rsid w:val="00DE4E52"/>
    <w:rsid w:val="00DE52B7"/>
    <w:rsid w:val="00DE59EE"/>
    <w:rsid w:val="00DE6636"/>
    <w:rsid w:val="00DE6C5F"/>
    <w:rsid w:val="00DE6E8C"/>
    <w:rsid w:val="00DE70EA"/>
    <w:rsid w:val="00DF0175"/>
    <w:rsid w:val="00DF0B89"/>
    <w:rsid w:val="00DF0CFA"/>
    <w:rsid w:val="00DF131B"/>
    <w:rsid w:val="00DF152E"/>
    <w:rsid w:val="00DF164A"/>
    <w:rsid w:val="00DF299E"/>
    <w:rsid w:val="00DF2BC6"/>
    <w:rsid w:val="00DF3044"/>
    <w:rsid w:val="00DF353C"/>
    <w:rsid w:val="00DF3DF8"/>
    <w:rsid w:val="00DF4216"/>
    <w:rsid w:val="00DF46B7"/>
    <w:rsid w:val="00DF46C8"/>
    <w:rsid w:val="00DF476B"/>
    <w:rsid w:val="00DF4978"/>
    <w:rsid w:val="00DF55D6"/>
    <w:rsid w:val="00DF58F4"/>
    <w:rsid w:val="00DF5AAF"/>
    <w:rsid w:val="00DF6074"/>
    <w:rsid w:val="00DF6BF4"/>
    <w:rsid w:val="00DF6FD0"/>
    <w:rsid w:val="00DF72DE"/>
    <w:rsid w:val="00DF73B6"/>
    <w:rsid w:val="00DF781C"/>
    <w:rsid w:val="00E00270"/>
    <w:rsid w:val="00E008D8"/>
    <w:rsid w:val="00E00966"/>
    <w:rsid w:val="00E00C6B"/>
    <w:rsid w:val="00E00D29"/>
    <w:rsid w:val="00E01FBE"/>
    <w:rsid w:val="00E02A3C"/>
    <w:rsid w:val="00E02F70"/>
    <w:rsid w:val="00E032F6"/>
    <w:rsid w:val="00E03F4C"/>
    <w:rsid w:val="00E03F4E"/>
    <w:rsid w:val="00E0439C"/>
    <w:rsid w:val="00E0476B"/>
    <w:rsid w:val="00E049A5"/>
    <w:rsid w:val="00E051FB"/>
    <w:rsid w:val="00E056B0"/>
    <w:rsid w:val="00E05984"/>
    <w:rsid w:val="00E05C27"/>
    <w:rsid w:val="00E05C4F"/>
    <w:rsid w:val="00E063DE"/>
    <w:rsid w:val="00E0671B"/>
    <w:rsid w:val="00E06E82"/>
    <w:rsid w:val="00E07453"/>
    <w:rsid w:val="00E07DB1"/>
    <w:rsid w:val="00E07E7B"/>
    <w:rsid w:val="00E07F6A"/>
    <w:rsid w:val="00E10117"/>
    <w:rsid w:val="00E1064A"/>
    <w:rsid w:val="00E10961"/>
    <w:rsid w:val="00E10DEC"/>
    <w:rsid w:val="00E10EA5"/>
    <w:rsid w:val="00E118AB"/>
    <w:rsid w:val="00E11C81"/>
    <w:rsid w:val="00E11E0F"/>
    <w:rsid w:val="00E11E5E"/>
    <w:rsid w:val="00E12077"/>
    <w:rsid w:val="00E121E9"/>
    <w:rsid w:val="00E129D1"/>
    <w:rsid w:val="00E12F2F"/>
    <w:rsid w:val="00E12FBA"/>
    <w:rsid w:val="00E1319F"/>
    <w:rsid w:val="00E13A48"/>
    <w:rsid w:val="00E13FB6"/>
    <w:rsid w:val="00E14ACF"/>
    <w:rsid w:val="00E14BAD"/>
    <w:rsid w:val="00E14D14"/>
    <w:rsid w:val="00E159EC"/>
    <w:rsid w:val="00E15AC4"/>
    <w:rsid w:val="00E15C68"/>
    <w:rsid w:val="00E16E4C"/>
    <w:rsid w:val="00E173EF"/>
    <w:rsid w:val="00E177CD"/>
    <w:rsid w:val="00E205B2"/>
    <w:rsid w:val="00E20A78"/>
    <w:rsid w:val="00E20B50"/>
    <w:rsid w:val="00E20B5E"/>
    <w:rsid w:val="00E20F69"/>
    <w:rsid w:val="00E20FC3"/>
    <w:rsid w:val="00E21906"/>
    <w:rsid w:val="00E221AF"/>
    <w:rsid w:val="00E2248E"/>
    <w:rsid w:val="00E224BF"/>
    <w:rsid w:val="00E22732"/>
    <w:rsid w:val="00E22B39"/>
    <w:rsid w:val="00E2370F"/>
    <w:rsid w:val="00E2398E"/>
    <w:rsid w:val="00E23A5C"/>
    <w:rsid w:val="00E2406F"/>
    <w:rsid w:val="00E24570"/>
    <w:rsid w:val="00E2459F"/>
    <w:rsid w:val="00E24B98"/>
    <w:rsid w:val="00E2527D"/>
    <w:rsid w:val="00E262A9"/>
    <w:rsid w:val="00E2688C"/>
    <w:rsid w:val="00E2693C"/>
    <w:rsid w:val="00E26F87"/>
    <w:rsid w:val="00E2710F"/>
    <w:rsid w:val="00E3047D"/>
    <w:rsid w:val="00E3066D"/>
    <w:rsid w:val="00E30AF9"/>
    <w:rsid w:val="00E31FB7"/>
    <w:rsid w:val="00E32363"/>
    <w:rsid w:val="00E32488"/>
    <w:rsid w:val="00E327E4"/>
    <w:rsid w:val="00E32E77"/>
    <w:rsid w:val="00E3313E"/>
    <w:rsid w:val="00E33575"/>
    <w:rsid w:val="00E33758"/>
    <w:rsid w:val="00E34C86"/>
    <w:rsid w:val="00E34D65"/>
    <w:rsid w:val="00E34DB8"/>
    <w:rsid w:val="00E35369"/>
    <w:rsid w:val="00E355D9"/>
    <w:rsid w:val="00E35682"/>
    <w:rsid w:val="00E356B6"/>
    <w:rsid w:val="00E35DF9"/>
    <w:rsid w:val="00E3649B"/>
    <w:rsid w:val="00E3697A"/>
    <w:rsid w:val="00E3745E"/>
    <w:rsid w:val="00E37A35"/>
    <w:rsid w:val="00E37B12"/>
    <w:rsid w:val="00E37BEF"/>
    <w:rsid w:val="00E37D65"/>
    <w:rsid w:val="00E403C7"/>
    <w:rsid w:val="00E40A27"/>
    <w:rsid w:val="00E41042"/>
    <w:rsid w:val="00E41074"/>
    <w:rsid w:val="00E4127C"/>
    <w:rsid w:val="00E41B14"/>
    <w:rsid w:val="00E41DD4"/>
    <w:rsid w:val="00E4219A"/>
    <w:rsid w:val="00E42241"/>
    <w:rsid w:val="00E424A0"/>
    <w:rsid w:val="00E425C4"/>
    <w:rsid w:val="00E42698"/>
    <w:rsid w:val="00E426C9"/>
    <w:rsid w:val="00E4274A"/>
    <w:rsid w:val="00E433FB"/>
    <w:rsid w:val="00E4381F"/>
    <w:rsid w:val="00E43B12"/>
    <w:rsid w:val="00E43E66"/>
    <w:rsid w:val="00E443AB"/>
    <w:rsid w:val="00E444BC"/>
    <w:rsid w:val="00E4510E"/>
    <w:rsid w:val="00E45294"/>
    <w:rsid w:val="00E466C8"/>
    <w:rsid w:val="00E46906"/>
    <w:rsid w:val="00E4697F"/>
    <w:rsid w:val="00E46A8F"/>
    <w:rsid w:val="00E46B21"/>
    <w:rsid w:val="00E46EA3"/>
    <w:rsid w:val="00E47D3D"/>
    <w:rsid w:val="00E47E7C"/>
    <w:rsid w:val="00E50223"/>
    <w:rsid w:val="00E5059B"/>
    <w:rsid w:val="00E50F61"/>
    <w:rsid w:val="00E51502"/>
    <w:rsid w:val="00E51789"/>
    <w:rsid w:val="00E51C1B"/>
    <w:rsid w:val="00E52143"/>
    <w:rsid w:val="00E52D13"/>
    <w:rsid w:val="00E52FD1"/>
    <w:rsid w:val="00E5332C"/>
    <w:rsid w:val="00E53353"/>
    <w:rsid w:val="00E535A6"/>
    <w:rsid w:val="00E53C45"/>
    <w:rsid w:val="00E53CE0"/>
    <w:rsid w:val="00E53DA7"/>
    <w:rsid w:val="00E540FC"/>
    <w:rsid w:val="00E54C11"/>
    <w:rsid w:val="00E55DB0"/>
    <w:rsid w:val="00E56721"/>
    <w:rsid w:val="00E56FCE"/>
    <w:rsid w:val="00E5703B"/>
    <w:rsid w:val="00E577EC"/>
    <w:rsid w:val="00E57C4D"/>
    <w:rsid w:val="00E57DD9"/>
    <w:rsid w:val="00E602BD"/>
    <w:rsid w:val="00E61A8D"/>
    <w:rsid w:val="00E62337"/>
    <w:rsid w:val="00E62809"/>
    <w:rsid w:val="00E63321"/>
    <w:rsid w:val="00E634AD"/>
    <w:rsid w:val="00E635BD"/>
    <w:rsid w:val="00E63675"/>
    <w:rsid w:val="00E638A7"/>
    <w:rsid w:val="00E63FAC"/>
    <w:rsid w:val="00E64141"/>
    <w:rsid w:val="00E645E9"/>
    <w:rsid w:val="00E646D8"/>
    <w:rsid w:val="00E64C9D"/>
    <w:rsid w:val="00E64F6C"/>
    <w:rsid w:val="00E6537A"/>
    <w:rsid w:val="00E65567"/>
    <w:rsid w:val="00E65B31"/>
    <w:rsid w:val="00E65B3E"/>
    <w:rsid w:val="00E65F2E"/>
    <w:rsid w:val="00E65FF3"/>
    <w:rsid w:val="00E660EC"/>
    <w:rsid w:val="00E6618A"/>
    <w:rsid w:val="00E668E3"/>
    <w:rsid w:val="00E66BA9"/>
    <w:rsid w:val="00E67470"/>
    <w:rsid w:val="00E67A24"/>
    <w:rsid w:val="00E67C62"/>
    <w:rsid w:val="00E67D62"/>
    <w:rsid w:val="00E7025B"/>
    <w:rsid w:val="00E70552"/>
    <w:rsid w:val="00E712A0"/>
    <w:rsid w:val="00E712F8"/>
    <w:rsid w:val="00E71416"/>
    <w:rsid w:val="00E7174D"/>
    <w:rsid w:val="00E71972"/>
    <w:rsid w:val="00E7235E"/>
    <w:rsid w:val="00E72B05"/>
    <w:rsid w:val="00E72E0E"/>
    <w:rsid w:val="00E72FE7"/>
    <w:rsid w:val="00E73D0E"/>
    <w:rsid w:val="00E74A39"/>
    <w:rsid w:val="00E75609"/>
    <w:rsid w:val="00E75790"/>
    <w:rsid w:val="00E75BCD"/>
    <w:rsid w:val="00E76031"/>
    <w:rsid w:val="00E76714"/>
    <w:rsid w:val="00E80437"/>
    <w:rsid w:val="00E81031"/>
    <w:rsid w:val="00E81525"/>
    <w:rsid w:val="00E8184C"/>
    <w:rsid w:val="00E81B55"/>
    <w:rsid w:val="00E823A0"/>
    <w:rsid w:val="00E824EF"/>
    <w:rsid w:val="00E82AF9"/>
    <w:rsid w:val="00E82C4D"/>
    <w:rsid w:val="00E82CEF"/>
    <w:rsid w:val="00E83A79"/>
    <w:rsid w:val="00E83B1E"/>
    <w:rsid w:val="00E83D05"/>
    <w:rsid w:val="00E83DC4"/>
    <w:rsid w:val="00E83DCE"/>
    <w:rsid w:val="00E842A8"/>
    <w:rsid w:val="00E84360"/>
    <w:rsid w:val="00E84746"/>
    <w:rsid w:val="00E847B3"/>
    <w:rsid w:val="00E84E89"/>
    <w:rsid w:val="00E859DB"/>
    <w:rsid w:val="00E85AEE"/>
    <w:rsid w:val="00E86400"/>
    <w:rsid w:val="00E86804"/>
    <w:rsid w:val="00E86871"/>
    <w:rsid w:val="00E870BF"/>
    <w:rsid w:val="00E871BC"/>
    <w:rsid w:val="00E87A23"/>
    <w:rsid w:val="00E90229"/>
    <w:rsid w:val="00E90ABA"/>
    <w:rsid w:val="00E90C42"/>
    <w:rsid w:val="00E9108A"/>
    <w:rsid w:val="00E9166A"/>
    <w:rsid w:val="00E91899"/>
    <w:rsid w:val="00E92268"/>
    <w:rsid w:val="00E9246B"/>
    <w:rsid w:val="00E92604"/>
    <w:rsid w:val="00E927A2"/>
    <w:rsid w:val="00E928ED"/>
    <w:rsid w:val="00E936C2"/>
    <w:rsid w:val="00E93B8A"/>
    <w:rsid w:val="00E942AE"/>
    <w:rsid w:val="00E949C6"/>
    <w:rsid w:val="00E94CDE"/>
    <w:rsid w:val="00E96274"/>
    <w:rsid w:val="00E96449"/>
    <w:rsid w:val="00E96B3D"/>
    <w:rsid w:val="00E96D36"/>
    <w:rsid w:val="00E97421"/>
    <w:rsid w:val="00E974B7"/>
    <w:rsid w:val="00E97DD3"/>
    <w:rsid w:val="00E97F6C"/>
    <w:rsid w:val="00EA00A6"/>
    <w:rsid w:val="00EA1134"/>
    <w:rsid w:val="00EA1489"/>
    <w:rsid w:val="00EA148E"/>
    <w:rsid w:val="00EA1A6D"/>
    <w:rsid w:val="00EA21DA"/>
    <w:rsid w:val="00EA28D1"/>
    <w:rsid w:val="00EA2AE4"/>
    <w:rsid w:val="00EA335A"/>
    <w:rsid w:val="00EA3D63"/>
    <w:rsid w:val="00EA4DF2"/>
    <w:rsid w:val="00EA4F3D"/>
    <w:rsid w:val="00EA5342"/>
    <w:rsid w:val="00EA55C1"/>
    <w:rsid w:val="00EA568C"/>
    <w:rsid w:val="00EA58D2"/>
    <w:rsid w:val="00EA5AC0"/>
    <w:rsid w:val="00EA61F0"/>
    <w:rsid w:val="00EA6854"/>
    <w:rsid w:val="00EA7391"/>
    <w:rsid w:val="00EB0265"/>
    <w:rsid w:val="00EB05FE"/>
    <w:rsid w:val="00EB0AA6"/>
    <w:rsid w:val="00EB1273"/>
    <w:rsid w:val="00EB1636"/>
    <w:rsid w:val="00EB16A8"/>
    <w:rsid w:val="00EB1C22"/>
    <w:rsid w:val="00EB1ED2"/>
    <w:rsid w:val="00EB22C0"/>
    <w:rsid w:val="00EB396F"/>
    <w:rsid w:val="00EB400B"/>
    <w:rsid w:val="00EB4B77"/>
    <w:rsid w:val="00EB4F3B"/>
    <w:rsid w:val="00EB50F0"/>
    <w:rsid w:val="00EB5C40"/>
    <w:rsid w:val="00EB5DB5"/>
    <w:rsid w:val="00EB600D"/>
    <w:rsid w:val="00EB672B"/>
    <w:rsid w:val="00EB6A2C"/>
    <w:rsid w:val="00EB6B83"/>
    <w:rsid w:val="00EB6DA9"/>
    <w:rsid w:val="00EB7804"/>
    <w:rsid w:val="00EB7A0B"/>
    <w:rsid w:val="00EC0343"/>
    <w:rsid w:val="00EC08AD"/>
    <w:rsid w:val="00EC0F29"/>
    <w:rsid w:val="00EC0F36"/>
    <w:rsid w:val="00EC1828"/>
    <w:rsid w:val="00EC1B2E"/>
    <w:rsid w:val="00EC2514"/>
    <w:rsid w:val="00EC287C"/>
    <w:rsid w:val="00EC2AB4"/>
    <w:rsid w:val="00EC2B87"/>
    <w:rsid w:val="00EC3089"/>
    <w:rsid w:val="00EC4214"/>
    <w:rsid w:val="00EC4338"/>
    <w:rsid w:val="00EC45B6"/>
    <w:rsid w:val="00EC4966"/>
    <w:rsid w:val="00EC4ABA"/>
    <w:rsid w:val="00EC4FF0"/>
    <w:rsid w:val="00EC5263"/>
    <w:rsid w:val="00EC554F"/>
    <w:rsid w:val="00EC59EB"/>
    <w:rsid w:val="00EC6229"/>
    <w:rsid w:val="00EC6B44"/>
    <w:rsid w:val="00EC73C2"/>
    <w:rsid w:val="00EC749B"/>
    <w:rsid w:val="00EC760C"/>
    <w:rsid w:val="00EC7CED"/>
    <w:rsid w:val="00ED025B"/>
    <w:rsid w:val="00ED0541"/>
    <w:rsid w:val="00ED0A14"/>
    <w:rsid w:val="00ED0D39"/>
    <w:rsid w:val="00ED0EA7"/>
    <w:rsid w:val="00ED172E"/>
    <w:rsid w:val="00ED179E"/>
    <w:rsid w:val="00ED19D4"/>
    <w:rsid w:val="00ED1F4F"/>
    <w:rsid w:val="00ED2CB6"/>
    <w:rsid w:val="00ED33A3"/>
    <w:rsid w:val="00ED353C"/>
    <w:rsid w:val="00ED36F0"/>
    <w:rsid w:val="00ED3E4C"/>
    <w:rsid w:val="00ED41B5"/>
    <w:rsid w:val="00ED41CA"/>
    <w:rsid w:val="00ED41DC"/>
    <w:rsid w:val="00ED42A0"/>
    <w:rsid w:val="00ED4972"/>
    <w:rsid w:val="00ED5433"/>
    <w:rsid w:val="00ED5746"/>
    <w:rsid w:val="00ED63D1"/>
    <w:rsid w:val="00ED6D2B"/>
    <w:rsid w:val="00ED78DB"/>
    <w:rsid w:val="00ED7DE0"/>
    <w:rsid w:val="00EE0119"/>
    <w:rsid w:val="00EE0BC0"/>
    <w:rsid w:val="00EE0E63"/>
    <w:rsid w:val="00EE11C7"/>
    <w:rsid w:val="00EE123E"/>
    <w:rsid w:val="00EE1558"/>
    <w:rsid w:val="00EE298D"/>
    <w:rsid w:val="00EE2B5D"/>
    <w:rsid w:val="00EE2BB3"/>
    <w:rsid w:val="00EE3291"/>
    <w:rsid w:val="00EE343A"/>
    <w:rsid w:val="00EE37A3"/>
    <w:rsid w:val="00EE3E91"/>
    <w:rsid w:val="00EE4E61"/>
    <w:rsid w:val="00EE4F91"/>
    <w:rsid w:val="00EE6737"/>
    <w:rsid w:val="00EE6D5C"/>
    <w:rsid w:val="00EE7093"/>
    <w:rsid w:val="00EE70C3"/>
    <w:rsid w:val="00EE7375"/>
    <w:rsid w:val="00EE7465"/>
    <w:rsid w:val="00EE75B5"/>
    <w:rsid w:val="00EE7E8F"/>
    <w:rsid w:val="00EF03CC"/>
    <w:rsid w:val="00EF2215"/>
    <w:rsid w:val="00EF2A98"/>
    <w:rsid w:val="00EF302F"/>
    <w:rsid w:val="00EF3061"/>
    <w:rsid w:val="00EF3B49"/>
    <w:rsid w:val="00EF45CF"/>
    <w:rsid w:val="00EF4B52"/>
    <w:rsid w:val="00EF5517"/>
    <w:rsid w:val="00EF596F"/>
    <w:rsid w:val="00EF5CDA"/>
    <w:rsid w:val="00EF63E5"/>
    <w:rsid w:val="00EF6B80"/>
    <w:rsid w:val="00EF6DC4"/>
    <w:rsid w:val="00EF70BA"/>
    <w:rsid w:val="00F0000A"/>
    <w:rsid w:val="00F002A4"/>
    <w:rsid w:val="00F0031B"/>
    <w:rsid w:val="00F005E5"/>
    <w:rsid w:val="00F0071E"/>
    <w:rsid w:val="00F00B5D"/>
    <w:rsid w:val="00F00BE5"/>
    <w:rsid w:val="00F00CF5"/>
    <w:rsid w:val="00F013CB"/>
    <w:rsid w:val="00F018BF"/>
    <w:rsid w:val="00F01B1E"/>
    <w:rsid w:val="00F01B25"/>
    <w:rsid w:val="00F01FA5"/>
    <w:rsid w:val="00F02214"/>
    <w:rsid w:val="00F02230"/>
    <w:rsid w:val="00F0267C"/>
    <w:rsid w:val="00F03379"/>
    <w:rsid w:val="00F03425"/>
    <w:rsid w:val="00F0345E"/>
    <w:rsid w:val="00F036C6"/>
    <w:rsid w:val="00F03AAE"/>
    <w:rsid w:val="00F03CE6"/>
    <w:rsid w:val="00F03FC4"/>
    <w:rsid w:val="00F03FF1"/>
    <w:rsid w:val="00F04BF2"/>
    <w:rsid w:val="00F05790"/>
    <w:rsid w:val="00F05CF9"/>
    <w:rsid w:val="00F06960"/>
    <w:rsid w:val="00F06967"/>
    <w:rsid w:val="00F07390"/>
    <w:rsid w:val="00F0755E"/>
    <w:rsid w:val="00F07E52"/>
    <w:rsid w:val="00F07E70"/>
    <w:rsid w:val="00F106E4"/>
    <w:rsid w:val="00F10B1D"/>
    <w:rsid w:val="00F10ECA"/>
    <w:rsid w:val="00F11011"/>
    <w:rsid w:val="00F1103C"/>
    <w:rsid w:val="00F115D6"/>
    <w:rsid w:val="00F1171C"/>
    <w:rsid w:val="00F119FB"/>
    <w:rsid w:val="00F11F70"/>
    <w:rsid w:val="00F12333"/>
    <w:rsid w:val="00F1255D"/>
    <w:rsid w:val="00F129DB"/>
    <w:rsid w:val="00F12F5F"/>
    <w:rsid w:val="00F137C0"/>
    <w:rsid w:val="00F145D4"/>
    <w:rsid w:val="00F14AEC"/>
    <w:rsid w:val="00F14ED0"/>
    <w:rsid w:val="00F15ED6"/>
    <w:rsid w:val="00F15F5B"/>
    <w:rsid w:val="00F16210"/>
    <w:rsid w:val="00F164D5"/>
    <w:rsid w:val="00F16A67"/>
    <w:rsid w:val="00F1792F"/>
    <w:rsid w:val="00F17A56"/>
    <w:rsid w:val="00F20151"/>
    <w:rsid w:val="00F20474"/>
    <w:rsid w:val="00F20594"/>
    <w:rsid w:val="00F209A2"/>
    <w:rsid w:val="00F20E9E"/>
    <w:rsid w:val="00F21AB6"/>
    <w:rsid w:val="00F223D4"/>
    <w:rsid w:val="00F223D5"/>
    <w:rsid w:val="00F2283A"/>
    <w:rsid w:val="00F22A84"/>
    <w:rsid w:val="00F22A8F"/>
    <w:rsid w:val="00F22ED6"/>
    <w:rsid w:val="00F23EB4"/>
    <w:rsid w:val="00F24BD2"/>
    <w:rsid w:val="00F2529A"/>
    <w:rsid w:val="00F25333"/>
    <w:rsid w:val="00F2565F"/>
    <w:rsid w:val="00F25A72"/>
    <w:rsid w:val="00F25BCF"/>
    <w:rsid w:val="00F25D91"/>
    <w:rsid w:val="00F25F5E"/>
    <w:rsid w:val="00F260CB"/>
    <w:rsid w:val="00F26C19"/>
    <w:rsid w:val="00F27649"/>
    <w:rsid w:val="00F27858"/>
    <w:rsid w:val="00F27A70"/>
    <w:rsid w:val="00F27B0A"/>
    <w:rsid w:val="00F27CAE"/>
    <w:rsid w:val="00F30F64"/>
    <w:rsid w:val="00F3192A"/>
    <w:rsid w:val="00F31E2D"/>
    <w:rsid w:val="00F322C3"/>
    <w:rsid w:val="00F32553"/>
    <w:rsid w:val="00F32690"/>
    <w:rsid w:val="00F327CE"/>
    <w:rsid w:val="00F332ED"/>
    <w:rsid w:val="00F33552"/>
    <w:rsid w:val="00F335AB"/>
    <w:rsid w:val="00F3374C"/>
    <w:rsid w:val="00F33C8D"/>
    <w:rsid w:val="00F342BD"/>
    <w:rsid w:val="00F3444F"/>
    <w:rsid w:val="00F348D1"/>
    <w:rsid w:val="00F35955"/>
    <w:rsid w:val="00F35B8C"/>
    <w:rsid w:val="00F36249"/>
    <w:rsid w:val="00F3669D"/>
    <w:rsid w:val="00F36C33"/>
    <w:rsid w:val="00F37660"/>
    <w:rsid w:val="00F378C1"/>
    <w:rsid w:val="00F37901"/>
    <w:rsid w:val="00F40730"/>
    <w:rsid w:val="00F40CC5"/>
    <w:rsid w:val="00F40E48"/>
    <w:rsid w:val="00F410B5"/>
    <w:rsid w:val="00F41836"/>
    <w:rsid w:val="00F41A8A"/>
    <w:rsid w:val="00F41AF4"/>
    <w:rsid w:val="00F41DE0"/>
    <w:rsid w:val="00F425B9"/>
    <w:rsid w:val="00F42FBC"/>
    <w:rsid w:val="00F4385E"/>
    <w:rsid w:val="00F43B0D"/>
    <w:rsid w:val="00F43BFB"/>
    <w:rsid w:val="00F43F5D"/>
    <w:rsid w:val="00F4401D"/>
    <w:rsid w:val="00F44398"/>
    <w:rsid w:val="00F44758"/>
    <w:rsid w:val="00F448C3"/>
    <w:rsid w:val="00F44C53"/>
    <w:rsid w:val="00F45085"/>
    <w:rsid w:val="00F450F4"/>
    <w:rsid w:val="00F45564"/>
    <w:rsid w:val="00F4632F"/>
    <w:rsid w:val="00F463EE"/>
    <w:rsid w:val="00F463F1"/>
    <w:rsid w:val="00F46892"/>
    <w:rsid w:val="00F469B2"/>
    <w:rsid w:val="00F47200"/>
    <w:rsid w:val="00F47953"/>
    <w:rsid w:val="00F502B2"/>
    <w:rsid w:val="00F50572"/>
    <w:rsid w:val="00F505BC"/>
    <w:rsid w:val="00F507D5"/>
    <w:rsid w:val="00F50E5A"/>
    <w:rsid w:val="00F50EC6"/>
    <w:rsid w:val="00F511FB"/>
    <w:rsid w:val="00F51333"/>
    <w:rsid w:val="00F52456"/>
    <w:rsid w:val="00F5281E"/>
    <w:rsid w:val="00F531AA"/>
    <w:rsid w:val="00F536B7"/>
    <w:rsid w:val="00F537AD"/>
    <w:rsid w:val="00F53BDD"/>
    <w:rsid w:val="00F53FEE"/>
    <w:rsid w:val="00F54DAB"/>
    <w:rsid w:val="00F559D6"/>
    <w:rsid w:val="00F55A97"/>
    <w:rsid w:val="00F55B05"/>
    <w:rsid w:val="00F55CC6"/>
    <w:rsid w:val="00F55CDC"/>
    <w:rsid w:val="00F56159"/>
    <w:rsid w:val="00F56161"/>
    <w:rsid w:val="00F561CC"/>
    <w:rsid w:val="00F563CD"/>
    <w:rsid w:val="00F56862"/>
    <w:rsid w:val="00F56FE5"/>
    <w:rsid w:val="00F571AD"/>
    <w:rsid w:val="00F575AF"/>
    <w:rsid w:val="00F57925"/>
    <w:rsid w:val="00F57A83"/>
    <w:rsid w:val="00F604F4"/>
    <w:rsid w:val="00F60AFA"/>
    <w:rsid w:val="00F61098"/>
    <w:rsid w:val="00F6112B"/>
    <w:rsid w:val="00F6117F"/>
    <w:rsid w:val="00F62588"/>
    <w:rsid w:val="00F627EB"/>
    <w:rsid w:val="00F629BF"/>
    <w:rsid w:val="00F632EA"/>
    <w:rsid w:val="00F633D8"/>
    <w:rsid w:val="00F6431B"/>
    <w:rsid w:val="00F64B3B"/>
    <w:rsid w:val="00F64BF7"/>
    <w:rsid w:val="00F64C28"/>
    <w:rsid w:val="00F64C76"/>
    <w:rsid w:val="00F64CCC"/>
    <w:rsid w:val="00F64ED6"/>
    <w:rsid w:val="00F650D5"/>
    <w:rsid w:val="00F65747"/>
    <w:rsid w:val="00F65AD5"/>
    <w:rsid w:val="00F65C56"/>
    <w:rsid w:val="00F65F15"/>
    <w:rsid w:val="00F66072"/>
    <w:rsid w:val="00F660F7"/>
    <w:rsid w:val="00F6638A"/>
    <w:rsid w:val="00F66673"/>
    <w:rsid w:val="00F6692A"/>
    <w:rsid w:val="00F66E97"/>
    <w:rsid w:val="00F6754F"/>
    <w:rsid w:val="00F6755D"/>
    <w:rsid w:val="00F675B0"/>
    <w:rsid w:val="00F679A8"/>
    <w:rsid w:val="00F67AB4"/>
    <w:rsid w:val="00F67C61"/>
    <w:rsid w:val="00F70564"/>
    <w:rsid w:val="00F7076A"/>
    <w:rsid w:val="00F707C9"/>
    <w:rsid w:val="00F70DE9"/>
    <w:rsid w:val="00F70E58"/>
    <w:rsid w:val="00F710FE"/>
    <w:rsid w:val="00F719B2"/>
    <w:rsid w:val="00F71BEA"/>
    <w:rsid w:val="00F73DA6"/>
    <w:rsid w:val="00F73E69"/>
    <w:rsid w:val="00F73EE0"/>
    <w:rsid w:val="00F74196"/>
    <w:rsid w:val="00F744F4"/>
    <w:rsid w:val="00F74887"/>
    <w:rsid w:val="00F74A01"/>
    <w:rsid w:val="00F74A84"/>
    <w:rsid w:val="00F74AA8"/>
    <w:rsid w:val="00F74F89"/>
    <w:rsid w:val="00F75A10"/>
    <w:rsid w:val="00F75D9F"/>
    <w:rsid w:val="00F76063"/>
    <w:rsid w:val="00F76D11"/>
    <w:rsid w:val="00F77276"/>
    <w:rsid w:val="00F77A8D"/>
    <w:rsid w:val="00F77D27"/>
    <w:rsid w:val="00F77E98"/>
    <w:rsid w:val="00F80013"/>
    <w:rsid w:val="00F8095A"/>
    <w:rsid w:val="00F81308"/>
    <w:rsid w:val="00F8143C"/>
    <w:rsid w:val="00F81441"/>
    <w:rsid w:val="00F81476"/>
    <w:rsid w:val="00F81681"/>
    <w:rsid w:val="00F81731"/>
    <w:rsid w:val="00F81E11"/>
    <w:rsid w:val="00F8260F"/>
    <w:rsid w:val="00F831F9"/>
    <w:rsid w:val="00F83228"/>
    <w:rsid w:val="00F834A7"/>
    <w:rsid w:val="00F83DAD"/>
    <w:rsid w:val="00F847A0"/>
    <w:rsid w:val="00F8535F"/>
    <w:rsid w:val="00F85ABF"/>
    <w:rsid w:val="00F85D19"/>
    <w:rsid w:val="00F860A3"/>
    <w:rsid w:val="00F864FC"/>
    <w:rsid w:val="00F86808"/>
    <w:rsid w:val="00F87387"/>
    <w:rsid w:val="00F8741E"/>
    <w:rsid w:val="00F8760E"/>
    <w:rsid w:val="00F87620"/>
    <w:rsid w:val="00F8773E"/>
    <w:rsid w:val="00F9082B"/>
    <w:rsid w:val="00F90A1D"/>
    <w:rsid w:val="00F9142D"/>
    <w:rsid w:val="00F915A4"/>
    <w:rsid w:val="00F91EF0"/>
    <w:rsid w:val="00F92104"/>
    <w:rsid w:val="00F9227B"/>
    <w:rsid w:val="00F92733"/>
    <w:rsid w:val="00F92E2B"/>
    <w:rsid w:val="00F93040"/>
    <w:rsid w:val="00F93676"/>
    <w:rsid w:val="00F93A3D"/>
    <w:rsid w:val="00F93C72"/>
    <w:rsid w:val="00F93C99"/>
    <w:rsid w:val="00F93DCD"/>
    <w:rsid w:val="00F94009"/>
    <w:rsid w:val="00F9412A"/>
    <w:rsid w:val="00F945FC"/>
    <w:rsid w:val="00F9466A"/>
    <w:rsid w:val="00F94C16"/>
    <w:rsid w:val="00F94D3F"/>
    <w:rsid w:val="00F94EB4"/>
    <w:rsid w:val="00F9591A"/>
    <w:rsid w:val="00F9689E"/>
    <w:rsid w:val="00F96F26"/>
    <w:rsid w:val="00F970A3"/>
    <w:rsid w:val="00F97F91"/>
    <w:rsid w:val="00FA03A6"/>
    <w:rsid w:val="00FA03D6"/>
    <w:rsid w:val="00FA066D"/>
    <w:rsid w:val="00FA0956"/>
    <w:rsid w:val="00FA0FB3"/>
    <w:rsid w:val="00FA1118"/>
    <w:rsid w:val="00FA1126"/>
    <w:rsid w:val="00FA1816"/>
    <w:rsid w:val="00FA1B03"/>
    <w:rsid w:val="00FA24F3"/>
    <w:rsid w:val="00FA263E"/>
    <w:rsid w:val="00FA2798"/>
    <w:rsid w:val="00FA3679"/>
    <w:rsid w:val="00FA3A4D"/>
    <w:rsid w:val="00FA41F1"/>
    <w:rsid w:val="00FA42BC"/>
    <w:rsid w:val="00FA4635"/>
    <w:rsid w:val="00FA509C"/>
    <w:rsid w:val="00FA5180"/>
    <w:rsid w:val="00FA58CA"/>
    <w:rsid w:val="00FA5C21"/>
    <w:rsid w:val="00FA5FCE"/>
    <w:rsid w:val="00FA655C"/>
    <w:rsid w:val="00FA6B30"/>
    <w:rsid w:val="00FA6C13"/>
    <w:rsid w:val="00FA761A"/>
    <w:rsid w:val="00FA76A5"/>
    <w:rsid w:val="00FA786A"/>
    <w:rsid w:val="00FA7DA0"/>
    <w:rsid w:val="00FB0515"/>
    <w:rsid w:val="00FB0EE9"/>
    <w:rsid w:val="00FB0EFB"/>
    <w:rsid w:val="00FB0F8A"/>
    <w:rsid w:val="00FB11F1"/>
    <w:rsid w:val="00FB1300"/>
    <w:rsid w:val="00FB19BF"/>
    <w:rsid w:val="00FB20F3"/>
    <w:rsid w:val="00FB252E"/>
    <w:rsid w:val="00FB2EB5"/>
    <w:rsid w:val="00FB2ED0"/>
    <w:rsid w:val="00FB30F6"/>
    <w:rsid w:val="00FB34E4"/>
    <w:rsid w:val="00FB38ED"/>
    <w:rsid w:val="00FB3DE3"/>
    <w:rsid w:val="00FB3F26"/>
    <w:rsid w:val="00FB4C8E"/>
    <w:rsid w:val="00FB4D15"/>
    <w:rsid w:val="00FB4D9E"/>
    <w:rsid w:val="00FB4E84"/>
    <w:rsid w:val="00FB588A"/>
    <w:rsid w:val="00FB6302"/>
    <w:rsid w:val="00FB68DD"/>
    <w:rsid w:val="00FB7718"/>
    <w:rsid w:val="00FB79B9"/>
    <w:rsid w:val="00FB7F99"/>
    <w:rsid w:val="00FC02F4"/>
    <w:rsid w:val="00FC2683"/>
    <w:rsid w:val="00FC2810"/>
    <w:rsid w:val="00FC299F"/>
    <w:rsid w:val="00FC3213"/>
    <w:rsid w:val="00FC3C6C"/>
    <w:rsid w:val="00FC48C6"/>
    <w:rsid w:val="00FC4A91"/>
    <w:rsid w:val="00FC4E0B"/>
    <w:rsid w:val="00FC5B7C"/>
    <w:rsid w:val="00FC6141"/>
    <w:rsid w:val="00FC623A"/>
    <w:rsid w:val="00FC646D"/>
    <w:rsid w:val="00FC65E5"/>
    <w:rsid w:val="00FC665B"/>
    <w:rsid w:val="00FC6C78"/>
    <w:rsid w:val="00FC6C83"/>
    <w:rsid w:val="00FC6CEF"/>
    <w:rsid w:val="00FC6E1D"/>
    <w:rsid w:val="00FC740E"/>
    <w:rsid w:val="00FD02CC"/>
    <w:rsid w:val="00FD1685"/>
    <w:rsid w:val="00FD1AA4"/>
    <w:rsid w:val="00FD1BD4"/>
    <w:rsid w:val="00FD1EA8"/>
    <w:rsid w:val="00FD2DBC"/>
    <w:rsid w:val="00FD2FA7"/>
    <w:rsid w:val="00FD3B87"/>
    <w:rsid w:val="00FD4B79"/>
    <w:rsid w:val="00FD5465"/>
    <w:rsid w:val="00FD58EF"/>
    <w:rsid w:val="00FD5BC9"/>
    <w:rsid w:val="00FD620D"/>
    <w:rsid w:val="00FD64B8"/>
    <w:rsid w:val="00FD667B"/>
    <w:rsid w:val="00FD7165"/>
    <w:rsid w:val="00FE00CF"/>
    <w:rsid w:val="00FE013B"/>
    <w:rsid w:val="00FE0207"/>
    <w:rsid w:val="00FE1303"/>
    <w:rsid w:val="00FE1ABB"/>
    <w:rsid w:val="00FE291B"/>
    <w:rsid w:val="00FE330C"/>
    <w:rsid w:val="00FE3A0B"/>
    <w:rsid w:val="00FE3B4E"/>
    <w:rsid w:val="00FE40C1"/>
    <w:rsid w:val="00FE410C"/>
    <w:rsid w:val="00FE4AA0"/>
    <w:rsid w:val="00FE4DBC"/>
    <w:rsid w:val="00FE50B4"/>
    <w:rsid w:val="00FE546C"/>
    <w:rsid w:val="00FE54AE"/>
    <w:rsid w:val="00FE5671"/>
    <w:rsid w:val="00FE59BB"/>
    <w:rsid w:val="00FE5E25"/>
    <w:rsid w:val="00FE69C3"/>
    <w:rsid w:val="00FE6AE8"/>
    <w:rsid w:val="00FE70D5"/>
    <w:rsid w:val="00FE7127"/>
    <w:rsid w:val="00FE731B"/>
    <w:rsid w:val="00FE7FB9"/>
    <w:rsid w:val="00FF041F"/>
    <w:rsid w:val="00FF0C67"/>
    <w:rsid w:val="00FF0E6A"/>
    <w:rsid w:val="00FF0F69"/>
    <w:rsid w:val="00FF1623"/>
    <w:rsid w:val="00FF1E96"/>
    <w:rsid w:val="00FF21EF"/>
    <w:rsid w:val="00FF2A34"/>
    <w:rsid w:val="00FF2BA8"/>
    <w:rsid w:val="00FF3494"/>
    <w:rsid w:val="00FF34B6"/>
    <w:rsid w:val="00FF364B"/>
    <w:rsid w:val="00FF3803"/>
    <w:rsid w:val="00FF4871"/>
    <w:rsid w:val="00FF4A4D"/>
    <w:rsid w:val="00FF556E"/>
    <w:rsid w:val="00FF5630"/>
    <w:rsid w:val="00FF5813"/>
    <w:rsid w:val="00FF5E54"/>
    <w:rsid w:val="00FF5E85"/>
    <w:rsid w:val="00FF680F"/>
    <w:rsid w:val="00FF69CB"/>
    <w:rsid w:val="00FF6AD9"/>
    <w:rsid w:val="00FF6B4E"/>
    <w:rsid w:val="00FF7C76"/>
  </w:rsids>
  <w:docVars>
    <w:docVar w:name="btnwarning" w:val="1"/>
    <w:docVar w:name="sivug" w:val="1"/>
    <w:docVar w:name="space" w:val="1.3"/>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4:docId w14:val="20A2A98B"/>
  <w15:docId w15:val="{422F9390-8713-499C-A610-9FFE0F697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David"/>
        <w:szCs w:val="24"/>
        <w:lang w:val="en-US" w:eastAsia="en-US" w:bidi="he-IL"/>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2619"/>
    <w:pPr>
      <w:bidi/>
      <w:spacing w:after="0" w:line="312" w:lineRule="auto"/>
    </w:pPr>
  </w:style>
  <w:style w:type="paragraph" w:styleId="Heading1">
    <w:name w:val="heading 1"/>
    <w:basedOn w:val="Normal"/>
    <w:next w:val="Normal"/>
    <w:link w:val="Heading1Char"/>
    <w:uiPriority w:val="1"/>
    <w:qFormat/>
    <w:rsid w:val="00F41DE0"/>
    <w:pPr>
      <w:keepNext/>
      <w:keepLines/>
      <w:jc w:val="center"/>
      <w:outlineLvl w:val="0"/>
    </w:pPr>
    <w:rPr>
      <w:rFonts w:eastAsiaTheme="majorEastAsia"/>
      <w:bCs/>
      <w:szCs w:val="36"/>
      <w:u w:val="single"/>
    </w:rPr>
  </w:style>
  <w:style w:type="paragraph" w:styleId="Heading2">
    <w:name w:val="heading 2"/>
    <w:basedOn w:val="Normal"/>
    <w:next w:val="Normal"/>
    <w:link w:val="Heading2Char"/>
    <w:uiPriority w:val="1"/>
    <w:qFormat/>
    <w:rsid w:val="00F41DE0"/>
    <w:pPr>
      <w:keepNext/>
      <w:keepLines/>
      <w:spacing w:before="480"/>
      <w:jc w:val="center"/>
      <w:outlineLvl w:val="1"/>
    </w:pPr>
    <w:rPr>
      <w:rFonts w:eastAsiaTheme="majorEastAsia"/>
      <w:bCs/>
      <w:szCs w:val="32"/>
    </w:rPr>
  </w:style>
  <w:style w:type="paragraph" w:styleId="Heading3">
    <w:name w:val="heading 3"/>
    <w:basedOn w:val="Normal"/>
    <w:next w:val="Normal"/>
    <w:link w:val="Heading3Char"/>
    <w:uiPriority w:val="1"/>
    <w:qFormat/>
    <w:rsid w:val="00F41DE0"/>
    <w:pPr>
      <w:keepNext/>
      <w:keepLines/>
      <w:spacing w:before="240"/>
      <w:outlineLvl w:val="2"/>
    </w:pPr>
    <w:rPr>
      <w:rFonts w:eastAsiaTheme="majorEastAsia"/>
      <w:bCs/>
      <w:szCs w:val="28"/>
      <w:u w:val="single"/>
    </w:rPr>
  </w:style>
  <w:style w:type="paragraph" w:styleId="Heading4">
    <w:name w:val="heading 4"/>
    <w:basedOn w:val="Normal"/>
    <w:next w:val="Normal"/>
    <w:link w:val="Heading4Char"/>
    <w:uiPriority w:val="1"/>
    <w:qFormat/>
    <w:rsid w:val="00F41DE0"/>
    <w:pPr>
      <w:keepNext/>
      <w:keepLines/>
      <w:spacing w:before="240"/>
      <w:outlineLvl w:val="3"/>
    </w:pPr>
    <w:rPr>
      <w:rFonts w:eastAsiaTheme="majorEastAsia"/>
      <w:bCs/>
      <w:szCs w:val="26"/>
    </w:rPr>
  </w:style>
  <w:style w:type="paragraph" w:styleId="Heading5">
    <w:name w:val="heading 5"/>
    <w:basedOn w:val="Normal"/>
    <w:next w:val="Normal"/>
    <w:link w:val="Heading5Char"/>
    <w:uiPriority w:val="1"/>
    <w:qFormat/>
    <w:rsid w:val="00F41DE0"/>
    <w:pPr>
      <w:keepNext/>
      <w:keepLines/>
      <w:outlineLvl w:val="4"/>
    </w:pPr>
    <w:rPr>
      <w:rFonts w:eastAsiaTheme="majorEastAsia"/>
      <w:bCs/>
      <w:spacing w:val="40"/>
    </w:rPr>
  </w:style>
  <w:style w:type="paragraph" w:styleId="Heading6">
    <w:name w:val="heading 6"/>
    <w:basedOn w:val="Normal"/>
    <w:next w:val="Normal"/>
    <w:link w:val="Heading6Char"/>
    <w:uiPriority w:val="1"/>
    <w:qFormat/>
    <w:rsid w:val="00F41DE0"/>
    <w:pPr>
      <w:keepNext/>
      <w:keepLines/>
      <w:outlineLvl w:val="5"/>
    </w:pPr>
    <w:rPr>
      <w:rFonts w:eastAsiaTheme="majorEastAsia"/>
      <w:spacing w:val="40"/>
    </w:rPr>
  </w:style>
  <w:style w:type="paragraph" w:styleId="Heading7">
    <w:name w:val="heading 7"/>
    <w:basedOn w:val="Normal"/>
    <w:next w:val="Normal"/>
    <w:link w:val="Heading7Char"/>
    <w:uiPriority w:val="1"/>
    <w:qFormat/>
    <w:rsid w:val="00F41DE0"/>
    <w:pPr>
      <w:keepNext/>
      <w:keepLines/>
      <w:outlineLvl w:val="6"/>
    </w:pPr>
    <w:rPr>
      <w:rFonts w:eastAsiaTheme="majorEastAsia"/>
      <w:bCs/>
      <w:spacing w:val="40"/>
    </w:rPr>
  </w:style>
  <w:style w:type="paragraph" w:styleId="Heading8">
    <w:name w:val="heading 8"/>
    <w:basedOn w:val="Normal"/>
    <w:next w:val="Normal"/>
    <w:link w:val="Heading8Char"/>
    <w:uiPriority w:val="1"/>
    <w:qFormat/>
    <w:rsid w:val="00F41DE0"/>
    <w:pPr>
      <w:keepNext/>
      <w:keepLines/>
      <w:outlineLvl w:val="7"/>
    </w:pPr>
    <w:rPr>
      <w:rFonts w:eastAsiaTheme="majorEastAsia"/>
      <w:spacing w:val="40"/>
    </w:rPr>
  </w:style>
  <w:style w:type="paragraph" w:styleId="Heading9">
    <w:name w:val="heading 9"/>
    <w:basedOn w:val="Normal"/>
    <w:next w:val="Normal"/>
    <w:link w:val="Heading9Char"/>
    <w:uiPriority w:val="9"/>
    <w:semiHidden/>
    <w:unhideWhenUsed/>
    <w:rsid w:val="00BA23A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41DE0"/>
    <w:rPr>
      <w:rFonts w:eastAsiaTheme="majorEastAsia"/>
      <w:bCs/>
      <w:szCs w:val="36"/>
      <w:u w:val="single"/>
    </w:rPr>
  </w:style>
  <w:style w:type="character" w:customStyle="1" w:styleId="Heading2Char">
    <w:name w:val="Heading 2 Char"/>
    <w:basedOn w:val="DefaultParagraphFont"/>
    <w:link w:val="Heading2"/>
    <w:uiPriority w:val="1"/>
    <w:rsid w:val="00F41DE0"/>
    <w:rPr>
      <w:rFonts w:eastAsiaTheme="majorEastAsia"/>
      <w:bCs/>
      <w:szCs w:val="32"/>
    </w:rPr>
  </w:style>
  <w:style w:type="character" w:customStyle="1" w:styleId="Heading3Char">
    <w:name w:val="Heading 3 Char"/>
    <w:basedOn w:val="DefaultParagraphFont"/>
    <w:link w:val="Heading3"/>
    <w:uiPriority w:val="1"/>
    <w:rsid w:val="00F41DE0"/>
    <w:rPr>
      <w:rFonts w:eastAsiaTheme="majorEastAsia"/>
      <w:bCs/>
      <w:szCs w:val="28"/>
      <w:u w:val="single"/>
    </w:rPr>
  </w:style>
  <w:style w:type="character" w:customStyle="1" w:styleId="Heading4Char">
    <w:name w:val="Heading 4 Char"/>
    <w:basedOn w:val="DefaultParagraphFont"/>
    <w:link w:val="Heading4"/>
    <w:uiPriority w:val="1"/>
    <w:rsid w:val="00F41DE0"/>
    <w:rPr>
      <w:rFonts w:eastAsiaTheme="majorEastAsia"/>
      <w:bCs/>
      <w:szCs w:val="26"/>
    </w:rPr>
  </w:style>
  <w:style w:type="character" w:customStyle="1" w:styleId="Heading5Char">
    <w:name w:val="Heading 5 Char"/>
    <w:basedOn w:val="DefaultParagraphFont"/>
    <w:link w:val="Heading5"/>
    <w:uiPriority w:val="1"/>
    <w:rsid w:val="00F41DE0"/>
    <w:rPr>
      <w:rFonts w:eastAsiaTheme="majorEastAsia"/>
      <w:bCs/>
      <w:spacing w:val="40"/>
    </w:rPr>
  </w:style>
  <w:style w:type="character" w:customStyle="1" w:styleId="Heading6Char">
    <w:name w:val="Heading 6 Char"/>
    <w:basedOn w:val="DefaultParagraphFont"/>
    <w:link w:val="Heading6"/>
    <w:uiPriority w:val="1"/>
    <w:rsid w:val="00F41DE0"/>
    <w:rPr>
      <w:rFonts w:eastAsiaTheme="majorEastAsia"/>
      <w:spacing w:val="40"/>
    </w:rPr>
  </w:style>
  <w:style w:type="character" w:customStyle="1" w:styleId="Heading7Char">
    <w:name w:val="Heading 7 Char"/>
    <w:basedOn w:val="DefaultParagraphFont"/>
    <w:link w:val="Heading7"/>
    <w:uiPriority w:val="1"/>
    <w:rsid w:val="00F41DE0"/>
    <w:rPr>
      <w:rFonts w:eastAsiaTheme="majorEastAsia"/>
      <w:bCs/>
      <w:spacing w:val="40"/>
    </w:rPr>
  </w:style>
  <w:style w:type="character" w:customStyle="1" w:styleId="Heading8Char">
    <w:name w:val="Heading 8 Char"/>
    <w:basedOn w:val="DefaultParagraphFont"/>
    <w:link w:val="Heading8"/>
    <w:uiPriority w:val="1"/>
    <w:rsid w:val="00F41DE0"/>
    <w:rPr>
      <w:rFonts w:eastAsiaTheme="majorEastAsia"/>
      <w:spacing w:val="40"/>
    </w:rPr>
  </w:style>
  <w:style w:type="paragraph" w:styleId="Header">
    <w:name w:val="header"/>
    <w:basedOn w:val="Normal"/>
    <w:link w:val="HeaderChar"/>
    <w:uiPriority w:val="99"/>
    <w:unhideWhenUsed/>
    <w:rsid w:val="000501A4"/>
    <w:pPr>
      <w:tabs>
        <w:tab w:val="center" w:pos="4153"/>
        <w:tab w:val="right" w:pos="8306"/>
      </w:tabs>
      <w:spacing w:line="240" w:lineRule="auto"/>
    </w:pPr>
  </w:style>
  <w:style w:type="character" w:customStyle="1" w:styleId="HeaderChar">
    <w:name w:val="Header Char"/>
    <w:basedOn w:val="DefaultParagraphFont"/>
    <w:link w:val="Header"/>
    <w:uiPriority w:val="99"/>
    <w:rsid w:val="000501A4"/>
  </w:style>
  <w:style w:type="paragraph" w:styleId="Footer">
    <w:name w:val="footer"/>
    <w:aliases w:val="כותרת תחתונה תו תו תו,כותרת תחתונה תו תו תו תו תו"/>
    <w:basedOn w:val="Normal"/>
    <w:link w:val="FooterChar"/>
    <w:uiPriority w:val="99"/>
    <w:unhideWhenUsed/>
    <w:qFormat/>
    <w:rsid w:val="000501A4"/>
    <w:pPr>
      <w:tabs>
        <w:tab w:val="center" w:pos="4153"/>
        <w:tab w:val="right" w:pos="8306"/>
      </w:tabs>
      <w:spacing w:line="240" w:lineRule="auto"/>
    </w:pPr>
  </w:style>
  <w:style w:type="character" w:customStyle="1" w:styleId="FooterChar">
    <w:name w:val="Footer Char"/>
    <w:aliases w:val="כותרת תחתונה תו תו תו Char,כותרת תחתונה תו תו תו תו תו Char"/>
    <w:basedOn w:val="DefaultParagraphFont"/>
    <w:link w:val="Footer"/>
    <w:uiPriority w:val="99"/>
    <w:rsid w:val="000501A4"/>
  </w:style>
  <w:style w:type="paragraph" w:styleId="Date">
    <w:name w:val="Date"/>
    <w:basedOn w:val="Normal"/>
    <w:next w:val="Normal"/>
    <w:link w:val="DateChar"/>
    <w:uiPriority w:val="99"/>
    <w:unhideWhenUsed/>
    <w:rsid w:val="000501A4"/>
    <w:pPr>
      <w:spacing w:before="120" w:line="240" w:lineRule="auto"/>
    </w:pPr>
  </w:style>
  <w:style w:type="character" w:customStyle="1" w:styleId="DateChar">
    <w:name w:val="Date Char"/>
    <w:basedOn w:val="DefaultParagraphFont"/>
    <w:link w:val="Date"/>
    <w:uiPriority w:val="99"/>
    <w:rsid w:val="000501A4"/>
  </w:style>
  <w:style w:type="paragraph" w:styleId="FootnoteText">
    <w:name w:val="footnote text"/>
    <w:aliases w:val=" Char,FOOTNOTES,Footnote Text - Sharp,Footnote Text - Sharp Char,Footnote Text - Sharp Char Char,Footnote Text Char Char Char Char Char,Footnote reference,Sharp - Footnote Text,Sharp - Footnote Text1 Char,fn,footnote text,single space"/>
    <w:basedOn w:val="Normal"/>
    <w:link w:val="FootnoteTextChar"/>
    <w:qFormat/>
    <w:rsid w:val="00574579"/>
    <w:pPr>
      <w:spacing w:line="240" w:lineRule="auto"/>
      <w:ind w:left="720" w:hanging="720"/>
    </w:pPr>
    <w:rPr>
      <w:szCs w:val="20"/>
    </w:rPr>
  </w:style>
  <w:style w:type="character" w:customStyle="1" w:styleId="FootnoteTextChar">
    <w:name w:val="Footnote Text Char"/>
    <w:aliases w:val=" Char Char,FOOTNOTES Char,Footnote Text - Sharp Char Char Char,Footnote Text - Sharp Char Char1,Footnote Text - Sharp Char1,Footnote Text Char Char Char Char Char Char,Footnote reference Char,Sharp - Footnote Text Char,fn Char"/>
    <w:basedOn w:val="DefaultParagraphFont"/>
    <w:link w:val="FootnoteText"/>
    <w:uiPriority w:val="99"/>
    <w:rsid w:val="00574579"/>
    <w:rPr>
      <w:szCs w:val="20"/>
    </w:rPr>
  </w:style>
  <w:style w:type="table" w:styleId="TableGrid">
    <w:name w:val="Table Grid"/>
    <w:basedOn w:val="TableNormal"/>
    <w:uiPriority w:val="59"/>
    <w:rsid w:val="00F41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1">
    <w:name w:val="Grid Table 2 Accent 1"/>
    <w:basedOn w:val="TableNormal"/>
    <w:uiPriority w:val="47"/>
    <w:rsid w:val="006A5837"/>
    <w:pPr>
      <w:spacing w:after="0" w:line="240" w:lineRule="auto"/>
    </w:pPr>
    <w:tblPr>
      <w:tblStyleRowBandSize w:val="1"/>
      <w:tblStyleColBandSize w:val="1"/>
      <w:tblBorders>
        <w:top w:val="single" w:sz="2" w:space="0" w:color="76CDEE" w:themeColor="accent1" w:themeTint="99"/>
        <w:bottom w:val="single" w:sz="2" w:space="0" w:color="76CDEE" w:themeColor="accent1" w:themeTint="99"/>
        <w:insideH w:val="single" w:sz="2" w:space="0" w:color="76CDEE" w:themeColor="accent1" w:themeTint="99"/>
        <w:insideV w:val="single" w:sz="2" w:space="0" w:color="76CDEE" w:themeColor="accent1" w:themeTint="99"/>
      </w:tblBorders>
    </w:tblPr>
    <w:tblStylePr w:type="firstRow">
      <w:rPr>
        <w:b/>
        <w:bCs/>
      </w:rPr>
      <w:tblPr/>
      <w:tcPr>
        <w:tcBorders>
          <w:top w:val="nil"/>
          <w:bottom w:val="single" w:sz="12" w:space="0" w:color="76CDEE" w:themeColor="accent1" w:themeTint="99"/>
          <w:insideH w:val="nil"/>
          <w:insideV w:val="nil"/>
        </w:tcBorders>
        <w:shd w:val="clear" w:color="auto" w:fill="FFFFFF" w:themeFill="background1"/>
      </w:tcPr>
    </w:tblStylePr>
    <w:tblStylePr w:type="lastRow">
      <w:rPr>
        <w:b/>
        <w:bCs/>
      </w:rPr>
      <w:tblPr/>
      <w:tcPr>
        <w:tcBorders>
          <w:top w:val="double" w:sz="2" w:space="0" w:color="76CDE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1EEF9" w:themeFill="accent1" w:themeFillTint="33"/>
      </w:tcPr>
    </w:tblStylePr>
    <w:tblStylePr w:type="band1Horz">
      <w:tblPr/>
      <w:tcPr>
        <w:shd w:val="clear" w:color="auto" w:fill="D1EEF9" w:themeFill="accent1" w:themeFillTint="33"/>
      </w:tcPr>
    </w:tblStylePr>
  </w:style>
  <w:style w:type="paragraph" w:styleId="BalloonText">
    <w:name w:val="Balloon Text"/>
    <w:basedOn w:val="Normal"/>
    <w:link w:val="BalloonTextChar"/>
    <w:uiPriority w:val="99"/>
    <w:unhideWhenUsed/>
    <w:rsid w:val="00AF6305"/>
    <w:pPr>
      <w:spacing w:line="240" w:lineRule="auto"/>
    </w:pPr>
    <w:rPr>
      <w:rFonts w:ascii="Tahoma" w:hAnsi="Tahoma" w:cs="Tahoma"/>
      <w:sz w:val="18"/>
      <w:szCs w:val="18"/>
    </w:rPr>
  </w:style>
  <w:style w:type="character" w:customStyle="1" w:styleId="BalloonTextChar">
    <w:name w:val="Balloon Text Char"/>
    <w:basedOn w:val="DefaultParagraphFont"/>
    <w:link w:val="BalloonText"/>
    <w:uiPriority w:val="99"/>
    <w:rsid w:val="00AF6305"/>
    <w:rPr>
      <w:rFonts w:ascii="Tahoma" w:hAnsi="Tahoma" w:cs="Tahoma"/>
      <w:sz w:val="18"/>
      <w:szCs w:val="18"/>
    </w:rPr>
  </w:style>
  <w:style w:type="paragraph" w:styleId="CommentText">
    <w:name w:val="annotation text"/>
    <w:basedOn w:val="Normal"/>
    <w:link w:val="CommentTextChar"/>
    <w:uiPriority w:val="99"/>
    <w:unhideWhenUsed/>
    <w:rsid w:val="005F492A"/>
    <w:pPr>
      <w:spacing w:line="240" w:lineRule="auto"/>
    </w:pPr>
    <w:rPr>
      <w:szCs w:val="20"/>
    </w:rPr>
  </w:style>
  <w:style w:type="character" w:customStyle="1" w:styleId="CommentTextChar">
    <w:name w:val="Comment Text Char"/>
    <w:basedOn w:val="DefaultParagraphFont"/>
    <w:link w:val="CommentText"/>
    <w:uiPriority w:val="99"/>
    <w:rsid w:val="005F492A"/>
    <w:rPr>
      <w:szCs w:val="20"/>
    </w:rPr>
  </w:style>
  <w:style w:type="paragraph" w:styleId="CommentSubject">
    <w:name w:val="annotation subject"/>
    <w:basedOn w:val="CommentText"/>
    <w:next w:val="CommentText"/>
    <w:link w:val="CommentSubjectChar"/>
    <w:uiPriority w:val="99"/>
    <w:unhideWhenUsed/>
    <w:rsid w:val="005F492A"/>
    <w:rPr>
      <w:b/>
      <w:bCs/>
    </w:rPr>
  </w:style>
  <w:style w:type="character" w:customStyle="1" w:styleId="CommentSubjectChar">
    <w:name w:val="Comment Subject Char"/>
    <w:basedOn w:val="CommentTextChar"/>
    <w:link w:val="CommentSubject"/>
    <w:uiPriority w:val="99"/>
    <w:rsid w:val="005F492A"/>
    <w:rPr>
      <w:b/>
      <w:bCs/>
      <w:szCs w:val="20"/>
    </w:rPr>
  </w:style>
  <w:style w:type="paragraph" w:styleId="ListParagraph">
    <w:name w:val="List Paragraph"/>
    <w:aliases w:val="Bullet List,FooterText,LP1,List Paragraph1,List Paragraph_0,List Paragraph_1,List Paragraph_2,Paragraphe de liste1,lp1,numbered,style 2,כותרת 1 א,פיסקת bullets"/>
    <w:basedOn w:val="Normal"/>
    <w:link w:val="ListParagraphChar"/>
    <w:uiPriority w:val="34"/>
    <w:qFormat/>
    <w:rsid w:val="003F6D65"/>
    <w:pPr>
      <w:ind w:left="720"/>
      <w:contextualSpacing/>
    </w:pPr>
  </w:style>
  <w:style w:type="paragraph" w:customStyle="1" w:styleId="731">
    <w:name w:val="73א כותרת 1"/>
    <w:qFormat/>
    <w:rsid w:val="0078358A"/>
    <w:pPr>
      <w:keepNext/>
      <w:keepLines/>
      <w:pageBreakBefore/>
      <w:widowControl w:val="0"/>
      <w:spacing w:before="360" w:after="240" w:line="440" w:lineRule="exact"/>
      <w:jc w:val="center"/>
      <w:outlineLvl w:val="0"/>
    </w:pPr>
    <w:rPr>
      <w:rFonts w:ascii="Tahoma" w:hAnsi="Tahoma" w:cs="Tahoma"/>
      <w:b/>
      <w:bCs/>
      <w:noProof/>
      <w:color w:val="00305F"/>
      <w:sz w:val="40"/>
      <w:szCs w:val="36"/>
    </w:rPr>
  </w:style>
  <w:style w:type="paragraph" w:customStyle="1" w:styleId="73">
    <w:name w:val="73א פעולות ביקורת"/>
    <w:basedOn w:val="214"/>
    <w:qFormat/>
    <w:rsid w:val="0091353C"/>
    <w:pPr>
      <w:keepNext/>
      <w:keepLines/>
      <w:pBdr>
        <w:top w:val="double" w:sz="12" w:space="5" w:color="auto"/>
      </w:pBdr>
      <w:spacing w:before="480" w:after="360"/>
      <w:outlineLvl w:val="9"/>
    </w:pPr>
    <w:rPr>
      <w:b/>
      <w:noProof/>
      <w:sz w:val="31"/>
      <w:szCs w:val="31"/>
      <w:lang w:val="he-IL"/>
    </w:rPr>
  </w:style>
  <w:style w:type="character" w:styleId="Hyperlink">
    <w:name w:val="Hyperlink"/>
    <w:basedOn w:val="DefaultParagraphFont"/>
    <w:uiPriority w:val="99"/>
    <w:unhideWhenUsed/>
    <w:rsid w:val="005A4042"/>
    <w:rPr>
      <w:color w:val="6B9F25" w:themeColor="hyperlink"/>
      <w:u w:val="single"/>
    </w:rPr>
  </w:style>
  <w:style w:type="paragraph" w:customStyle="1" w:styleId="p00">
    <w:name w:val="p00"/>
    <w:basedOn w:val="Normal"/>
    <w:uiPriority w:val="99"/>
    <w:rsid w:val="00C24503"/>
    <w:pPr>
      <w:bidi w:val="0"/>
      <w:spacing w:before="100" w:beforeAutospacing="1" w:after="100" w:afterAutospacing="1" w:line="240" w:lineRule="auto"/>
      <w:jc w:val="left"/>
    </w:pPr>
    <w:rPr>
      <w:rFonts w:eastAsia="Times New Roman" w:cs="Times New Roman"/>
      <w:sz w:val="24"/>
    </w:rPr>
  </w:style>
  <w:style w:type="paragraph" w:styleId="Revision">
    <w:name w:val="Revision"/>
    <w:hidden/>
    <w:uiPriority w:val="99"/>
    <w:semiHidden/>
    <w:rsid w:val="00AF6A68"/>
    <w:pPr>
      <w:spacing w:after="0" w:line="240" w:lineRule="auto"/>
      <w:jc w:val="left"/>
    </w:pPr>
  </w:style>
  <w:style w:type="character" w:customStyle="1" w:styleId="default">
    <w:name w:val="default"/>
    <w:basedOn w:val="DefaultParagraphFont"/>
    <w:rsid w:val="00C24503"/>
  </w:style>
  <w:style w:type="paragraph" w:customStyle="1" w:styleId="NAME">
    <w:name w:val="NAME"/>
    <w:basedOn w:val="Normal"/>
    <w:rsid w:val="00D5266D"/>
    <w:pPr>
      <w:spacing w:before="2000" w:after="120"/>
      <w:jc w:val="center"/>
      <w:outlineLvl w:val="0"/>
    </w:pPr>
    <w:rPr>
      <w:rFonts w:ascii="Tahoma" w:eastAsia="Times New Roman" w:hAnsi="Tahoma" w:cs="Tahoma"/>
      <w:color w:val="2A2AA6"/>
      <w:sz w:val="42"/>
      <w:szCs w:val="42"/>
      <w:lang w:eastAsia="he-IL"/>
    </w:rPr>
  </w:style>
  <w:style w:type="paragraph" w:customStyle="1" w:styleId="P000">
    <w:name w:val="P00"/>
    <w:link w:val="P001"/>
    <w:uiPriority w:val="99"/>
    <w:rsid w:val="00C24503"/>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pPr>
    <w:rPr>
      <w:rFonts w:eastAsia="Times New Roman" w:cs="Times New Roman"/>
      <w:noProof/>
      <w:szCs w:val="26"/>
      <w:lang w:eastAsia="he-IL"/>
    </w:rPr>
  </w:style>
  <w:style w:type="character" w:customStyle="1" w:styleId="730">
    <w:name w:val="כותרת 7 תו3"/>
    <w:basedOn w:val="DefaultParagraphFont"/>
    <w:uiPriority w:val="1"/>
    <w:rsid w:val="00456AD9"/>
    <w:rPr>
      <w:rFonts w:asciiTheme="majorHAnsi" w:eastAsiaTheme="majorEastAsia" w:hAnsiTheme="majorHAnsi" w:cstheme="majorBidi"/>
      <w:b/>
      <w:bCs/>
      <w:color w:val="134163" w:themeColor="accent2" w:themeShade="80"/>
      <w:sz w:val="22"/>
      <w:szCs w:val="22"/>
    </w:rPr>
  </w:style>
  <w:style w:type="character" w:customStyle="1" w:styleId="P001">
    <w:name w:val="P00 תו"/>
    <w:link w:val="P000"/>
    <w:rsid w:val="00C24503"/>
    <w:rPr>
      <w:rFonts w:eastAsia="Times New Roman" w:cs="Times New Roman"/>
      <w:noProof/>
      <w:szCs w:val="26"/>
      <w:lang w:eastAsia="he-IL"/>
    </w:rPr>
  </w:style>
  <w:style w:type="character" w:customStyle="1" w:styleId="732">
    <w:name w:val="73א קוביה רצה תו"/>
    <w:basedOn w:val="DefaultParagraphFont"/>
    <w:link w:val="7318"/>
    <w:rsid w:val="004B039B"/>
    <w:rPr>
      <w:rFonts w:ascii="Tahoma" w:eastAsia="Times New Roman" w:hAnsi="Tahoma" w:cs="Tahoma"/>
      <w:color w:val="0D0D0D" w:themeColor="text1" w:themeTint="F2"/>
      <w:sz w:val="18"/>
      <w:szCs w:val="18"/>
      <w:shd w:val="solid" w:color="CEEAF5" w:fill="auto"/>
      <w:lang w:eastAsia="he-IL"/>
    </w:rPr>
  </w:style>
  <w:style w:type="table" w:customStyle="1" w:styleId="10">
    <w:name w:val="רשת טבלה1"/>
    <w:basedOn w:val="TableNormal"/>
    <w:next w:val="TableGrid"/>
    <w:uiPriority w:val="59"/>
    <w:rsid w:val="008B17A0"/>
    <w:pPr>
      <w:spacing w:after="0" w:line="240" w:lineRule="auto"/>
      <w:jc w:val="left"/>
    </w:pPr>
    <w:rPr>
      <w:rFonts w:eastAsia="Times New Roman"/>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EW-BlueTable">
    <w:name w:val="NEW-Blue Table"/>
    <w:basedOn w:val="GridTable4Accent1"/>
    <w:uiPriority w:val="99"/>
    <w:rsid w:val="00DC345A"/>
    <w:pPr>
      <w:spacing w:before="120" w:after="120"/>
      <w:jc w:val="left"/>
    </w:pPr>
    <w:rPr>
      <w:rFonts w:ascii="Almoni ML Regular AAA" w:eastAsia="Almoni ML Regular AAA" w:hAnsi="Almoni ML Regular AAA" w:cs="Almoni ML Regular AAA"/>
      <w:sz w:val="18"/>
      <w:szCs w:val="18"/>
      <w:lang w:val="en-GB" w:eastAsia="en-GB"/>
    </w:rPr>
    <w:tblPr>
      <w:tblBorders>
        <w:top w:val="none" w:sz="0" w:space="0" w:color="auto"/>
        <w:left w:val="single" w:sz="4" w:space="0" w:color="auto"/>
        <w:bottom w:val="none" w:sz="0" w:space="0" w:color="auto"/>
        <w:right w:val="single" w:sz="4" w:space="0" w:color="auto"/>
        <w:insideH w:val="none" w:sz="0" w:space="0" w:color="auto"/>
        <w:insideV w:val="single" w:sz="4" w:space="0" w:color="auto"/>
      </w:tblBorders>
      <w:tblCellMar>
        <w:top w:w="57" w:type="dxa"/>
        <w:left w:w="57" w:type="dxa"/>
        <w:bottom w:w="57" w:type="dxa"/>
        <w:right w:w="57" w:type="dxa"/>
      </w:tblCellMar>
    </w:tblPr>
    <w:tcPr>
      <w:shd w:val="clear" w:color="auto" w:fill="auto"/>
      <w:vAlign w:val="center"/>
    </w:tcPr>
    <w:tblStylePr w:type="firstRow">
      <w:pPr>
        <w:jc w:val="left"/>
      </w:pPr>
      <w:rPr>
        <w:rFonts w:ascii="Almoni ML Regular AAA" w:eastAsia="Almoni ML Regular AAA" w:hAnsi="Almoni ML Regular AAA" w:cs="Almoni ML Regular AAA"/>
        <w:b/>
        <w:bCs/>
        <w:iCs w:val="0"/>
        <w:color w:val="auto"/>
        <w:sz w:val="18"/>
        <w:szCs w:val="18"/>
      </w:rPr>
      <w:tblPr/>
      <w:tcPr>
        <w:tcBorders>
          <w:top w:val="nil"/>
          <w:left w:val="single" w:sz="4" w:space="0" w:color="auto"/>
          <w:bottom w:val="nil"/>
          <w:right w:val="single" w:sz="4" w:space="0" w:color="auto"/>
          <w:insideH w:val="nil"/>
          <w:insideV w:val="single" w:sz="4" w:space="0" w:color="auto"/>
          <w:tl2br w:val="nil"/>
          <w:tr2bl w:val="nil"/>
        </w:tcBorders>
        <w:shd w:val="clear" w:color="auto" w:fill="C6DCE4"/>
      </w:tcPr>
    </w:tblStylePr>
    <w:tblStylePr w:type="lastRow">
      <w:rPr>
        <w:rFonts w:ascii="Almoni ML Regular AAA" w:eastAsia="Almoni ML Regular AAA" w:hAnsi="Almoni ML Regular AAA" w:cs="Almoni ML Regular AAA"/>
        <w:b w:val="0"/>
        <w:bCs/>
        <w:i w:val="0"/>
        <w:iCs w:val="0"/>
        <w:color w:val="auto"/>
        <w:sz w:val="18"/>
        <w:szCs w:val="18"/>
      </w:rPr>
      <w:tblPr/>
      <w:tcPr>
        <w:tcBorders>
          <w:top w:val="double" w:sz="4" w:space="0" w:color="1CADE4" w:themeColor="accent1"/>
        </w:tcBorders>
        <w:shd w:val="clear" w:color="auto" w:fill="C6DCE4"/>
      </w:tcPr>
    </w:tblStylePr>
    <w:tblStylePr w:type="firstCol">
      <w:rPr>
        <w:rFonts w:ascii="Almoni ML Regular AAA" w:eastAsia="Almoni ML Regular AAA" w:hAnsi="Almoni ML Regular AAA" w:cs="Almoni ML Regular AAA"/>
        <w:b/>
        <w:bCs w:val="0"/>
        <w:sz w:val="18"/>
        <w:szCs w:val="18"/>
      </w:rPr>
    </w:tblStylePr>
    <w:tblStylePr w:type="lastCol">
      <w:rPr>
        <w:rFonts w:ascii="Almoni ML Regular AAA" w:eastAsia="Almoni ML Regular AAA" w:hAnsi="Almoni ML Regular AAA" w:cs="Almoni ML Regular AAA"/>
        <w:b w:val="0"/>
        <w:bCs w:val="0"/>
        <w:i w:val="0"/>
        <w:iCs w:val="0"/>
        <w:sz w:val="18"/>
        <w:szCs w:val="18"/>
      </w:rPr>
    </w:tblStylePr>
    <w:tblStylePr w:type="band1Vert">
      <w:rPr>
        <w:rFonts w:cs="Almoni ML Regular AAA"/>
        <w:bCs w:val="0"/>
        <w:iCs w:val="0"/>
        <w:sz w:val="18"/>
        <w:szCs w:val="18"/>
      </w:rPr>
      <w:tblPr/>
      <w:tcPr>
        <w:shd w:val="clear" w:color="auto" w:fill="D1EEF9" w:themeFill="accent1" w:themeFillTint="33"/>
      </w:tcPr>
    </w:tblStylePr>
    <w:tblStylePr w:type="band2Vert">
      <w:rPr>
        <w:rFonts w:cs="Almoni ML Regular AAA"/>
        <w:bCs w:val="0"/>
        <w:sz w:val="18"/>
        <w:szCs w:val="18"/>
      </w:rPr>
    </w:tblStylePr>
    <w:tblStylePr w:type="band1Horz">
      <w:rPr>
        <w:rFonts w:cs="Almoni ML Regular AAA"/>
        <w:bCs w:val="0"/>
        <w:sz w:val="18"/>
        <w:szCs w:val="18"/>
      </w:rPr>
      <w:tblPr/>
      <w:tcPr>
        <w:shd w:val="clear" w:color="auto" w:fill="DBE8EE"/>
      </w:tcPr>
    </w:tblStylePr>
    <w:tblStylePr w:type="band2Horz">
      <w:rPr>
        <w:rFonts w:cs="Almoni ML Regular AAA"/>
        <w:bCs w:val="0"/>
        <w:sz w:val="18"/>
        <w:szCs w:val="18"/>
      </w:rPr>
      <w:tblPr/>
      <w:tcPr>
        <w:shd w:val="clear" w:color="auto" w:fill="ECF4F5"/>
      </w:tcPr>
    </w:tblStylePr>
    <w:tblStylePr w:type="neCell">
      <w:rPr>
        <w:rFonts w:cs="Almoni ML Regular AAA"/>
        <w:sz w:val="18"/>
        <w:szCs w:val="18"/>
      </w:rPr>
    </w:tblStylePr>
    <w:tblStylePr w:type="nwCell">
      <w:rPr>
        <w:rFonts w:cs="Almoni ML Regular AAA"/>
        <w:sz w:val="18"/>
        <w:szCs w:val="18"/>
      </w:rPr>
    </w:tblStylePr>
    <w:tblStylePr w:type="seCell">
      <w:rPr>
        <w:rFonts w:cs="Almoni ML Regular AAA"/>
        <w:sz w:val="18"/>
        <w:szCs w:val="18"/>
      </w:rPr>
    </w:tblStylePr>
    <w:tblStylePr w:type="swCell">
      <w:rPr>
        <w:rFonts w:cs="Almoni ML Regular AAA"/>
        <w:sz w:val="18"/>
        <w:szCs w:val="18"/>
      </w:rPr>
    </w:tblStylePr>
  </w:style>
  <w:style w:type="table" w:customStyle="1" w:styleId="1-41">
    <w:name w:val="טבלת רשת 1 בהירה - הדגשה 41"/>
    <w:basedOn w:val="TableNormal"/>
    <w:uiPriority w:val="46"/>
    <w:rsid w:val="00444597"/>
    <w:pPr>
      <w:spacing w:after="0" w:line="240" w:lineRule="auto"/>
    </w:pPr>
    <w:tblPr>
      <w:tblStyleRowBandSize w:val="1"/>
      <w:tblStyleColBandSize w:val="1"/>
      <w:tblBorders>
        <w:top w:val="single" w:sz="4" w:space="0" w:color="B2E4D5" w:themeColor="accent4" w:themeTint="66"/>
        <w:left w:val="single" w:sz="4" w:space="0" w:color="B2E4D5" w:themeColor="accent4" w:themeTint="66"/>
        <w:bottom w:val="single" w:sz="4" w:space="0" w:color="B2E4D5" w:themeColor="accent4" w:themeTint="66"/>
        <w:right w:val="single" w:sz="4" w:space="0" w:color="B2E4D5" w:themeColor="accent4" w:themeTint="66"/>
        <w:insideH w:val="single" w:sz="4" w:space="0" w:color="B2E4D5" w:themeColor="accent4" w:themeTint="66"/>
        <w:insideV w:val="single" w:sz="4" w:space="0" w:color="B2E4D5" w:themeColor="accent4" w:themeTint="66"/>
      </w:tblBorders>
    </w:tblPr>
    <w:tblStylePr w:type="firstRow">
      <w:rPr>
        <w:b/>
        <w:bCs/>
      </w:rPr>
      <w:tblPr/>
      <w:tcPr>
        <w:tcBorders>
          <w:bottom w:val="single" w:sz="12" w:space="0" w:color="8CD6C0" w:themeColor="accent4" w:themeTint="99"/>
        </w:tcBorders>
      </w:tcPr>
    </w:tblStylePr>
    <w:tblStylePr w:type="lastRow">
      <w:rPr>
        <w:b/>
        <w:bCs/>
      </w:rPr>
      <w:tblPr/>
      <w:tcPr>
        <w:tcBorders>
          <w:top w:val="double" w:sz="2" w:space="0" w:color="8CD6C0" w:themeColor="accent4"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444597"/>
    <w:rPr>
      <w:b/>
      <w:bCs/>
    </w:rPr>
  </w:style>
  <w:style w:type="paragraph" w:customStyle="1" w:styleId="rtejustify">
    <w:name w:val="rtejustify"/>
    <w:basedOn w:val="Normal"/>
    <w:rsid w:val="00444597"/>
    <w:pPr>
      <w:bidi w:val="0"/>
      <w:spacing w:before="100" w:beforeAutospacing="1" w:after="100" w:afterAutospacing="1" w:line="240" w:lineRule="auto"/>
      <w:jc w:val="left"/>
    </w:pPr>
    <w:rPr>
      <w:rFonts w:eastAsia="Times New Roman" w:cs="Times New Roman"/>
      <w:sz w:val="24"/>
    </w:rPr>
  </w:style>
  <w:style w:type="table" w:styleId="GridTable4Accent1">
    <w:name w:val="Grid Table 4 Accent 1"/>
    <w:basedOn w:val="TableNormal"/>
    <w:uiPriority w:val="49"/>
    <w:rsid w:val="00EE343A"/>
    <w:pPr>
      <w:spacing w:after="0" w:line="240" w:lineRule="auto"/>
    </w:pPr>
    <w:tblPr>
      <w:tblStyleRowBandSize w:val="1"/>
      <w:tblStyleColBandSize w:val="1"/>
      <w:tblBorders>
        <w:top w:val="single" w:sz="4" w:space="0" w:color="76CDEE" w:themeColor="accent1" w:themeTint="99"/>
        <w:left w:val="single" w:sz="4" w:space="0" w:color="76CDEE" w:themeColor="accent1" w:themeTint="99"/>
        <w:bottom w:val="single" w:sz="4" w:space="0" w:color="76CDEE" w:themeColor="accent1" w:themeTint="99"/>
        <w:right w:val="single" w:sz="4" w:space="0" w:color="76CDEE" w:themeColor="accent1" w:themeTint="99"/>
        <w:insideH w:val="single" w:sz="4" w:space="0" w:color="76CDEE" w:themeColor="accent1" w:themeTint="99"/>
        <w:insideV w:val="single" w:sz="4" w:space="0" w:color="76CDEE" w:themeColor="accent1" w:themeTint="99"/>
      </w:tblBorders>
    </w:tblPr>
    <w:tblStylePr w:type="firstRow">
      <w:rPr>
        <w:b/>
        <w:bCs/>
        <w:color w:val="FFFFFF" w:themeColor="background1"/>
      </w:rPr>
      <w:tblPr/>
      <w:tcPr>
        <w:tcBorders>
          <w:top w:val="single" w:sz="4" w:space="0" w:color="1CADE4" w:themeColor="accent1"/>
          <w:left w:val="single" w:sz="4" w:space="0" w:color="1CADE4" w:themeColor="accent1"/>
          <w:bottom w:val="single" w:sz="4" w:space="0" w:color="1CADE4" w:themeColor="accent1"/>
          <w:right w:val="single" w:sz="4" w:space="0" w:color="1CADE4" w:themeColor="accent1"/>
          <w:insideH w:val="nil"/>
          <w:insideV w:val="nil"/>
        </w:tcBorders>
        <w:shd w:val="clear" w:color="auto" w:fill="1CADE4" w:themeFill="accent1"/>
      </w:tcPr>
    </w:tblStylePr>
    <w:tblStylePr w:type="lastRow">
      <w:rPr>
        <w:b/>
        <w:bCs/>
      </w:rPr>
      <w:tblPr/>
      <w:tcPr>
        <w:tcBorders>
          <w:top w:val="double" w:sz="4" w:space="0" w:color="1CADE4" w:themeColor="accent1"/>
        </w:tcBorders>
      </w:tcPr>
    </w:tblStylePr>
    <w:tblStylePr w:type="firstCol">
      <w:rPr>
        <w:b/>
        <w:bCs/>
      </w:rPr>
    </w:tblStylePr>
    <w:tblStylePr w:type="lastCol">
      <w:rPr>
        <w:b/>
        <w:bCs/>
      </w:rPr>
    </w:tblStylePr>
    <w:tblStylePr w:type="band1Vert">
      <w:tblPr/>
      <w:tcPr>
        <w:shd w:val="clear" w:color="auto" w:fill="D1EEF9" w:themeFill="accent1" w:themeFillTint="33"/>
      </w:tcPr>
    </w:tblStylePr>
    <w:tblStylePr w:type="band1Horz">
      <w:tblPr/>
      <w:tcPr>
        <w:shd w:val="clear" w:color="auto" w:fill="D1EEF9" w:themeFill="accent1" w:themeFillTint="33"/>
      </w:tcPr>
    </w:tblStylePr>
  </w:style>
  <w:style w:type="paragraph" w:styleId="Caption">
    <w:name w:val="caption"/>
    <w:basedOn w:val="Normal"/>
    <w:next w:val="Normal"/>
    <w:uiPriority w:val="35"/>
    <w:unhideWhenUsed/>
    <w:qFormat/>
    <w:rsid w:val="00444597"/>
    <w:pPr>
      <w:spacing w:after="200" w:line="240" w:lineRule="auto"/>
    </w:pPr>
    <w:rPr>
      <w:i/>
      <w:iCs/>
      <w:color w:val="335B74" w:themeColor="text2"/>
      <w:sz w:val="18"/>
      <w:szCs w:val="18"/>
    </w:rPr>
  </w:style>
  <w:style w:type="character" w:customStyle="1" w:styleId="Bodytext2">
    <w:name w:val="Body text (2)_"/>
    <w:basedOn w:val="DefaultParagraphFont"/>
    <w:link w:val="Bodytext20"/>
    <w:rsid w:val="00444597"/>
    <w:rPr>
      <w:rFonts w:eastAsia="Times New Roman" w:cs="Times New Roman"/>
      <w:sz w:val="22"/>
      <w:szCs w:val="22"/>
      <w:shd w:val="clear" w:color="auto" w:fill="FFFFFF"/>
    </w:rPr>
  </w:style>
  <w:style w:type="paragraph" w:customStyle="1" w:styleId="Bodytext20">
    <w:name w:val="Body text (2)"/>
    <w:basedOn w:val="Normal"/>
    <w:link w:val="Bodytext2"/>
    <w:rsid w:val="00444597"/>
    <w:pPr>
      <w:widowControl w:val="0"/>
      <w:shd w:val="clear" w:color="auto" w:fill="FFFFFF"/>
      <w:spacing w:line="259" w:lineRule="exact"/>
    </w:pPr>
    <w:rPr>
      <w:rFonts w:eastAsia="Times New Roman" w:cs="Times New Roman"/>
      <w:sz w:val="22"/>
      <w:szCs w:val="22"/>
    </w:rPr>
  </w:style>
  <w:style w:type="character" w:customStyle="1" w:styleId="Bodytext7">
    <w:name w:val="Body text (7)_"/>
    <w:basedOn w:val="DefaultParagraphFont"/>
    <w:link w:val="Bodytext70"/>
    <w:rsid w:val="00444597"/>
    <w:rPr>
      <w:rFonts w:eastAsia="Times New Roman" w:cs="Times New Roman"/>
      <w:sz w:val="22"/>
      <w:szCs w:val="22"/>
      <w:shd w:val="clear" w:color="auto" w:fill="FFFFFF"/>
    </w:rPr>
  </w:style>
  <w:style w:type="paragraph" w:customStyle="1" w:styleId="Bodytext70">
    <w:name w:val="Body text (7)"/>
    <w:basedOn w:val="Normal"/>
    <w:link w:val="Bodytext7"/>
    <w:rsid w:val="00444597"/>
    <w:pPr>
      <w:widowControl w:val="0"/>
      <w:shd w:val="clear" w:color="auto" w:fill="FFFFFF"/>
      <w:spacing w:line="384" w:lineRule="exact"/>
      <w:ind w:hanging="360"/>
    </w:pPr>
    <w:rPr>
      <w:rFonts w:eastAsia="Times New Roman" w:cs="Times New Roman"/>
      <w:sz w:val="22"/>
      <w:szCs w:val="22"/>
    </w:rPr>
  </w:style>
  <w:style w:type="character" w:customStyle="1" w:styleId="Bodytext2Bold">
    <w:name w:val="Body text (2) + Bold"/>
    <w:basedOn w:val="Bodytext2"/>
    <w:rsid w:val="00444597"/>
    <w:rPr>
      <w:rFonts w:ascii="Lucida Sans Unicode" w:eastAsia="Lucida Sans Unicode" w:hAnsi="Lucida Sans Unicode" w:cs="Lucida Sans Unicode"/>
      <w:b/>
      <w:bCs/>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3">
    <w:name w:val="Body text (3)_"/>
    <w:basedOn w:val="DefaultParagraphFont"/>
    <w:rsid w:val="00444597"/>
    <w:rPr>
      <w:rFonts w:ascii="Lucida Sans Unicode" w:eastAsia="Lucida Sans Unicode" w:hAnsi="Lucida Sans Unicode" w:cs="Lucida Sans Unicode"/>
      <w:b w:val="0"/>
      <w:bCs w:val="0"/>
      <w:i w:val="0"/>
      <w:iCs w:val="0"/>
      <w:smallCaps w:val="0"/>
      <w:strike w:val="0"/>
      <w:sz w:val="16"/>
      <w:szCs w:val="16"/>
      <w:u w:val="none"/>
    </w:rPr>
  </w:style>
  <w:style w:type="character" w:customStyle="1" w:styleId="Bodytext30">
    <w:name w:val="Body text (3)"/>
    <w:basedOn w:val="Bodytext3"/>
    <w:rsid w:val="00444597"/>
    <w:rPr>
      <w:rFonts w:ascii="Lucida Sans Unicode" w:eastAsia="Lucida Sans Unicode" w:hAnsi="Lucida Sans Unicode" w:cs="Lucida Sans Unicode"/>
      <w:b w:val="0"/>
      <w:bCs w:val="0"/>
      <w:i w:val="0"/>
      <w:iCs w:val="0"/>
      <w:smallCaps w:val="0"/>
      <w:strike w:val="0"/>
      <w:color w:val="000000"/>
      <w:spacing w:val="0"/>
      <w:w w:val="100"/>
      <w:position w:val="0"/>
      <w:sz w:val="16"/>
      <w:szCs w:val="16"/>
      <w:u w:val="none"/>
      <w:lang w:val="he-IL" w:eastAsia="he-IL" w:bidi="he-IL"/>
    </w:rPr>
  </w:style>
  <w:style w:type="character" w:customStyle="1" w:styleId="Bodytext2Spacing-1pt">
    <w:name w:val="Body text (2) + Spacing -1 pt"/>
    <w:basedOn w:val="Bodytext2"/>
    <w:rsid w:val="00444597"/>
    <w:rPr>
      <w:rFonts w:ascii="Lucida Sans Unicode" w:eastAsia="Lucida Sans Unicode" w:hAnsi="Lucida Sans Unicode" w:cs="Lucida Sans Unicode"/>
      <w:b w:val="0"/>
      <w:bCs w:val="0"/>
      <w:i w:val="0"/>
      <w:iCs w:val="0"/>
      <w:smallCaps w:val="0"/>
      <w:strike w:val="0"/>
      <w:color w:val="000000"/>
      <w:spacing w:val="-30"/>
      <w:w w:val="100"/>
      <w:position w:val="0"/>
      <w:sz w:val="20"/>
      <w:szCs w:val="20"/>
      <w:u w:val="none"/>
      <w:shd w:val="clear" w:color="auto" w:fill="FFFFFF"/>
      <w:lang w:val="en-US" w:eastAsia="en-US" w:bidi="en-US"/>
    </w:rPr>
  </w:style>
  <w:style w:type="character" w:customStyle="1" w:styleId="Bodytext6">
    <w:name w:val="Body text (6)_"/>
    <w:basedOn w:val="DefaultParagraphFont"/>
    <w:link w:val="Bodytext60"/>
    <w:rsid w:val="00444597"/>
    <w:rPr>
      <w:rFonts w:ascii="Lucida Sans Unicode" w:eastAsia="Lucida Sans Unicode" w:hAnsi="Lucida Sans Unicode" w:cs="Lucida Sans Unicode"/>
      <w:b/>
      <w:bCs/>
      <w:szCs w:val="20"/>
      <w:shd w:val="clear" w:color="auto" w:fill="FFFFFF"/>
    </w:rPr>
  </w:style>
  <w:style w:type="paragraph" w:customStyle="1" w:styleId="Bodytext60">
    <w:name w:val="Body text (6)"/>
    <w:basedOn w:val="Normal"/>
    <w:link w:val="Bodytext6"/>
    <w:rsid w:val="00444597"/>
    <w:pPr>
      <w:widowControl w:val="0"/>
      <w:shd w:val="clear" w:color="auto" w:fill="FFFFFF"/>
      <w:spacing w:line="370" w:lineRule="exact"/>
    </w:pPr>
    <w:rPr>
      <w:rFonts w:ascii="Lucida Sans Unicode" w:eastAsia="Lucida Sans Unicode" w:hAnsi="Lucida Sans Unicode" w:cs="Lucida Sans Unicode"/>
      <w:b/>
      <w:bCs/>
      <w:szCs w:val="20"/>
    </w:rPr>
  </w:style>
  <w:style w:type="character" w:customStyle="1" w:styleId="Bodytext6NotBold">
    <w:name w:val="Body text (6) + Not Bold"/>
    <w:aliases w:val="Spacing -1 pt"/>
    <w:basedOn w:val="Bodytext6"/>
    <w:rsid w:val="00444597"/>
    <w:rPr>
      <w:rFonts w:ascii="Lucida Sans Unicode" w:eastAsia="Lucida Sans Unicode" w:hAnsi="Lucida Sans Unicode" w:cs="Lucida Sans Unicode"/>
      <w:b/>
      <w:bCs/>
      <w:i w:val="0"/>
      <w:iCs w:val="0"/>
      <w:smallCaps w:val="0"/>
      <w:strike w:val="0"/>
      <w:color w:val="000000"/>
      <w:spacing w:val="0"/>
      <w:w w:val="100"/>
      <w:position w:val="0"/>
      <w:sz w:val="20"/>
      <w:szCs w:val="20"/>
      <w:u w:val="none"/>
      <w:shd w:val="clear" w:color="auto" w:fill="FFFFFF"/>
      <w:lang w:val="he-IL" w:eastAsia="he-IL" w:bidi="he-IL"/>
    </w:rPr>
  </w:style>
  <w:style w:type="paragraph" w:styleId="BodyTextIndent">
    <w:name w:val="Body Text Indent"/>
    <w:basedOn w:val="Normal"/>
    <w:link w:val="BodyTextIndentChar"/>
    <w:uiPriority w:val="99"/>
    <w:unhideWhenUsed/>
    <w:rsid w:val="0006189A"/>
    <w:pPr>
      <w:spacing w:after="120"/>
      <w:ind w:left="340"/>
    </w:pPr>
    <w:rPr>
      <w:rFonts w:ascii="Tahoma" w:hAnsi="Tahoma" w:cs="Tahoma"/>
      <w:sz w:val="16"/>
      <w:szCs w:val="20"/>
    </w:rPr>
  </w:style>
  <w:style w:type="character" w:customStyle="1" w:styleId="BodyTextIndentChar">
    <w:name w:val="Body Text Indent Char"/>
    <w:basedOn w:val="DefaultParagraphFont"/>
    <w:link w:val="BodyTextIndent"/>
    <w:uiPriority w:val="99"/>
    <w:rsid w:val="0006189A"/>
    <w:rPr>
      <w:rFonts w:ascii="Tahoma" w:hAnsi="Tahoma" w:cs="Tahoma"/>
      <w:sz w:val="16"/>
      <w:szCs w:val="20"/>
    </w:rPr>
  </w:style>
  <w:style w:type="paragraph" w:customStyle="1" w:styleId="121">
    <w:name w:val="כותרת 1_21"/>
    <w:basedOn w:val="Normal"/>
    <w:link w:val="121Char"/>
    <w:qFormat/>
    <w:rsid w:val="00454096"/>
    <w:pPr>
      <w:spacing w:before="1440"/>
      <w:jc w:val="center"/>
      <w:outlineLvl w:val="0"/>
    </w:pPr>
    <w:rPr>
      <w:rFonts w:ascii="Tahoma" w:hAnsi="Tahoma" w:eastAsiaTheme="minorEastAsia" w:cs="Tahoma"/>
      <w:color w:val="2A2AA6"/>
      <w:sz w:val="42"/>
      <w:szCs w:val="42"/>
    </w:rPr>
  </w:style>
  <w:style w:type="character" w:customStyle="1" w:styleId="alink">
    <w:name w:val="a_link"/>
    <w:basedOn w:val="DefaultParagraphFont"/>
    <w:rsid w:val="00417266"/>
    <w:rPr>
      <w:color w:val="0000FF"/>
    </w:rPr>
  </w:style>
  <w:style w:type="paragraph" w:customStyle="1" w:styleId="a">
    <w:name w:val="תואר"/>
    <w:basedOn w:val="Normal"/>
    <w:link w:val="a0"/>
    <w:qFormat/>
    <w:rsid w:val="00417266"/>
    <w:pPr>
      <w:spacing w:line="240" w:lineRule="auto"/>
      <w:jc w:val="center"/>
    </w:pPr>
    <w:rPr>
      <w:rFonts w:eastAsia="Times New Roman" w:cs="Times New Roman"/>
      <w:b/>
      <w:bCs/>
      <w:sz w:val="32"/>
      <w:szCs w:val="32"/>
      <w:lang w:eastAsia="he-IL"/>
    </w:rPr>
  </w:style>
  <w:style w:type="character" w:customStyle="1" w:styleId="a0">
    <w:name w:val="תואר תו"/>
    <w:link w:val="a"/>
    <w:locked/>
    <w:rsid w:val="00417266"/>
    <w:rPr>
      <w:rFonts w:eastAsia="Times New Roman" w:cs="Times New Roman"/>
      <w:b/>
      <w:bCs/>
      <w:sz w:val="32"/>
      <w:szCs w:val="32"/>
      <w:lang w:eastAsia="he-IL"/>
    </w:rPr>
  </w:style>
  <w:style w:type="character" w:customStyle="1" w:styleId="2">
    <w:name w:val="טקסט הערת שוליים תו2"/>
    <w:uiPriority w:val="99"/>
    <w:rsid w:val="00417266"/>
    <w:rPr>
      <w:rFonts w:cs="David"/>
    </w:rPr>
  </w:style>
  <w:style w:type="paragraph" w:styleId="TOCHeading">
    <w:name w:val="TOC Heading"/>
    <w:basedOn w:val="Heading1"/>
    <w:next w:val="Normal"/>
    <w:uiPriority w:val="39"/>
    <w:unhideWhenUsed/>
    <w:qFormat/>
    <w:rsid w:val="00417266"/>
    <w:pPr>
      <w:spacing w:before="240" w:line="259" w:lineRule="auto"/>
      <w:jc w:val="left"/>
      <w:outlineLvl w:val="9"/>
    </w:pPr>
    <w:rPr>
      <w:rFonts w:asciiTheme="majorHAnsi" w:hAnsiTheme="majorHAnsi" w:cstheme="majorBidi"/>
      <w:bCs w:val="0"/>
      <w:color w:val="1481AB" w:themeColor="accent1" w:themeShade="BF"/>
      <w:sz w:val="32"/>
      <w:szCs w:val="32"/>
      <w:u w:val="none"/>
      <w:rtl/>
      <w:cs/>
    </w:rPr>
  </w:style>
  <w:style w:type="character" w:customStyle="1" w:styleId="highlightspan">
    <w:name w:val="highlightspan"/>
    <w:basedOn w:val="DefaultParagraphFont"/>
    <w:rsid w:val="00417266"/>
  </w:style>
  <w:style w:type="character" w:customStyle="1" w:styleId="11">
    <w:name w:val="נושא הערה תו1"/>
    <w:basedOn w:val="CommentTextChar"/>
    <w:uiPriority w:val="99"/>
    <w:semiHidden/>
    <w:rsid w:val="00417266"/>
    <w:rPr>
      <w:b/>
      <w:bCs/>
      <w:szCs w:val="20"/>
    </w:rPr>
  </w:style>
  <w:style w:type="character" w:styleId="FollowedHyperlink">
    <w:name w:val="FollowedHyperlink"/>
    <w:basedOn w:val="DefaultParagraphFont"/>
    <w:uiPriority w:val="99"/>
    <w:semiHidden/>
    <w:unhideWhenUsed/>
    <w:rsid w:val="00417266"/>
    <w:rPr>
      <w:color w:val="B26B02" w:themeColor="followedHyperlink"/>
      <w:u w:val="single"/>
    </w:rPr>
  </w:style>
  <w:style w:type="paragraph" w:styleId="TableofFigures">
    <w:name w:val="table of figures"/>
    <w:basedOn w:val="Normal"/>
    <w:next w:val="Normal"/>
    <w:uiPriority w:val="99"/>
    <w:semiHidden/>
    <w:unhideWhenUsed/>
    <w:rsid w:val="00417266"/>
  </w:style>
  <w:style w:type="character" w:styleId="PlaceholderText">
    <w:name w:val="Placeholder Text"/>
    <w:basedOn w:val="DefaultParagraphFont"/>
    <w:uiPriority w:val="99"/>
    <w:semiHidden/>
    <w:rsid w:val="00417266"/>
    <w:rPr>
      <w:color w:val="808080"/>
    </w:rPr>
  </w:style>
  <w:style w:type="paragraph" w:customStyle="1" w:styleId="733155">
    <w:name w:val="73א כותרת 3_15.5"/>
    <w:basedOn w:val="Heading3"/>
    <w:link w:val="7331550"/>
    <w:qFormat/>
    <w:rsid w:val="00092EAB"/>
    <w:pPr>
      <w:spacing w:before="360" w:after="180" w:line="240" w:lineRule="atLeast"/>
      <w:jc w:val="left"/>
    </w:pPr>
    <w:rPr>
      <w:rFonts w:ascii="Tahoma" w:eastAsia="Times New Roman" w:hAnsi="Tahoma" w:cs="Tahoma"/>
      <w:b/>
      <w:color w:val="00305F"/>
      <w:sz w:val="31"/>
      <w:szCs w:val="31"/>
      <w:u w:val="none"/>
    </w:rPr>
  </w:style>
  <w:style w:type="paragraph" w:customStyle="1" w:styleId="100">
    <w:name w:val="טקסט רץ 10"/>
    <w:basedOn w:val="Normal"/>
    <w:link w:val="10Char"/>
    <w:uiPriority w:val="99"/>
    <w:qFormat/>
    <w:rsid w:val="00705DA7"/>
    <w:pPr>
      <w:spacing w:after="120"/>
    </w:pPr>
    <w:rPr>
      <w:rFonts w:ascii="Tahoma" w:hAnsi="Tahoma" w:cs="Tahoma"/>
      <w:szCs w:val="20"/>
    </w:rPr>
  </w:style>
  <w:style w:type="character" w:customStyle="1" w:styleId="7331550">
    <w:name w:val="73א כותרת 3_15.5 תו"/>
    <w:basedOn w:val="Heading3Char"/>
    <w:link w:val="733155"/>
    <w:rsid w:val="00092EAB"/>
    <w:rPr>
      <w:rFonts w:ascii="Tahoma" w:eastAsia="Times New Roman" w:hAnsi="Tahoma" w:cs="Tahoma"/>
      <w:b/>
      <w:bCs/>
      <w:color w:val="00305F"/>
      <w:sz w:val="31"/>
      <w:szCs w:val="31"/>
      <w:u w:val="single"/>
    </w:rPr>
  </w:style>
  <w:style w:type="paragraph" w:customStyle="1" w:styleId="733">
    <w:name w:val="73א הערות שוליים"/>
    <w:basedOn w:val="FootnoteText"/>
    <w:link w:val="7330"/>
    <w:qFormat/>
    <w:rsid w:val="00DE1F29"/>
    <w:pPr>
      <w:keepLines/>
      <w:spacing w:after="60" w:line="220" w:lineRule="exact"/>
      <w:ind w:left="397" w:hanging="397"/>
    </w:pPr>
    <w:rPr>
      <w:rFonts w:ascii="Tahoma" w:hAnsi="Tahoma" w:cs="Tahoma"/>
      <w:color w:val="0D0D0D" w:themeColor="text1" w:themeTint="F2"/>
      <w:sz w:val="14"/>
      <w:szCs w:val="14"/>
    </w:rPr>
  </w:style>
  <w:style w:type="paragraph" w:customStyle="1" w:styleId="734">
    <w:name w:val="73א לוחות/תרשימים/תמונות/אינפוגרפיקה/מפות"/>
    <w:basedOn w:val="Normal"/>
    <w:qFormat/>
    <w:rsid w:val="004B039B"/>
    <w:pPr>
      <w:keepNext/>
      <w:keepLines/>
      <w:widowControl w:val="0"/>
      <w:spacing w:before="240" w:after="240" w:line="260" w:lineRule="exact"/>
      <w:jc w:val="center"/>
      <w:outlineLvl w:val="6"/>
    </w:pPr>
    <w:rPr>
      <w:rFonts w:ascii="Tahoma" w:hAnsi="Tahoma" w:eastAsiaTheme="minorEastAsia" w:cs="Tahoma"/>
      <w:b/>
      <w:bCs/>
      <w:color w:val="0D0D0D" w:themeColor="text1" w:themeTint="F2"/>
      <w:szCs w:val="20"/>
    </w:rPr>
  </w:style>
  <w:style w:type="paragraph" w:customStyle="1" w:styleId="218">
    <w:name w:val="כותרת 2_18"/>
    <w:basedOn w:val="Heading2"/>
    <w:link w:val="218Char"/>
    <w:qFormat/>
    <w:rsid w:val="00635B2E"/>
    <w:pPr>
      <w:keepLines w:val="0"/>
      <w:spacing w:before="600" w:after="120"/>
      <w:jc w:val="left"/>
    </w:pPr>
    <w:rPr>
      <w:rFonts w:ascii="Arial Bold" w:eastAsia="Times New Roman" w:hAnsi="Arial Bold" w:cs="Tahoma"/>
      <w:bCs w:val="0"/>
      <w:color w:val="365F91"/>
      <w:sz w:val="36"/>
      <w:szCs w:val="36"/>
    </w:rPr>
  </w:style>
  <w:style w:type="character" w:customStyle="1" w:styleId="218Char">
    <w:name w:val="כותרת 2_18 Char"/>
    <w:link w:val="218"/>
    <w:rsid w:val="00635B2E"/>
    <w:rPr>
      <w:rFonts w:ascii="Arial Bold" w:eastAsia="Times New Roman" w:hAnsi="Arial Bold" w:cs="Tahoma"/>
      <w:color w:val="365F91"/>
      <w:sz w:val="36"/>
      <w:szCs w:val="36"/>
    </w:rPr>
  </w:style>
  <w:style w:type="character" w:customStyle="1" w:styleId="ListParagraphChar">
    <w:name w:val="List Paragraph Char"/>
    <w:aliases w:val="Bullet List Char,FooterText Char,LP1 Char,List Paragraph1 Char,List Paragraph_0 Char,List Paragraph_1 Char,List Paragraph_2 Char,Paragraphe de liste1 Char,lp1 Char,numbered Char,style 2 Char,כותרת 1 א Char,פיסקת bullets Char"/>
    <w:link w:val="ListParagraph"/>
    <w:uiPriority w:val="34"/>
    <w:rsid w:val="00DD7B55"/>
  </w:style>
  <w:style w:type="paragraph" w:customStyle="1" w:styleId="735">
    <w:name w:val="73א הזחה ראשונה מספר"/>
    <w:basedOn w:val="ListParagraph"/>
    <w:link w:val="7337"/>
    <w:qFormat/>
    <w:rsid w:val="0091353C"/>
    <w:pPr>
      <w:spacing w:after="180" w:line="260" w:lineRule="exact"/>
      <w:ind w:left="709" w:hanging="454"/>
      <w:contextualSpacing w:val="0"/>
    </w:pPr>
    <w:rPr>
      <w:rFonts w:ascii="Tahoma" w:hAnsi="Tahoma" w:cs="Tahoma"/>
      <w:color w:val="0D0D0D" w:themeColor="text1" w:themeTint="F2"/>
      <w:sz w:val="18"/>
      <w:szCs w:val="18"/>
    </w:rPr>
  </w:style>
  <w:style w:type="paragraph" w:customStyle="1" w:styleId="736">
    <w:name w:val="73א הזחה שנייה ריק"/>
    <w:basedOn w:val="BodyTextIndent"/>
    <w:link w:val="7312"/>
    <w:qFormat/>
    <w:rsid w:val="0074714A"/>
    <w:pPr>
      <w:spacing w:after="180" w:line="260" w:lineRule="exact"/>
      <w:ind w:left="794"/>
    </w:pPr>
    <w:rPr>
      <w:color w:val="0D0D0D" w:themeColor="text1" w:themeTint="F2"/>
      <w:sz w:val="18"/>
      <w:szCs w:val="18"/>
    </w:rPr>
  </w:style>
  <w:style w:type="paragraph" w:customStyle="1" w:styleId="737">
    <w:name w:val="73א הזחה שנייה אותיות"/>
    <w:basedOn w:val="ListParagraph"/>
    <w:qFormat/>
    <w:rsid w:val="00591F15"/>
    <w:pPr>
      <w:spacing w:after="180" w:line="260" w:lineRule="exact"/>
      <w:ind w:left="0"/>
    </w:pPr>
    <w:rPr>
      <w:rFonts w:ascii="Tahoma" w:hAnsi="Tahoma" w:cs="Tahoma"/>
      <w:color w:val="0D0D0D" w:themeColor="text1" w:themeTint="F2"/>
      <w:sz w:val="18"/>
      <w:szCs w:val="18"/>
    </w:rPr>
  </w:style>
  <w:style w:type="paragraph" w:customStyle="1" w:styleId="738">
    <w:name w:val="73א מקרא+הערות לתרשים/לוח/תמונה"/>
    <w:basedOn w:val="733"/>
    <w:link w:val="7331"/>
    <w:qFormat/>
    <w:rsid w:val="00DE1F29"/>
    <w:pPr>
      <w:keepLines w:val="0"/>
      <w:spacing w:before="120" w:after="240" w:line="260" w:lineRule="exact"/>
      <w:ind w:left="0" w:firstLine="0"/>
    </w:pPr>
    <w:rPr>
      <w:sz w:val="16"/>
      <w:szCs w:val="16"/>
    </w:rPr>
  </w:style>
  <w:style w:type="paragraph" w:customStyle="1" w:styleId="739">
    <w:name w:val="73א קוביה כחולה הזחה שנייה"/>
    <w:basedOn w:val="Normal"/>
    <w:qFormat/>
    <w:rsid w:val="00FF6AD9"/>
    <w:pPr>
      <w:keepLines/>
      <w:pBdr>
        <w:top w:val="single" w:sz="18" w:space="4" w:color="CEEAF6"/>
        <w:left w:val="single" w:sz="18" w:space="11" w:color="CEEAF6"/>
        <w:bottom w:val="single" w:sz="18" w:space="6" w:color="CEEAF6"/>
        <w:right w:val="single" w:sz="18" w:space="11" w:color="CEEAF6"/>
      </w:pBdr>
      <w:shd w:val="solid" w:color="CEEAF6" w:fill="auto"/>
      <w:tabs>
        <w:tab w:val="left" w:pos="624"/>
      </w:tabs>
      <w:spacing w:after="180" w:line="260" w:lineRule="exact"/>
      <w:ind w:left="1077" w:right="284"/>
    </w:pPr>
    <w:rPr>
      <w:rFonts w:ascii="Tahoma" w:eastAsia="Times New Roman" w:hAnsi="Tahoma" w:cs="Tahoma"/>
      <w:color w:val="0D0D0D" w:themeColor="text1" w:themeTint="F2"/>
      <w:sz w:val="18"/>
      <w:szCs w:val="18"/>
      <w:lang w:eastAsia="he-IL"/>
    </w:rPr>
  </w:style>
  <w:style w:type="paragraph" w:customStyle="1" w:styleId="7310">
    <w:name w:val="73א קוביה כחולה בתוך הזחה ראשונה"/>
    <w:basedOn w:val="739"/>
    <w:qFormat/>
    <w:rsid w:val="00003557"/>
    <w:pPr>
      <w:pBdr>
        <w:top w:val="single" w:sz="18" w:space="4" w:color="CEEAF5"/>
        <w:left w:val="single" w:sz="18" w:space="11" w:color="CEEAF5"/>
        <w:bottom w:val="single" w:sz="18" w:space="6" w:color="CEEAF5"/>
        <w:right w:val="single" w:sz="18" w:space="11" w:color="CEEAF5"/>
      </w:pBdr>
      <w:shd w:val="solid" w:color="CEEAF5" w:fill="auto"/>
      <w:spacing w:after="120"/>
      <w:ind w:left="680" w:right="227"/>
    </w:pPr>
  </w:style>
  <w:style w:type="paragraph" w:customStyle="1" w:styleId="7311">
    <w:name w:val="73א הזחה שנייה ללא מספר"/>
    <w:basedOn w:val="736"/>
    <w:link w:val="7313"/>
    <w:qFormat/>
    <w:rsid w:val="00543F8A"/>
  </w:style>
  <w:style w:type="character" w:customStyle="1" w:styleId="7312">
    <w:name w:val="73א הזחה שנייה ריק תו"/>
    <w:basedOn w:val="BodyTextIndentChar"/>
    <w:link w:val="736"/>
    <w:rsid w:val="0074714A"/>
    <w:rPr>
      <w:rFonts w:ascii="Tahoma" w:hAnsi="Tahoma" w:cs="Tahoma"/>
      <w:color w:val="0D0D0D" w:themeColor="text1" w:themeTint="F2"/>
      <w:sz w:val="18"/>
      <w:szCs w:val="18"/>
    </w:rPr>
  </w:style>
  <w:style w:type="character" w:customStyle="1" w:styleId="7313">
    <w:name w:val="73א הזחה שנייה ללא מספר תו"/>
    <w:basedOn w:val="7312"/>
    <w:link w:val="7311"/>
    <w:rsid w:val="00543F8A"/>
    <w:rPr>
      <w:rFonts w:ascii="Tahoma" w:hAnsi="Tahoma" w:cs="Tahoma"/>
      <w:color w:val="0D0D0D" w:themeColor="text1" w:themeTint="F2"/>
      <w:sz w:val="18"/>
      <w:szCs w:val="18"/>
    </w:rPr>
  </w:style>
  <w:style w:type="paragraph" w:customStyle="1" w:styleId="7314">
    <w:name w:val="73א מספור הערות שוליים"/>
    <w:basedOn w:val="733"/>
    <w:qFormat/>
    <w:rsid w:val="003B639B"/>
  </w:style>
  <w:style w:type="paragraph" w:customStyle="1" w:styleId="73R">
    <w:name w:val="73א טבלה טקסט R"/>
    <w:basedOn w:val="Normal"/>
    <w:qFormat/>
    <w:rsid w:val="002F5524"/>
    <w:pPr>
      <w:keepLines/>
      <w:spacing w:before="120" w:after="120" w:line="180" w:lineRule="exact"/>
      <w:jc w:val="left"/>
    </w:pPr>
    <w:rPr>
      <w:rFonts w:ascii="Tahoma" w:hAnsi="Tahoma" w:eastAsiaTheme="minorEastAsia" w:cs="Tahoma"/>
      <w:sz w:val="16"/>
      <w:szCs w:val="16"/>
    </w:rPr>
  </w:style>
  <w:style w:type="paragraph" w:customStyle="1" w:styleId="73B">
    <w:name w:val="73א טבלה טקסט B"/>
    <w:basedOn w:val="Normal"/>
    <w:qFormat/>
    <w:rsid w:val="00520550"/>
    <w:pPr>
      <w:spacing w:before="120" w:after="120" w:line="180" w:lineRule="exact"/>
      <w:jc w:val="left"/>
    </w:pPr>
    <w:rPr>
      <w:rFonts w:ascii="Tahoma" w:hAnsi="Tahoma" w:eastAsiaTheme="minorEastAsia" w:cs="Tahoma"/>
      <w:b/>
      <w:bCs/>
      <w:sz w:val="16"/>
      <w:szCs w:val="16"/>
    </w:rPr>
  </w:style>
  <w:style w:type="paragraph" w:customStyle="1" w:styleId="73HEADER">
    <w:name w:val="73א טבלה HEADER"/>
    <w:basedOn w:val="Normal"/>
    <w:qFormat/>
    <w:rsid w:val="00520550"/>
    <w:pPr>
      <w:spacing w:before="120" w:after="120" w:line="180" w:lineRule="exact"/>
      <w:jc w:val="left"/>
    </w:pPr>
    <w:rPr>
      <w:rFonts w:ascii="Tahoma" w:hAnsi="Tahoma" w:eastAsiaTheme="minorEastAsia" w:cs="Tahoma"/>
      <w:b/>
      <w:color w:val="0D0D0D" w:themeColor="text1" w:themeTint="F2"/>
      <w:sz w:val="16"/>
      <w:szCs w:val="16"/>
    </w:rPr>
  </w:style>
  <w:style w:type="paragraph" w:customStyle="1" w:styleId="a1">
    <w:name w:val="כניסה שלישית"/>
    <w:basedOn w:val="ListParagraph"/>
    <w:qFormat/>
    <w:rsid w:val="008E5512"/>
    <w:pPr>
      <w:spacing w:after="120"/>
      <w:ind w:left="0"/>
    </w:pPr>
    <w:rPr>
      <w:rFonts w:ascii="Tahoma" w:hAnsi="Tahoma" w:cs="Tahoma"/>
      <w:szCs w:val="20"/>
    </w:rPr>
  </w:style>
  <w:style w:type="paragraph" w:customStyle="1" w:styleId="7315">
    <w:name w:val="73א הזחה שלישית"/>
    <w:basedOn w:val="7311"/>
    <w:qFormat/>
    <w:rsid w:val="00591F15"/>
    <w:pPr>
      <w:ind w:left="1191"/>
    </w:pPr>
  </w:style>
  <w:style w:type="paragraph" w:customStyle="1" w:styleId="7316">
    <w:name w:val="73א קוביה כחולה הזחה שלישית"/>
    <w:basedOn w:val="739"/>
    <w:qFormat/>
    <w:rsid w:val="00FF6AD9"/>
    <w:pPr>
      <w:framePr w:wrap="around" w:vAnchor="text" w:hAnchor="text" w:y="1"/>
      <w:shd w:val="solid" w:color="CEEAF6" w:fill="CEEAF6"/>
      <w:spacing w:after="120"/>
      <w:ind w:left="1474"/>
    </w:pPr>
  </w:style>
  <w:style w:type="paragraph" w:customStyle="1" w:styleId="12">
    <w:name w:val="קוביה הזחה 1"/>
    <w:basedOn w:val="739"/>
    <w:qFormat/>
    <w:rsid w:val="005C2859"/>
    <w:pPr>
      <w:ind w:left="680"/>
    </w:pPr>
  </w:style>
  <w:style w:type="paragraph" w:customStyle="1" w:styleId="7317">
    <w:name w:val="73א הזחה ראשונה ללא מספר"/>
    <w:basedOn w:val="7311"/>
    <w:qFormat/>
    <w:rsid w:val="003570AC"/>
    <w:pPr>
      <w:ind w:left="397"/>
    </w:pPr>
  </w:style>
  <w:style w:type="paragraph" w:customStyle="1" w:styleId="7318">
    <w:name w:val="73א קוביה רצה"/>
    <w:basedOn w:val="7310"/>
    <w:link w:val="732"/>
    <w:qFormat/>
    <w:rsid w:val="004B039B"/>
    <w:pPr>
      <w:ind w:left="227"/>
    </w:pPr>
  </w:style>
  <w:style w:type="paragraph" w:customStyle="1" w:styleId="73414">
    <w:name w:val="73א כותרת 4_14"/>
    <w:basedOn w:val="Heading4"/>
    <w:qFormat/>
    <w:rsid w:val="0078358A"/>
    <w:pPr>
      <w:spacing w:after="180" w:line="240" w:lineRule="atLeast"/>
      <w:jc w:val="left"/>
    </w:pPr>
    <w:rPr>
      <w:rFonts w:ascii="Tahoma" w:hAnsi="Tahoma" w:cs="Tahoma"/>
      <w:b/>
      <w:color w:val="00305F"/>
      <w:sz w:val="28"/>
      <w:szCs w:val="28"/>
    </w:rPr>
  </w:style>
  <w:style w:type="paragraph" w:customStyle="1" w:styleId="7319">
    <w:name w:val="73א הזחה בתוך קוביה"/>
    <w:basedOn w:val="7318"/>
    <w:qFormat/>
    <w:rsid w:val="009D0EE8"/>
    <w:pPr>
      <w:ind w:left="0"/>
    </w:pPr>
  </w:style>
  <w:style w:type="paragraph" w:customStyle="1" w:styleId="73512">
    <w:name w:val="73א כותרת 5_12"/>
    <w:basedOn w:val="100"/>
    <w:qFormat/>
    <w:rsid w:val="0078358A"/>
    <w:pPr>
      <w:keepNext/>
      <w:keepLines/>
      <w:spacing w:before="240" w:after="180" w:line="240" w:lineRule="atLeast"/>
      <w:jc w:val="left"/>
      <w:outlineLvl w:val="4"/>
    </w:pPr>
    <w:rPr>
      <w:b/>
      <w:bCs/>
      <w:color w:val="00305F"/>
      <w:sz w:val="24"/>
      <w:szCs w:val="24"/>
    </w:rPr>
  </w:style>
  <w:style w:type="paragraph" w:customStyle="1" w:styleId="7320">
    <w:name w:val="73א מספרים בתוך קוביה"/>
    <w:basedOn w:val="7319"/>
    <w:rsid w:val="00520550"/>
  </w:style>
  <w:style w:type="paragraph" w:customStyle="1" w:styleId="73110">
    <w:name w:val="73א אותיות בתוך קוביה 1"/>
    <w:basedOn w:val="7320"/>
    <w:qFormat/>
    <w:rsid w:val="00B30FEF"/>
  </w:style>
  <w:style w:type="numbering" w:customStyle="1" w:styleId="-">
    <w:name w:val="משרד האוצר - מדורג"/>
    <w:uiPriority w:val="99"/>
    <w:rsid w:val="006D5CCE"/>
    <w:pPr>
      <w:numPr>
        <w:numId w:val="1"/>
      </w:numPr>
    </w:pPr>
  </w:style>
  <w:style w:type="paragraph" w:customStyle="1" w:styleId="gmail-msolistparagraph">
    <w:name w:val="gmail-msolistparagraph"/>
    <w:basedOn w:val="Normal"/>
    <w:uiPriority w:val="99"/>
    <w:rsid w:val="006D5CCE"/>
    <w:pPr>
      <w:bidi w:val="0"/>
      <w:spacing w:before="100" w:beforeAutospacing="1" w:after="100" w:afterAutospacing="1" w:line="240" w:lineRule="auto"/>
      <w:jc w:val="left"/>
    </w:pPr>
    <w:rPr>
      <w:rFonts w:cs="Times New Roman"/>
      <w:sz w:val="24"/>
    </w:rPr>
  </w:style>
  <w:style w:type="paragraph" w:styleId="PlainText">
    <w:name w:val="Plain Text"/>
    <w:basedOn w:val="Normal"/>
    <w:link w:val="PlainTextChar"/>
    <w:uiPriority w:val="99"/>
    <w:unhideWhenUsed/>
    <w:rsid w:val="006D5CCE"/>
    <w:pPr>
      <w:spacing w:line="240" w:lineRule="auto"/>
      <w:jc w:val="left"/>
    </w:pPr>
    <w:rPr>
      <w:rFonts w:ascii="Calibri" w:hAnsi="Calibri" w:cstheme="minorBidi"/>
      <w:sz w:val="22"/>
      <w:szCs w:val="21"/>
    </w:rPr>
  </w:style>
  <w:style w:type="character" w:customStyle="1" w:styleId="PlainTextChar">
    <w:name w:val="Plain Text Char"/>
    <w:basedOn w:val="DefaultParagraphFont"/>
    <w:link w:val="PlainText"/>
    <w:uiPriority w:val="99"/>
    <w:rsid w:val="006D5CCE"/>
    <w:rPr>
      <w:rFonts w:ascii="Calibri" w:hAnsi="Calibri" w:cstheme="minorBidi"/>
      <w:sz w:val="22"/>
      <w:szCs w:val="21"/>
    </w:rPr>
  </w:style>
  <w:style w:type="table" w:customStyle="1" w:styleId="20">
    <w:name w:val="רשת טבלה2"/>
    <w:basedOn w:val="TableNormal"/>
    <w:next w:val="TableGrid"/>
    <w:uiPriority w:val="59"/>
    <w:rsid w:val="006D5CCE"/>
    <w:pPr>
      <w:spacing w:after="0" w:line="240" w:lineRule="auto"/>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6D5CCE"/>
    <w:pPr>
      <w:spacing w:line="240" w:lineRule="auto"/>
    </w:pPr>
    <w:rPr>
      <w:szCs w:val="20"/>
    </w:rPr>
  </w:style>
  <w:style w:type="character" w:customStyle="1" w:styleId="EndnoteTextChar">
    <w:name w:val="Endnote Text Char"/>
    <w:basedOn w:val="DefaultParagraphFont"/>
    <w:link w:val="EndnoteText"/>
    <w:uiPriority w:val="99"/>
    <w:semiHidden/>
    <w:rsid w:val="006D5CCE"/>
    <w:rPr>
      <w:szCs w:val="20"/>
    </w:rPr>
  </w:style>
  <w:style w:type="paragraph" w:customStyle="1" w:styleId="110">
    <w:name w:val="כותרת 11"/>
    <w:basedOn w:val="Normal"/>
    <w:next w:val="Normal"/>
    <w:link w:val="13"/>
    <w:uiPriority w:val="1"/>
    <w:qFormat/>
    <w:rsid w:val="002516DF"/>
    <w:pPr>
      <w:keepNext/>
      <w:keepLines/>
      <w:jc w:val="center"/>
      <w:outlineLvl w:val="0"/>
    </w:pPr>
    <w:rPr>
      <w:rFonts w:eastAsia="Times New Roman"/>
      <w:bCs/>
      <w:szCs w:val="36"/>
      <w:u w:val="single"/>
    </w:rPr>
  </w:style>
  <w:style w:type="paragraph" w:customStyle="1" w:styleId="21">
    <w:name w:val="כותרת 21"/>
    <w:basedOn w:val="Normal"/>
    <w:next w:val="Normal"/>
    <w:link w:val="22"/>
    <w:uiPriority w:val="1"/>
    <w:qFormat/>
    <w:rsid w:val="002516DF"/>
    <w:pPr>
      <w:keepNext/>
      <w:keepLines/>
      <w:spacing w:before="480"/>
      <w:jc w:val="center"/>
      <w:outlineLvl w:val="1"/>
    </w:pPr>
    <w:rPr>
      <w:rFonts w:eastAsia="Times New Roman"/>
      <w:bCs/>
      <w:szCs w:val="32"/>
    </w:rPr>
  </w:style>
  <w:style w:type="paragraph" w:customStyle="1" w:styleId="31">
    <w:name w:val="כותרת 31"/>
    <w:basedOn w:val="Normal"/>
    <w:next w:val="Normal"/>
    <w:link w:val="3"/>
    <w:uiPriority w:val="1"/>
    <w:qFormat/>
    <w:rsid w:val="002516DF"/>
    <w:pPr>
      <w:keepNext/>
      <w:keepLines/>
      <w:spacing w:before="120"/>
      <w:outlineLvl w:val="2"/>
    </w:pPr>
    <w:rPr>
      <w:rFonts w:eastAsia="Times New Roman"/>
      <w:bCs/>
      <w:szCs w:val="28"/>
      <w:u w:val="single"/>
    </w:rPr>
  </w:style>
  <w:style w:type="paragraph" w:customStyle="1" w:styleId="41">
    <w:name w:val="כותרת 41"/>
    <w:basedOn w:val="Normal"/>
    <w:next w:val="Normal"/>
    <w:link w:val="4"/>
    <w:uiPriority w:val="1"/>
    <w:qFormat/>
    <w:rsid w:val="002516DF"/>
    <w:pPr>
      <w:keepNext/>
      <w:keepLines/>
      <w:spacing w:before="120"/>
      <w:outlineLvl w:val="3"/>
    </w:pPr>
    <w:rPr>
      <w:rFonts w:eastAsia="Times New Roman"/>
      <w:bCs/>
      <w:szCs w:val="26"/>
    </w:rPr>
  </w:style>
  <w:style w:type="paragraph" w:customStyle="1" w:styleId="51">
    <w:name w:val="כותרת 51"/>
    <w:basedOn w:val="Normal"/>
    <w:next w:val="Normal"/>
    <w:link w:val="5"/>
    <w:uiPriority w:val="1"/>
    <w:qFormat/>
    <w:rsid w:val="002516DF"/>
    <w:pPr>
      <w:keepNext/>
      <w:keepLines/>
      <w:outlineLvl w:val="4"/>
    </w:pPr>
    <w:rPr>
      <w:rFonts w:eastAsia="Times New Roman"/>
      <w:bCs/>
      <w:spacing w:val="40"/>
    </w:rPr>
  </w:style>
  <w:style w:type="paragraph" w:customStyle="1" w:styleId="61">
    <w:name w:val="כותרת 61"/>
    <w:basedOn w:val="Normal"/>
    <w:next w:val="Normal"/>
    <w:link w:val="6"/>
    <w:uiPriority w:val="1"/>
    <w:qFormat/>
    <w:rsid w:val="002516DF"/>
    <w:pPr>
      <w:keepNext/>
      <w:keepLines/>
      <w:outlineLvl w:val="5"/>
    </w:pPr>
    <w:rPr>
      <w:rFonts w:eastAsia="Times New Roman"/>
      <w:spacing w:val="40"/>
    </w:rPr>
  </w:style>
  <w:style w:type="paragraph" w:customStyle="1" w:styleId="71">
    <w:name w:val="כותרת 71"/>
    <w:basedOn w:val="Normal"/>
    <w:next w:val="Normal"/>
    <w:link w:val="7"/>
    <w:uiPriority w:val="1"/>
    <w:qFormat/>
    <w:rsid w:val="002516DF"/>
    <w:pPr>
      <w:keepNext/>
      <w:keepLines/>
      <w:outlineLvl w:val="6"/>
    </w:pPr>
    <w:rPr>
      <w:rFonts w:eastAsia="Times New Roman"/>
      <w:bCs/>
      <w:spacing w:val="40"/>
    </w:rPr>
  </w:style>
  <w:style w:type="paragraph" w:customStyle="1" w:styleId="81">
    <w:name w:val="כותרת 81"/>
    <w:basedOn w:val="Normal"/>
    <w:next w:val="Normal"/>
    <w:link w:val="8"/>
    <w:uiPriority w:val="1"/>
    <w:qFormat/>
    <w:rsid w:val="002516DF"/>
    <w:pPr>
      <w:keepNext/>
      <w:keepLines/>
      <w:outlineLvl w:val="7"/>
    </w:pPr>
    <w:rPr>
      <w:rFonts w:eastAsia="Times New Roman"/>
      <w:spacing w:val="40"/>
    </w:rPr>
  </w:style>
  <w:style w:type="character" w:customStyle="1" w:styleId="13">
    <w:name w:val="כותרת 1 תו"/>
    <w:link w:val="110"/>
    <w:uiPriority w:val="1"/>
    <w:rsid w:val="002516DF"/>
    <w:rPr>
      <w:rFonts w:eastAsia="Times New Roman"/>
      <w:bCs/>
      <w:szCs w:val="36"/>
      <w:u w:val="single"/>
    </w:rPr>
  </w:style>
  <w:style w:type="character" w:customStyle="1" w:styleId="22">
    <w:name w:val="כותרת 2 תו"/>
    <w:link w:val="21"/>
    <w:uiPriority w:val="1"/>
    <w:rsid w:val="002516DF"/>
    <w:rPr>
      <w:rFonts w:eastAsia="Times New Roman"/>
      <w:bCs/>
      <w:szCs w:val="32"/>
    </w:rPr>
  </w:style>
  <w:style w:type="character" w:customStyle="1" w:styleId="3">
    <w:name w:val="כותרת 3 תו"/>
    <w:link w:val="31"/>
    <w:uiPriority w:val="1"/>
    <w:rsid w:val="002516DF"/>
    <w:rPr>
      <w:rFonts w:eastAsia="Times New Roman"/>
      <w:bCs/>
      <w:szCs w:val="28"/>
      <w:u w:val="single"/>
    </w:rPr>
  </w:style>
  <w:style w:type="character" w:customStyle="1" w:styleId="4">
    <w:name w:val="כותרת 4 תו"/>
    <w:link w:val="41"/>
    <w:uiPriority w:val="1"/>
    <w:rsid w:val="002516DF"/>
    <w:rPr>
      <w:rFonts w:eastAsia="Times New Roman"/>
      <w:bCs/>
      <w:szCs w:val="26"/>
    </w:rPr>
  </w:style>
  <w:style w:type="character" w:customStyle="1" w:styleId="5">
    <w:name w:val="כותרת 5 תו"/>
    <w:link w:val="51"/>
    <w:uiPriority w:val="1"/>
    <w:rsid w:val="002516DF"/>
    <w:rPr>
      <w:rFonts w:eastAsia="Times New Roman"/>
      <w:bCs/>
      <w:spacing w:val="40"/>
    </w:rPr>
  </w:style>
  <w:style w:type="character" w:customStyle="1" w:styleId="6">
    <w:name w:val="כותרת 6 תו"/>
    <w:link w:val="61"/>
    <w:uiPriority w:val="1"/>
    <w:rsid w:val="002516DF"/>
    <w:rPr>
      <w:rFonts w:eastAsia="Times New Roman"/>
      <w:spacing w:val="40"/>
    </w:rPr>
  </w:style>
  <w:style w:type="character" w:customStyle="1" w:styleId="7">
    <w:name w:val="כותרת 7 תו"/>
    <w:link w:val="71"/>
    <w:uiPriority w:val="1"/>
    <w:rsid w:val="002516DF"/>
    <w:rPr>
      <w:rFonts w:eastAsia="Times New Roman"/>
      <w:bCs/>
      <w:spacing w:val="40"/>
    </w:rPr>
  </w:style>
  <w:style w:type="character" w:customStyle="1" w:styleId="8">
    <w:name w:val="כותרת 8 תו"/>
    <w:link w:val="81"/>
    <w:uiPriority w:val="1"/>
    <w:rsid w:val="002516DF"/>
    <w:rPr>
      <w:rFonts w:eastAsia="Times New Roman"/>
      <w:spacing w:val="40"/>
    </w:rPr>
  </w:style>
  <w:style w:type="paragraph" w:customStyle="1" w:styleId="14">
    <w:name w:val="כותרת עליונה1"/>
    <w:basedOn w:val="Normal"/>
    <w:link w:val="a2"/>
    <w:uiPriority w:val="99"/>
    <w:unhideWhenUsed/>
    <w:rsid w:val="002516DF"/>
    <w:pPr>
      <w:tabs>
        <w:tab w:val="center" w:pos="4153"/>
        <w:tab w:val="right" w:pos="8306"/>
      </w:tabs>
      <w:spacing w:line="240" w:lineRule="auto"/>
    </w:pPr>
    <w:rPr>
      <w:rFonts w:eastAsia="Calibri"/>
    </w:rPr>
  </w:style>
  <w:style w:type="character" w:customStyle="1" w:styleId="a2">
    <w:name w:val="כותרת עליונה תו"/>
    <w:basedOn w:val="DefaultParagraphFont"/>
    <w:link w:val="14"/>
    <w:uiPriority w:val="99"/>
    <w:rsid w:val="002516DF"/>
    <w:rPr>
      <w:rFonts w:eastAsia="Calibri"/>
    </w:rPr>
  </w:style>
  <w:style w:type="paragraph" w:customStyle="1" w:styleId="15">
    <w:name w:val="כותרת תחתונה1"/>
    <w:basedOn w:val="Normal"/>
    <w:link w:val="a3"/>
    <w:uiPriority w:val="99"/>
    <w:unhideWhenUsed/>
    <w:rsid w:val="002516DF"/>
    <w:pPr>
      <w:tabs>
        <w:tab w:val="center" w:pos="4153"/>
        <w:tab w:val="right" w:pos="8306"/>
      </w:tabs>
      <w:spacing w:line="240" w:lineRule="auto"/>
    </w:pPr>
    <w:rPr>
      <w:rFonts w:eastAsia="Calibri"/>
    </w:rPr>
  </w:style>
  <w:style w:type="character" w:customStyle="1" w:styleId="a3">
    <w:name w:val="כותרת תחתונה תו"/>
    <w:basedOn w:val="DefaultParagraphFont"/>
    <w:link w:val="15"/>
    <w:uiPriority w:val="99"/>
    <w:rsid w:val="002516DF"/>
    <w:rPr>
      <w:rFonts w:eastAsia="Calibri"/>
    </w:rPr>
  </w:style>
  <w:style w:type="paragraph" w:customStyle="1" w:styleId="16">
    <w:name w:val="תאריך1"/>
    <w:basedOn w:val="Normal"/>
    <w:next w:val="Normal"/>
    <w:link w:val="a4"/>
    <w:uiPriority w:val="99"/>
    <w:unhideWhenUsed/>
    <w:rsid w:val="002516DF"/>
    <w:pPr>
      <w:spacing w:before="120" w:line="240" w:lineRule="auto"/>
    </w:pPr>
    <w:rPr>
      <w:rFonts w:eastAsia="Calibri"/>
    </w:rPr>
  </w:style>
  <w:style w:type="character" w:customStyle="1" w:styleId="a4">
    <w:name w:val="תאריך תו"/>
    <w:basedOn w:val="DefaultParagraphFont"/>
    <w:link w:val="16"/>
    <w:uiPriority w:val="99"/>
    <w:rsid w:val="002516DF"/>
    <w:rPr>
      <w:rFonts w:eastAsia="Calibri"/>
    </w:rPr>
  </w:style>
  <w:style w:type="character" w:customStyle="1" w:styleId="a5">
    <w:name w:val="טקסט הערת שוליים תו"/>
    <w:aliases w:val=" Char תו,Char תו,FOOTNOTES תו,Footnote Text - Sharp Char Char תו,Footnote Text - Sharp Char תו,Footnote Text - Sharp תו,Footnote Text Char Char Char Char Char תו,Footnote Text תו,Footnote reference תו,Sharp - Footnote Text תו,fn תו"/>
    <w:rsid w:val="002516DF"/>
    <w:rPr>
      <w:szCs w:val="20"/>
    </w:rPr>
  </w:style>
  <w:style w:type="paragraph" w:customStyle="1" w:styleId="17">
    <w:name w:val="פיסקת רשימה1"/>
    <w:basedOn w:val="Normal"/>
    <w:uiPriority w:val="34"/>
    <w:qFormat/>
    <w:rsid w:val="002516DF"/>
    <w:pPr>
      <w:ind w:left="720"/>
      <w:contextualSpacing/>
    </w:pPr>
    <w:rPr>
      <w:rFonts w:eastAsia="Calibri"/>
    </w:rPr>
  </w:style>
  <w:style w:type="paragraph" w:customStyle="1" w:styleId="a6">
    <w:name w:val="סגנון רגיל +"/>
    <w:basedOn w:val="Normal"/>
    <w:rsid w:val="002516DF"/>
    <w:pPr>
      <w:overflowPunct w:val="0"/>
      <w:autoSpaceDE w:val="0"/>
      <w:autoSpaceDN w:val="0"/>
      <w:adjustRightInd w:val="0"/>
      <w:spacing w:line="240" w:lineRule="auto"/>
      <w:jc w:val="left"/>
      <w:textAlignment w:val="baseline"/>
    </w:pPr>
    <w:rPr>
      <w:rFonts w:ascii="Arial" w:eastAsia="Times New Roman" w:hAnsi="Arial" w:cs="Arial"/>
      <w:sz w:val="22"/>
      <w:szCs w:val="22"/>
      <w:lang w:eastAsia="he-IL"/>
    </w:rPr>
  </w:style>
  <w:style w:type="paragraph" w:customStyle="1" w:styleId="18">
    <w:name w:val="טקסט בלונים1"/>
    <w:basedOn w:val="Normal"/>
    <w:link w:val="a7"/>
    <w:uiPriority w:val="99"/>
    <w:semiHidden/>
    <w:unhideWhenUsed/>
    <w:rsid w:val="002516DF"/>
    <w:pPr>
      <w:spacing w:line="240" w:lineRule="auto"/>
    </w:pPr>
    <w:rPr>
      <w:rFonts w:ascii="Tahoma" w:eastAsia="Calibri" w:hAnsi="Tahoma" w:cs="Tahoma"/>
      <w:sz w:val="18"/>
      <w:szCs w:val="18"/>
    </w:rPr>
  </w:style>
  <w:style w:type="character" w:customStyle="1" w:styleId="a7">
    <w:name w:val="טקסט בלונים תו"/>
    <w:link w:val="18"/>
    <w:uiPriority w:val="99"/>
    <w:semiHidden/>
    <w:rsid w:val="002516DF"/>
    <w:rPr>
      <w:rFonts w:ascii="Tahoma" w:eastAsia="Calibri" w:hAnsi="Tahoma" w:cs="Tahoma"/>
      <w:sz w:val="18"/>
      <w:szCs w:val="18"/>
    </w:rPr>
  </w:style>
  <w:style w:type="character" w:customStyle="1" w:styleId="19">
    <w:name w:val="כותרת תחתונה תו1"/>
    <w:uiPriority w:val="99"/>
    <w:rsid w:val="002516DF"/>
    <w:rPr>
      <w:rFonts w:cs="David"/>
      <w:sz w:val="24"/>
      <w:szCs w:val="24"/>
    </w:rPr>
  </w:style>
  <w:style w:type="character" w:customStyle="1" w:styleId="111">
    <w:name w:val="טקסט הערת שוליים תו1"/>
    <w:aliases w:val="Char תו1,Sharp - Footnote Text1 Char תו"/>
    <w:locked/>
    <w:rsid w:val="002516DF"/>
    <w:rPr>
      <w:rFonts w:cs="David"/>
      <w:sz w:val="20"/>
      <w:szCs w:val="20"/>
      <w:lang w:bidi="he-IL"/>
    </w:rPr>
  </w:style>
  <w:style w:type="character" w:customStyle="1" w:styleId="9">
    <w:name w:val="כותרת 9 תו"/>
    <w:locked/>
    <w:rsid w:val="002516DF"/>
    <w:rPr>
      <w:rFonts w:ascii="Cambria" w:hAnsi="Cambria" w:cs="Times New Roman"/>
    </w:rPr>
  </w:style>
  <w:style w:type="paragraph" w:customStyle="1" w:styleId="BulletList2">
    <w:name w:val="Bullet List 2"/>
    <w:basedOn w:val="Normal"/>
    <w:link w:val="BulletList20"/>
    <w:rsid w:val="002516DF"/>
    <w:pPr>
      <w:numPr>
        <w:numId w:val="2"/>
      </w:numPr>
      <w:snapToGrid w:val="0"/>
      <w:spacing w:before="120" w:line="320" w:lineRule="exact"/>
    </w:pPr>
    <w:rPr>
      <w:rFonts w:eastAsia="Times New Roman"/>
      <w:sz w:val="22"/>
      <w:szCs w:val="28"/>
      <w:lang w:eastAsia="he-IL"/>
    </w:rPr>
  </w:style>
  <w:style w:type="paragraph" w:customStyle="1" w:styleId="Hn1">
    <w:name w:val="Hn1"/>
    <w:basedOn w:val="Normal"/>
    <w:next w:val="Normal"/>
    <w:rsid w:val="002516DF"/>
    <w:pPr>
      <w:keepNext/>
      <w:numPr>
        <w:numId w:val="3"/>
      </w:numPr>
      <w:snapToGrid w:val="0"/>
      <w:spacing w:before="240" w:after="120" w:line="320" w:lineRule="exact"/>
      <w:outlineLvl w:val="0"/>
    </w:pPr>
    <w:rPr>
      <w:rFonts w:eastAsia="Times New Roman"/>
      <w:b/>
      <w:bCs/>
      <w:kern w:val="32"/>
      <w:sz w:val="28"/>
      <w:szCs w:val="32"/>
      <w:lang w:val="pl-PL" w:eastAsia="he-IL"/>
    </w:rPr>
  </w:style>
  <w:style w:type="character" w:customStyle="1" w:styleId="BulletList20">
    <w:name w:val="Bullet List 2 תו"/>
    <w:link w:val="BulletList2"/>
    <w:rsid w:val="002516DF"/>
    <w:rPr>
      <w:rFonts w:eastAsia="Times New Roman"/>
      <w:sz w:val="22"/>
      <w:szCs w:val="28"/>
      <w:lang w:eastAsia="he-IL"/>
    </w:rPr>
  </w:style>
  <w:style w:type="table" w:customStyle="1" w:styleId="5-11">
    <w:name w:val="טבלת רשת 5 כהה - הדגשה 11"/>
    <w:basedOn w:val="TableNormal"/>
    <w:uiPriority w:val="50"/>
    <w:rsid w:val="002516DF"/>
    <w:pPr>
      <w:spacing w:after="0" w:line="240" w:lineRule="auto"/>
      <w:jc w:val="left"/>
    </w:pPr>
    <w:rPr>
      <w:rFonts w:eastAsia="Calibri"/>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3-11">
    <w:name w:val="טבלת רשימה 3 - הדגשה 11"/>
    <w:basedOn w:val="TableNormal"/>
    <w:uiPriority w:val="48"/>
    <w:rsid w:val="002516DF"/>
    <w:pPr>
      <w:spacing w:after="0" w:line="240" w:lineRule="auto"/>
      <w:jc w:val="left"/>
    </w:pPr>
    <w:rPr>
      <w:rFonts w:eastAsia="Calibri"/>
      <w:szCs w:val="20"/>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310">
    <w:name w:val="טבלת רשימה 31"/>
    <w:basedOn w:val="TableNormal"/>
    <w:uiPriority w:val="48"/>
    <w:rsid w:val="002516DF"/>
    <w:pPr>
      <w:spacing w:after="0" w:line="240" w:lineRule="auto"/>
      <w:jc w:val="left"/>
    </w:pPr>
    <w:rPr>
      <w:rFonts w:eastAsia="Calibri"/>
      <w:szCs w:val="20"/>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112">
    <w:name w:val="רשת טבלה בהירה1"/>
    <w:basedOn w:val="TableNormal"/>
    <w:uiPriority w:val="40"/>
    <w:rsid w:val="002516DF"/>
    <w:pPr>
      <w:spacing w:after="0" w:line="240" w:lineRule="auto"/>
      <w:jc w:val="left"/>
    </w:pPr>
    <w:rPr>
      <w:rFonts w:eastAsia="Calibri"/>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113">
    <w:name w:val="טקסט הערה1"/>
    <w:basedOn w:val="Normal"/>
    <w:link w:val="a8"/>
    <w:uiPriority w:val="99"/>
    <w:unhideWhenUsed/>
    <w:rsid w:val="002516DF"/>
    <w:pPr>
      <w:spacing w:line="240" w:lineRule="auto"/>
    </w:pPr>
    <w:rPr>
      <w:rFonts w:eastAsia="Calibri"/>
      <w:szCs w:val="20"/>
    </w:rPr>
  </w:style>
  <w:style w:type="character" w:customStyle="1" w:styleId="a8">
    <w:name w:val="טקסט הערה תו"/>
    <w:link w:val="113"/>
    <w:uiPriority w:val="99"/>
    <w:rsid w:val="002516DF"/>
    <w:rPr>
      <w:rFonts w:eastAsia="Calibri"/>
      <w:szCs w:val="20"/>
    </w:rPr>
  </w:style>
  <w:style w:type="paragraph" w:customStyle="1" w:styleId="114">
    <w:name w:val="נושא הערה1"/>
    <w:basedOn w:val="113"/>
    <w:next w:val="113"/>
    <w:link w:val="a9"/>
    <w:uiPriority w:val="99"/>
    <w:semiHidden/>
    <w:unhideWhenUsed/>
    <w:rsid w:val="002516DF"/>
    <w:rPr>
      <w:b/>
      <w:bCs/>
    </w:rPr>
  </w:style>
  <w:style w:type="character" w:customStyle="1" w:styleId="a9">
    <w:name w:val="נושא הערה תו"/>
    <w:link w:val="114"/>
    <w:uiPriority w:val="99"/>
    <w:semiHidden/>
    <w:rsid w:val="002516DF"/>
    <w:rPr>
      <w:rFonts w:eastAsia="Calibri"/>
      <w:b/>
      <w:bCs/>
      <w:szCs w:val="20"/>
    </w:rPr>
  </w:style>
  <w:style w:type="character" w:customStyle="1" w:styleId="210">
    <w:name w:val="כותרת 2 תו1"/>
    <w:basedOn w:val="DefaultParagraphFont"/>
    <w:uiPriority w:val="1"/>
    <w:rsid w:val="002516DF"/>
    <w:rPr>
      <w:rFonts w:asciiTheme="majorHAnsi" w:eastAsiaTheme="majorEastAsia" w:hAnsiTheme="majorHAnsi" w:cstheme="majorBidi"/>
      <w:color w:val="1481AB" w:themeColor="accent1" w:themeShade="BF"/>
      <w:sz w:val="26"/>
      <w:szCs w:val="26"/>
    </w:rPr>
  </w:style>
  <w:style w:type="character" w:customStyle="1" w:styleId="311">
    <w:name w:val="כותרת 3 תו1"/>
    <w:basedOn w:val="DefaultParagraphFont"/>
    <w:uiPriority w:val="1"/>
    <w:rsid w:val="002516DF"/>
    <w:rPr>
      <w:rFonts w:asciiTheme="majorHAnsi" w:eastAsiaTheme="majorEastAsia" w:hAnsiTheme="majorHAnsi" w:cstheme="majorBidi"/>
      <w:color w:val="0D5571" w:themeColor="accent1" w:themeShade="7F"/>
      <w:sz w:val="24"/>
      <w:szCs w:val="24"/>
    </w:rPr>
  </w:style>
  <w:style w:type="character" w:customStyle="1" w:styleId="115">
    <w:name w:val="תאריך תו1"/>
    <w:basedOn w:val="DefaultParagraphFont"/>
    <w:uiPriority w:val="99"/>
    <w:semiHidden/>
    <w:rsid w:val="002516DF"/>
    <w:rPr>
      <w:szCs w:val="24"/>
    </w:rPr>
  </w:style>
  <w:style w:type="character" w:customStyle="1" w:styleId="170">
    <w:name w:val="תו תו17"/>
    <w:semiHidden/>
    <w:locked/>
    <w:rsid w:val="002516DF"/>
    <w:rPr>
      <w:b/>
      <w:spacing w:val="40"/>
      <w:sz w:val="24"/>
      <w:lang w:val="en-US" w:eastAsia="he-IL" w:bidi="he-IL"/>
    </w:rPr>
  </w:style>
  <w:style w:type="character" w:customStyle="1" w:styleId="big-number">
    <w:name w:val="big-number"/>
    <w:basedOn w:val="DefaultParagraphFont"/>
    <w:rsid w:val="00387987"/>
  </w:style>
  <w:style w:type="paragraph" w:customStyle="1" w:styleId="p22">
    <w:name w:val="p22"/>
    <w:basedOn w:val="Normal"/>
    <w:rsid w:val="00387987"/>
    <w:pPr>
      <w:bidi w:val="0"/>
      <w:spacing w:before="100" w:beforeAutospacing="1" w:after="100" w:afterAutospacing="1" w:line="240" w:lineRule="auto"/>
      <w:jc w:val="left"/>
    </w:pPr>
    <w:rPr>
      <w:rFonts w:eastAsia="Times New Roman" w:cs="Times New Roman"/>
      <w:sz w:val="24"/>
    </w:rPr>
  </w:style>
  <w:style w:type="paragraph" w:customStyle="1" w:styleId="p11">
    <w:name w:val="p11"/>
    <w:basedOn w:val="Normal"/>
    <w:rsid w:val="00387987"/>
    <w:pPr>
      <w:bidi w:val="0"/>
      <w:spacing w:before="100" w:beforeAutospacing="1" w:after="100" w:afterAutospacing="1" w:line="240" w:lineRule="auto"/>
      <w:jc w:val="left"/>
    </w:pPr>
    <w:rPr>
      <w:rFonts w:eastAsia="Times New Roman" w:cs="Times New Roman"/>
      <w:sz w:val="24"/>
    </w:rPr>
  </w:style>
  <w:style w:type="table" w:customStyle="1" w:styleId="4-41">
    <w:name w:val="טבלת רשת 4 - הדגשה 41"/>
    <w:basedOn w:val="TableNormal"/>
    <w:uiPriority w:val="49"/>
    <w:rsid w:val="00387987"/>
    <w:pPr>
      <w:spacing w:after="0" w:line="240" w:lineRule="auto"/>
    </w:pPr>
    <w:tblPr>
      <w:tblStyleRowBandSize w:val="1"/>
      <w:tblStyleColBandSize w:val="1"/>
      <w:tblBorders>
        <w:top w:val="single" w:sz="4" w:space="0" w:color="8CD6C0" w:themeColor="accent4" w:themeTint="99"/>
        <w:left w:val="single" w:sz="4" w:space="0" w:color="8CD6C0" w:themeColor="accent4" w:themeTint="99"/>
        <w:bottom w:val="single" w:sz="4" w:space="0" w:color="8CD6C0" w:themeColor="accent4" w:themeTint="99"/>
        <w:right w:val="single" w:sz="4" w:space="0" w:color="8CD6C0" w:themeColor="accent4" w:themeTint="99"/>
        <w:insideH w:val="single" w:sz="4" w:space="0" w:color="8CD6C0" w:themeColor="accent4" w:themeTint="99"/>
        <w:insideV w:val="single" w:sz="4" w:space="0" w:color="8CD6C0" w:themeColor="accent4" w:themeTint="99"/>
      </w:tblBorders>
    </w:tblPr>
    <w:tblStylePr w:type="firstRow">
      <w:rPr>
        <w:b/>
        <w:bCs/>
        <w:color w:val="FFFFFF" w:themeColor="background1"/>
      </w:rPr>
      <w:tblPr/>
      <w:tcPr>
        <w:tcBorders>
          <w:top w:val="single" w:sz="4" w:space="0" w:color="42BA97" w:themeColor="accent4"/>
          <w:left w:val="single" w:sz="4" w:space="0" w:color="42BA97" w:themeColor="accent4"/>
          <w:bottom w:val="single" w:sz="4" w:space="0" w:color="42BA97" w:themeColor="accent4"/>
          <w:right w:val="single" w:sz="4" w:space="0" w:color="42BA97" w:themeColor="accent4"/>
          <w:insideH w:val="nil"/>
          <w:insideV w:val="nil"/>
        </w:tcBorders>
        <w:shd w:val="clear" w:color="auto" w:fill="42BA97" w:themeFill="accent4"/>
      </w:tcPr>
    </w:tblStylePr>
    <w:tblStylePr w:type="lastRow">
      <w:rPr>
        <w:b/>
        <w:bCs/>
      </w:rPr>
      <w:tblPr/>
      <w:tcPr>
        <w:tcBorders>
          <w:top w:val="double" w:sz="4" w:space="0" w:color="42BA97" w:themeColor="accent4"/>
        </w:tcBorders>
      </w:tcPr>
    </w:tblStylePr>
    <w:tblStylePr w:type="firstCol">
      <w:rPr>
        <w:b/>
        <w:bCs/>
      </w:rPr>
    </w:tblStylePr>
    <w:tblStylePr w:type="lastCol">
      <w:rPr>
        <w:b/>
        <w:bCs/>
      </w:rPr>
    </w:tblStylePr>
    <w:tblStylePr w:type="band1Vert">
      <w:tblPr/>
      <w:tcPr>
        <w:shd w:val="clear" w:color="auto" w:fill="D8F1EA" w:themeFill="accent4" w:themeFillTint="33"/>
      </w:tcPr>
    </w:tblStylePr>
    <w:tblStylePr w:type="band1Horz">
      <w:tblPr/>
      <w:tcPr>
        <w:shd w:val="clear" w:color="auto" w:fill="D8F1EA" w:themeFill="accent4" w:themeFillTint="33"/>
      </w:tcPr>
    </w:tblStylePr>
  </w:style>
  <w:style w:type="table" w:customStyle="1" w:styleId="1-11">
    <w:name w:val="טבלת רשת 1 בהירה - הדגשה 11"/>
    <w:basedOn w:val="TableNormal"/>
    <w:uiPriority w:val="46"/>
    <w:rsid w:val="00387987"/>
    <w:pPr>
      <w:spacing w:after="0" w:line="240" w:lineRule="auto"/>
    </w:pPr>
    <w:tblPr>
      <w:tblStyleRowBandSize w:val="1"/>
      <w:tblStyleColBandSize w:val="1"/>
      <w:tblBorders>
        <w:top w:val="single" w:sz="4" w:space="0" w:color="A4DDF4" w:themeColor="accent1" w:themeTint="66"/>
        <w:left w:val="single" w:sz="4" w:space="0" w:color="A4DDF4" w:themeColor="accent1" w:themeTint="66"/>
        <w:bottom w:val="single" w:sz="4" w:space="0" w:color="A4DDF4" w:themeColor="accent1" w:themeTint="66"/>
        <w:right w:val="single" w:sz="4" w:space="0" w:color="A4DDF4" w:themeColor="accent1" w:themeTint="66"/>
        <w:insideH w:val="single" w:sz="4" w:space="0" w:color="A4DDF4" w:themeColor="accent1" w:themeTint="66"/>
        <w:insideV w:val="single" w:sz="4" w:space="0" w:color="A4DDF4" w:themeColor="accent1" w:themeTint="66"/>
      </w:tblBorders>
    </w:tblPr>
    <w:tblStylePr w:type="firstRow">
      <w:rPr>
        <w:b/>
        <w:bCs/>
      </w:rPr>
      <w:tblPr/>
      <w:tcPr>
        <w:tcBorders>
          <w:bottom w:val="single" w:sz="12" w:space="0" w:color="76CDEE" w:themeColor="accent1" w:themeTint="99"/>
        </w:tcBorders>
      </w:tcPr>
    </w:tblStylePr>
    <w:tblStylePr w:type="lastRow">
      <w:rPr>
        <w:b/>
        <w:bCs/>
      </w:rPr>
      <w:tblPr/>
      <w:tcPr>
        <w:tcBorders>
          <w:top w:val="double" w:sz="2" w:space="0" w:color="76CDEE" w:themeColor="accent1" w:themeTint="99"/>
        </w:tcBorders>
      </w:tcPr>
    </w:tblStylePr>
    <w:tblStylePr w:type="firstCol">
      <w:rPr>
        <w:b/>
        <w:bCs/>
      </w:rPr>
    </w:tblStylePr>
    <w:tblStylePr w:type="lastCol">
      <w:rPr>
        <w:b/>
        <w:bCs/>
      </w:rPr>
    </w:tblStylePr>
  </w:style>
  <w:style w:type="table" w:customStyle="1" w:styleId="1-31">
    <w:name w:val="טבלת רשת 1 בהירה - הדגשה 31"/>
    <w:basedOn w:val="TableNormal"/>
    <w:uiPriority w:val="46"/>
    <w:rsid w:val="00387987"/>
    <w:pPr>
      <w:spacing w:after="0" w:line="240" w:lineRule="auto"/>
    </w:pPr>
    <w:tblPr>
      <w:tblStyleRowBandSize w:val="1"/>
      <w:tblStyleColBandSize w:val="1"/>
      <w:tblBorders>
        <w:top w:val="single" w:sz="4" w:space="0" w:color="A8EBEF" w:themeColor="accent3" w:themeTint="66"/>
        <w:left w:val="single" w:sz="4" w:space="0" w:color="A8EBEF" w:themeColor="accent3" w:themeTint="66"/>
        <w:bottom w:val="single" w:sz="4" w:space="0" w:color="A8EBEF" w:themeColor="accent3" w:themeTint="66"/>
        <w:right w:val="single" w:sz="4" w:space="0" w:color="A8EBEF" w:themeColor="accent3" w:themeTint="66"/>
        <w:insideH w:val="single" w:sz="4" w:space="0" w:color="A8EBEF" w:themeColor="accent3" w:themeTint="66"/>
        <w:insideV w:val="single" w:sz="4" w:space="0" w:color="A8EBEF" w:themeColor="accent3" w:themeTint="66"/>
      </w:tblBorders>
    </w:tblPr>
    <w:tblStylePr w:type="firstRow">
      <w:rPr>
        <w:b/>
        <w:bCs/>
      </w:rPr>
      <w:tblPr/>
      <w:tcPr>
        <w:tcBorders>
          <w:bottom w:val="single" w:sz="12" w:space="0" w:color="7CE1E7" w:themeColor="accent3" w:themeTint="99"/>
        </w:tcBorders>
      </w:tcPr>
    </w:tblStylePr>
    <w:tblStylePr w:type="lastRow">
      <w:rPr>
        <w:b/>
        <w:bCs/>
      </w:rPr>
      <w:tblPr/>
      <w:tcPr>
        <w:tcBorders>
          <w:top w:val="double" w:sz="2" w:space="0" w:color="7CE1E7" w:themeColor="accent3" w:themeTint="99"/>
        </w:tcBorders>
      </w:tcPr>
    </w:tblStylePr>
    <w:tblStylePr w:type="firstCol">
      <w:rPr>
        <w:b/>
        <w:bCs/>
      </w:rPr>
    </w:tblStylePr>
    <w:tblStylePr w:type="lastCol">
      <w:rPr>
        <w:b/>
        <w:bCs/>
      </w:rPr>
    </w:tblStylePr>
  </w:style>
  <w:style w:type="table" w:customStyle="1" w:styleId="4-11">
    <w:name w:val="טבלת רשת 4 - הדגשה 11"/>
    <w:basedOn w:val="TableNormal"/>
    <w:uiPriority w:val="49"/>
    <w:rsid w:val="00387987"/>
    <w:pPr>
      <w:spacing w:after="0" w:line="240" w:lineRule="auto"/>
    </w:pPr>
    <w:tblPr>
      <w:tblStyleRowBandSize w:val="1"/>
      <w:tblStyleColBandSize w:val="1"/>
      <w:tblBorders>
        <w:top w:val="single" w:sz="4" w:space="0" w:color="76CDEE" w:themeColor="accent1" w:themeTint="99"/>
        <w:left w:val="single" w:sz="4" w:space="0" w:color="76CDEE" w:themeColor="accent1" w:themeTint="99"/>
        <w:bottom w:val="single" w:sz="4" w:space="0" w:color="76CDEE" w:themeColor="accent1" w:themeTint="99"/>
        <w:right w:val="single" w:sz="4" w:space="0" w:color="76CDEE" w:themeColor="accent1" w:themeTint="99"/>
        <w:insideH w:val="single" w:sz="4" w:space="0" w:color="76CDEE" w:themeColor="accent1" w:themeTint="99"/>
        <w:insideV w:val="single" w:sz="4" w:space="0" w:color="76CDEE" w:themeColor="accent1" w:themeTint="99"/>
      </w:tblBorders>
    </w:tblPr>
    <w:tblStylePr w:type="firstRow">
      <w:rPr>
        <w:b/>
        <w:bCs/>
        <w:color w:val="FFFFFF" w:themeColor="background1"/>
      </w:rPr>
      <w:tblPr/>
      <w:tcPr>
        <w:tcBorders>
          <w:top w:val="single" w:sz="4" w:space="0" w:color="1CADE4" w:themeColor="accent1"/>
          <w:left w:val="single" w:sz="4" w:space="0" w:color="1CADE4" w:themeColor="accent1"/>
          <w:bottom w:val="single" w:sz="4" w:space="0" w:color="1CADE4" w:themeColor="accent1"/>
          <w:right w:val="single" w:sz="4" w:space="0" w:color="1CADE4" w:themeColor="accent1"/>
          <w:insideH w:val="nil"/>
          <w:insideV w:val="nil"/>
        </w:tcBorders>
        <w:shd w:val="clear" w:color="auto" w:fill="1CADE4" w:themeFill="accent1"/>
      </w:tcPr>
    </w:tblStylePr>
    <w:tblStylePr w:type="lastRow">
      <w:rPr>
        <w:b/>
        <w:bCs/>
      </w:rPr>
      <w:tblPr/>
      <w:tcPr>
        <w:tcBorders>
          <w:top w:val="double" w:sz="4" w:space="0" w:color="1CADE4" w:themeColor="accent1"/>
        </w:tcBorders>
      </w:tcPr>
    </w:tblStylePr>
    <w:tblStylePr w:type="firstCol">
      <w:rPr>
        <w:b/>
        <w:bCs/>
      </w:rPr>
    </w:tblStylePr>
    <w:tblStylePr w:type="lastCol">
      <w:rPr>
        <w:b/>
        <w:bCs/>
      </w:rPr>
    </w:tblStylePr>
    <w:tblStylePr w:type="band1Vert">
      <w:tblPr/>
      <w:tcPr>
        <w:shd w:val="clear" w:color="auto" w:fill="D1EEF9" w:themeFill="accent1" w:themeFillTint="33"/>
      </w:tcPr>
    </w:tblStylePr>
    <w:tblStylePr w:type="band1Horz">
      <w:tblPr/>
      <w:tcPr>
        <w:shd w:val="clear" w:color="auto" w:fill="D1EEF9" w:themeFill="accent1" w:themeFillTint="33"/>
      </w:tcPr>
    </w:tblStylePr>
  </w:style>
  <w:style w:type="table" w:customStyle="1" w:styleId="116">
    <w:name w:val="טבלת רשת 1 בהירה1"/>
    <w:basedOn w:val="TableNormal"/>
    <w:uiPriority w:val="46"/>
    <w:rsid w:val="003879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510">
    <w:name w:val="טבלה רגילה 51"/>
    <w:basedOn w:val="TableNormal"/>
    <w:uiPriority w:val="45"/>
    <w:rsid w:val="003879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5-51">
    <w:name w:val="טבלת רשת 5 כהה - הדגשה 51"/>
    <w:basedOn w:val="TableNormal"/>
    <w:uiPriority w:val="50"/>
    <w:rsid w:val="003879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EBD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E885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E885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E885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E8853" w:themeFill="accent5"/>
      </w:tcPr>
    </w:tblStylePr>
    <w:tblStylePr w:type="band1Vert">
      <w:tblPr/>
      <w:tcPr>
        <w:shd w:val="clear" w:color="auto" w:fill="A9D7B6" w:themeFill="accent5" w:themeFillTint="66"/>
      </w:tcPr>
    </w:tblStylePr>
    <w:tblStylePr w:type="band1Horz">
      <w:tblPr/>
      <w:tcPr>
        <w:shd w:val="clear" w:color="auto" w:fill="A9D7B6" w:themeFill="accent5" w:themeFillTint="66"/>
      </w:tcPr>
    </w:tblStylePr>
  </w:style>
  <w:style w:type="paragraph" w:customStyle="1" w:styleId="7321">
    <w:name w:val="73א כוכבית טקסט רץ"/>
    <w:basedOn w:val="Normal"/>
    <w:qFormat/>
    <w:rsid w:val="00A6769C"/>
    <w:pPr>
      <w:spacing w:after="180" w:line="260" w:lineRule="exact"/>
      <w:jc w:val="center"/>
    </w:pPr>
    <w:rPr>
      <w:rFonts w:ascii="Segoe UI Symbol" w:hAnsi="Segoe UI Symbol" w:cs="Segoe UI Symbol"/>
      <w:color w:val="0D0D0D" w:themeColor="text1" w:themeTint="F2"/>
      <w:sz w:val="18"/>
      <w:szCs w:val="18"/>
    </w:rPr>
  </w:style>
  <w:style w:type="paragraph" w:customStyle="1" w:styleId="7322">
    <w:name w:val="73א כוכבית בתוך קוביה"/>
    <w:basedOn w:val="7318"/>
    <w:qFormat/>
    <w:rsid w:val="001F0DE8"/>
    <w:pPr>
      <w:jc w:val="center"/>
    </w:pPr>
    <w:rPr>
      <w:rFonts w:ascii="Segoe UI Symbol" w:hAnsi="Segoe UI Symbol" w:cs="Segoe UI Symbol"/>
    </w:rPr>
  </w:style>
  <w:style w:type="paragraph" w:customStyle="1" w:styleId="7323">
    <w:name w:val="73א הזחה אותיות"/>
    <w:basedOn w:val="ListParagraph"/>
    <w:qFormat/>
    <w:rsid w:val="0086219D"/>
    <w:pPr>
      <w:numPr>
        <w:numId w:val="4"/>
      </w:numPr>
      <w:spacing w:after="180" w:line="260" w:lineRule="exact"/>
      <w:ind w:left="794" w:hanging="397"/>
    </w:pPr>
    <w:rPr>
      <w:rFonts w:ascii="Tahoma" w:hAnsi="Tahoma" w:cs="Tahoma"/>
      <w:color w:val="0D0D0D" w:themeColor="text1" w:themeTint="F2"/>
      <w:sz w:val="18"/>
      <w:szCs w:val="18"/>
    </w:rPr>
  </w:style>
  <w:style w:type="paragraph" w:customStyle="1" w:styleId="7324">
    <w:name w:val="73א מספור בתוך קוביה"/>
    <w:basedOn w:val="ListParagraph"/>
    <w:qFormat/>
    <w:rsid w:val="00520550"/>
    <w:pPr>
      <w:numPr>
        <w:numId w:val="5"/>
      </w:numPr>
      <w:pBdr>
        <w:top w:val="single" w:sz="18" w:space="4" w:color="CEEAF6"/>
        <w:left w:val="single" w:sz="18" w:space="11" w:color="CEEAF6"/>
        <w:bottom w:val="single" w:sz="18" w:space="6" w:color="CEEAF6"/>
        <w:right w:val="single" w:sz="18" w:space="11" w:color="CEEAF6"/>
      </w:pBdr>
      <w:shd w:val="solid" w:color="CEEAF6" w:fill="CEEAF6"/>
      <w:spacing w:after="120" w:line="260" w:lineRule="exact"/>
      <w:ind w:left="1077" w:right="227" w:hanging="397"/>
      <w:contextualSpacing w:val="0"/>
    </w:pPr>
    <w:rPr>
      <w:rFonts w:ascii="Tahoma" w:hAnsi="Tahoma" w:cs="Tahoma"/>
      <w:color w:val="0D0D0D" w:themeColor="text1" w:themeTint="F2"/>
      <w:sz w:val="18"/>
      <w:szCs w:val="18"/>
    </w:rPr>
  </w:style>
  <w:style w:type="paragraph" w:customStyle="1" w:styleId="a10">
    <w:name w:val="נבנצלים"/>
    <w:basedOn w:val="Normal"/>
    <w:next w:val="Normal"/>
    <w:rsid w:val="00114E4E"/>
    <w:pPr>
      <w:widowControl w:val="0"/>
      <w:ind w:left="-567"/>
    </w:pPr>
    <w:rPr>
      <w:rFonts w:eastAsia="Times New Roman"/>
      <w:sz w:val="24"/>
      <w:szCs w:val="20"/>
      <w:lang w:eastAsia="he-IL"/>
    </w:rPr>
  </w:style>
  <w:style w:type="character" w:customStyle="1" w:styleId="Bodytext5">
    <w:name w:val="Body text (5)_"/>
    <w:basedOn w:val="DefaultParagraphFont"/>
    <w:link w:val="Bodytext50"/>
    <w:rsid w:val="00114E4E"/>
    <w:rPr>
      <w:rFonts w:ascii="David" w:eastAsia="David" w:hAnsi="David"/>
      <w:sz w:val="21"/>
      <w:szCs w:val="21"/>
      <w:shd w:val="clear" w:color="auto" w:fill="FFFFFF"/>
    </w:rPr>
  </w:style>
  <w:style w:type="paragraph" w:customStyle="1" w:styleId="Bodytext50">
    <w:name w:val="Body text (5)"/>
    <w:basedOn w:val="Normal"/>
    <w:link w:val="Bodytext5"/>
    <w:rsid w:val="00114E4E"/>
    <w:pPr>
      <w:widowControl w:val="0"/>
      <w:shd w:val="clear" w:color="auto" w:fill="FFFFFF"/>
      <w:spacing w:before="480" w:line="234" w:lineRule="exact"/>
      <w:ind w:hanging="5440"/>
      <w:jc w:val="left"/>
    </w:pPr>
    <w:rPr>
      <w:rFonts w:ascii="David" w:eastAsia="David" w:hAnsi="David"/>
      <w:sz w:val="21"/>
      <w:szCs w:val="21"/>
    </w:rPr>
  </w:style>
  <w:style w:type="paragraph" w:styleId="Subtitle">
    <w:name w:val="Subtitle"/>
    <w:basedOn w:val="Normal"/>
    <w:next w:val="Normal"/>
    <w:link w:val="SubtitleChar"/>
    <w:qFormat/>
    <w:rsid w:val="00114E4E"/>
    <w:pPr>
      <w:spacing w:after="60" w:line="240" w:lineRule="auto"/>
      <w:jc w:val="center"/>
      <w:outlineLvl w:val="1"/>
    </w:pPr>
    <w:rPr>
      <w:rFonts w:ascii="Cambria" w:eastAsia="Times New Roman" w:hAnsi="Cambria" w:cs="Times New Roman"/>
      <w:sz w:val="24"/>
      <w:lang w:val="x-none" w:eastAsia="x-none"/>
    </w:rPr>
  </w:style>
  <w:style w:type="character" w:customStyle="1" w:styleId="SubtitleChar">
    <w:name w:val="Subtitle Char"/>
    <w:basedOn w:val="DefaultParagraphFont"/>
    <w:link w:val="Subtitle"/>
    <w:rsid w:val="00114E4E"/>
    <w:rPr>
      <w:rFonts w:ascii="Cambria" w:eastAsia="Times New Roman" w:hAnsi="Cambria" w:cs="Times New Roman"/>
      <w:sz w:val="24"/>
      <w:lang w:val="x-none" w:eastAsia="x-none"/>
    </w:rPr>
  </w:style>
  <w:style w:type="paragraph" w:styleId="HTMLTopofForm">
    <w:name w:val="HTML Top of Form"/>
    <w:basedOn w:val="Normal"/>
    <w:next w:val="Normal"/>
    <w:link w:val="z-TopofFormChar"/>
    <w:hidden/>
    <w:uiPriority w:val="99"/>
    <w:semiHidden/>
    <w:unhideWhenUsed/>
    <w:rsid w:val="00114E4E"/>
    <w:pPr>
      <w:pBdr>
        <w:bottom w:val="single" w:sz="6" w:space="1" w:color="auto"/>
      </w:pBdr>
      <w:bidi w:val="0"/>
      <w:spacing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HTMLTopofForm"/>
    <w:uiPriority w:val="99"/>
    <w:semiHidden/>
    <w:rsid w:val="00114E4E"/>
    <w:rPr>
      <w:rFonts w:ascii="Arial" w:eastAsia="Times New Roman" w:hAnsi="Arial" w:cs="Arial"/>
      <w:vanish/>
      <w:sz w:val="16"/>
      <w:szCs w:val="16"/>
    </w:rPr>
  </w:style>
  <w:style w:type="character" w:customStyle="1" w:styleId="Heading9Char">
    <w:name w:val="Heading 9 Char"/>
    <w:basedOn w:val="DefaultParagraphFont"/>
    <w:link w:val="Heading9"/>
    <w:uiPriority w:val="9"/>
    <w:semiHidden/>
    <w:rsid w:val="00BA23AE"/>
    <w:rPr>
      <w:rFonts w:asciiTheme="majorHAnsi" w:eastAsiaTheme="majorEastAsia" w:hAnsiTheme="majorHAnsi" w:cstheme="majorBidi"/>
      <w:i/>
      <w:iCs/>
      <w:color w:val="272727" w:themeColor="text1" w:themeTint="D8"/>
      <w:sz w:val="21"/>
      <w:szCs w:val="21"/>
    </w:rPr>
  </w:style>
  <w:style w:type="paragraph" w:customStyle="1" w:styleId="font2">
    <w:name w:val="font_2"/>
    <w:basedOn w:val="Normal"/>
    <w:rsid w:val="00BA23AE"/>
    <w:pPr>
      <w:bidi w:val="0"/>
      <w:spacing w:before="100" w:beforeAutospacing="1" w:after="100" w:afterAutospacing="1" w:line="240" w:lineRule="auto"/>
      <w:jc w:val="left"/>
    </w:pPr>
    <w:rPr>
      <w:rFonts w:eastAsia="Times New Roman" w:cs="Times New Roman"/>
      <w:sz w:val="24"/>
    </w:rPr>
  </w:style>
  <w:style w:type="table" w:customStyle="1" w:styleId="4-61">
    <w:name w:val="טבלת רשת 4 - הדגשה 61"/>
    <w:basedOn w:val="TableNormal"/>
    <w:uiPriority w:val="49"/>
    <w:rsid w:val="00BA23AE"/>
    <w:pPr>
      <w:spacing w:after="0" w:line="240" w:lineRule="auto"/>
    </w:pPr>
    <w:tblPr>
      <w:tblStyleRowBandSize w:val="1"/>
      <w:tblStyleColBandSize w:val="1"/>
      <w:tblBorders>
        <w:top w:val="single" w:sz="4" w:space="0" w:color="A0C7C5" w:themeColor="accent6" w:themeTint="99"/>
        <w:left w:val="single" w:sz="4" w:space="0" w:color="A0C7C5" w:themeColor="accent6" w:themeTint="99"/>
        <w:bottom w:val="single" w:sz="4" w:space="0" w:color="A0C7C5" w:themeColor="accent6" w:themeTint="99"/>
        <w:right w:val="single" w:sz="4" w:space="0" w:color="A0C7C5" w:themeColor="accent6" w:themeTint="99"/>
        <w:insideH w:val="single" w:sz="4" w:space="0" w:color="A0C7C5" w:themeColor="accent6" w:themeTint="99"/>
        <w:insideV w:val="single" w:sz="4" w:space="0" w:color="A0C7C5" w:themeColor="accent6" w:themeTint="99"/>
      </w:tblBorders>
    </w:tblPr>
    <w:tblStylePr w:type="firstRow">
      <w:rPr>
        <w:b/>
        <w:bCs/>
        <w:color w:val="FFFFFF" w:themeColor="background1"/>
      </w:rPr>
      <w:tblPr/>
      <w:tcPr>
        <w:tcBorders>
          <w:top w:val="single" w:sz="4" w:space="0" w:color="62A39F" w:themeColor="accent6"/>
          <w:left w:val="single" w:sz="4" w:space="0" w:color="62A39F" w:themeColor="accent6"/>
          <w:bottom w:val="single" w:sz="4" w:space="0" w:color="62A39F" w:themeColor="accent6"/>
          <w:right w:val="single" w:sz="4" w:space="0" w:color="62A39F" w:themeColor="accent6"/>
          <w:insideH w:val="nil"/>
          <w:insideV w:val="nil"/>
        </w:tcBorders>
        <w:shd w:val="clear" w:color="auto" w:fill="62A39F" w:themeFill="accent6"/>
      </w:tcPr>
    </w:tblStylePr>
    <w:tblStylePr w:type="lastRow">
      <w:rPr>
        <w:b/>
        <w:bCs/>
      </w:rPr>
      <w:tblPr/>
      <w:tcPr>
        <w:tcBorders>
          <w:top w:val="double" w:sz="4" w:space="0" w:color="62A39F" w:themeColor="accent6"/>
        </w:tcBorders>
      </w:tcPr>
    </w:tblStylePr>
    <w:tblStylePr w:type="firstCol">
      <w:rPr>
        <w:b/>
        <w:bCs/>
      </w:rPr>
    </w:tblStylePr>
    <w:tblStylePr w:type="lastCol">
      <w:rPr>
        <w:b/>
        <w:bCs/>
      </w:rPr>
    </w:tblStylePr>
    <w:tblStylePr w:type="band1Vert">
      <w:tblPr/>
      <w:tcPr>
        <w:shd w:val="clear" w:color="auto" w:fill="DFECEB" w:themeFill="accent6" w:themeFillTint="33"/>
      </w:tcPr>
    </w:tblStylePr>
    <w:tblStylePr w:type="band1Horz">
      <w:tblPr/>
      <w:tcPr>
        <w:shd w:val="clear" w:color="auto" w:fill="DFECEB" w:themeFill="accent6" w:themeFillTint="33"/>
      </w:tcPr>
    </w:tblStylePr>
  </w:style>
  <w:style w:type="table" w:customStyle="1" w:styleId="312">
    <w:name w:val="טבלת רשת 31"/>
    <w:basedOn w:val="TableNormal"/>
    <w:uiPriority w:val="48"/>
    <w:rsid w:val="00BA23A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P220">
    <w:name w:val="P22"/>
    <w:basedOn w:val="Normal"/>
    <w:rsid w:val="00454096"/>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FrankRuehl"/>
      <w:noProof/>
      <w:szCs w:val="26"/>
      <w:lang w:eastAsia="he-IL"/>
    </w:rPr>
  </w:style>
  <w:style w:type="paragraph" w:customStyle="1" w:styleId="P33">
    <w:name w:val="P33"/>
    <w:basedOn w:val="Normal"/>
    <w:rsid w:val="00454096"/>
    <w:pPr>
      <w:widowControl w:val="0"/>
      <w:tabs>
        <w:tab w:val="left" w:pos="1928"/>
        <w:tab w:val="left" w:pos="2381"/>
        <w:tab w:val="left" w:pos="2835"/>
        <w:tab w:val="right" w:leader="dot" w:pos="6259"/>
      </w:tabs>
      <w:suppressAutoHyphens/>
      <w:autoSpaceDE w:val="0"/>
      <w:autoSpaceDN w:val="0"/>
      <w:spacing w:before="60" w:line="240" w:lineRule="auto"/>
      <w:ind w:left="2835" w:right="1474"/>
    </w:pPr>
    <w:rPr>
      <w:rFonts w:eastAsia="Times New Roman" w:cs="FrankRuehl"/>
      <w:noProof/>
      <w:szCs w:val="26"/>
      <w:lang w:eastAsia="he-IL"/>
    </w:rPr>
  </w:style>
  <w:style w:type="table" w:customStyle="1" w:styleId="6-31">
    <w:name w:val="טבלת רשת 6 צבעונית - הדגשה 31"/>
    <w:basedOn w:val="TableNormal"/>
    <w:uiPriority w:val="51"/>
    <w:rsid w:val="00BA23AE"/>
    <w:pPr>
      <w:spacing w:after="0" w:line="240" w:lineRule="auto"/>
    </w:pPr>
    <w:rPr>
      <w:color w:val="1D99A0" w:themeColor="accent3" w:themeShade="BF"/>
    </w:rPr>
    <w:tblPr>
      <w:tblStyleRowBandSize w:val="1"/>
      <w:tblStyleColBandSize w:val="1"/>
      <w:tblBorders>
        <w:top w:val="single" w:sz="4" w:space="0" w:color="7CE1E7" w:themeColor="accent3" w:themeTint="99"/>
        <w:left w:val="single" w:sz="4" w:space="0" w:color="7CE1E7" w:themeColor="accent3" w:themeTint="99"/>
        <w:bottom w:val="single" w:sz="4" w:space="0" w:color="7CE1E7" w:themeColor="accent3" w:themeTint="99"/>
        <w:right w:val="single" w:sz="4" w:space="0" w:color="7CE1E7" w:themeColor="accent3" w:themeTint="99"/>
        <w:insideH w:val="single" w:sz="4" w:space="0" w:color="7CE1E7" w:themeColor="accent3" w:themeTint="99"/>
        <w:insideV w:val="single" w:sz="4" w:space="0" w:color="7CE1E7" w:themeColor="accent3" w:themeTint="99"/>
      </w:tblBorders>
    </w:tblPr>
    <w:tblStylePr w:type="firstRow">
      <w:rPr>
        <w:b/>
        <w:bCs/>
      </w:rPr>
      <w:tblPr/>
      <w:tcPr>
        <w:tcBorders>
          <w:bottom w:val="single" w:sz="12" w:space="0" w:color="7CE1E7" w:themeColor="accent3" w:themeTint="99"/>
        </w:tcBorders>
      </w:tcPr>
    </w:tblStylePr>
    <w:tblStylePr w:type="lastRow">
      <w:rPr>
        <w:b/>
        <w:bCs/>
      </w:rPr>
      <w:tblPr/>
      <w:tcPr>
        <w:tcBorders>
          <w:top w:val="double" w:sz="4" w:space="0" w:color="7CE1E7" w:themeColor="accent3" w:themeTint="99"/>
        </w:tcBorders>
      </w:tcPr>
    </w:tblStylePr>
    <w:tblStylePr w:type="firstCol">
      <w:rPr>
        <w:b/>
        <w:bCs/>
      </w:rPr>
    </w:tblStylePr>
    <w:tblStylePr w:type="lastCol">
      <w:rPr>
        <w:b/>
        <w:bCs/>
      </w:rPr>
    </w:tblStylePr>
    <w:tblStylePr w:type="band1Vert">
      <w:tblPr/>
      <w:tcPr>
        <w:shd w:val="clear" w:color="auto" w:fill="D3F5F7" w:themeFill="accent3" w:themeFillTint="33"/>
      </w:tcPr>
    </w:tblStylePr>
    <w:tblStylePr w:type="band1Horz">
      <w:tblPr/>
      <w:tcPr>
        <w:shd w:val="clear" w:color="auto" w:fill="D3F5F7" w:themeFill="accent3" w:themeFillTint="33"/>
      </w:tcPr>
    </w:tblStylePr>
  </w:style>
  <w:style w:type="paragraph" w:styleId="NoSpacing">
    <w:name w:val="No Spacing"/>
    <w:aliases w:val="גוף הטקסט"/>
    <w:link w:val="NoSpacingChar"/>
    <w:uiPriority w:val="1"/>
    <w:qFormat/>
    <w:rsid w:val="00BA23AE"/>
    <w:pPr>
      <w:bidi/>
      <w:spacing w:after="0" w:line="240" w:lineRule="auto"/>
      <w:jc w:val="left"/>
    </w:pPr>
    <w:rPr>
      <w:rFonts w:asciiTheme="minorHAnsi" w:eastAsiaTheme="minorEastAsia" w:hAnsiTheme="minorHAnsi" w:cstheme="minorBidi"/>
      <w:sz w:val="22"/>
      <w:szCs w:val="22"/>
    </w:rPr>
  </w:style>
  <w:style w:type="character" w:customStyle="1" w:styleId="NoSpacingChar">
    <w:name w:val="No Spacing Char"/>
    <w:aliases w:val="גוף הטקסט Char"/>
    <w:basedOn w:val="DefaultParagraphFont"/>
    <w:link w:val="NoSpacing"/>
    <w:uiPriority w:val="1"/>
    <w:rsid w:val="00BA23AE"/>
    <w:rPr>
      <w:rFonts w:asciiTheme="minorHAnsi" w:eastAsiaTheme="minorEastAsia" w:hAnsiTheme="minorHAnsi" w:cstheme="minorBidi"/>
      <w:sz w:val="22"/>
      <w:szCs w:val="22"/>
    </w:rPr>
  </w:style>
  <w:style w:type="character" w:customStyle="1" w:styleId="91">
    <w:name w:val="כותרת 9 תו1"/>
    <w:basedOn w:val="DefaultParagraphFont"/>
    <w:uiPriority w:val="9"/>
    <w:rsid w:val="00BA23AE"/>
    <w:rPr>
      <w:rFonts w:asciiTheme="majorHAnsi" w:eastAsiaTheme="majorEastAsia" w:hAnsiTheme="majorHAnsi" w:cstheme="majorBidi"/>
      <w:i/>
      <w:iCs/>
      <w:color w:val="134163" w:themeColor="accent2" w:themeShade="80"/>
      <w:sz w:val="22"/>
      <w:szCs w:val="22"/>
    </w:rPr>
  </w:style>
  <w:style w:type="table" w:customStyle="1" w:styleId="410">
    <w:name w:val="טבלת רשת 41"/>
    <w:basedOn w:val="TableNormal"/>
    <w:uiPriority w:val="49"/>
    <w:rsid w:val="00BA23A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
    <w:name w:val="טבלת רשת 21"/>
    <w:basedOn w:val="TableNormal"/>
    <w:uiPriority w:val="47"/>
    <w:rsid w:val="00BA23A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11">
    <w:name w:val="טבלה הערות מתחת"/>
    <w:basedOn w:val="733"/>
    <w:qFormat/>
    <w:rsid w:val="00771BEC"/>
    <w:pPr>
      <w:spacing w:before="120"/>
    </w:pPr>
  </w:style>
  <w:style w:type="paragraph" w:customStyle="1" w:styleId="7325">
    <w:name w:val="73א אותיות רשימה א"/>
    <w:aliases w:val="ב"/>
    <w:basedOn w:val="ListParagraph"/>
    <w:qFormat/>
    <w:rsid w:val="00A858E9"/>
    <w:pPr>
      <w:widowControl w:val="0"/>
      <w:numPr>
        <w:numId w:val="6"/>
      </w:numPr>
      <w:spacing w:after="180" w:line="260" w:lineRule="exact"/>
    </w:pPr>
    <w:rPr>
      <w:rFonts w:ascii="Tahoma" w:hAnsi="Tahoma" w:cs="Tahoma"/>
      <w:color w:val="0D0D0D" w:themeColor="text1" w:themeTint="F2"/>
      <w:sz w:val="18"/>
      <w:szCs w:val="18"/>
    </w:rPr>
  </w:style>
  <w:style w:type="paragraph" w:customStyle="1" w:styleId="a12">
    <w:name w:val="קריאות"/>
    <w:basedOn w:val="Normal"/>
    <w:next w:val="Normal"/>
    <w:rsid w:val="00CF1EB5"/>
    <w:pPr>
      <w:spacing w:line="240" w:lineRule="exact"/>
    </w:pPr>
    <w:rPr>
      <w:rFonts w:ascii="David" w:eastAsia="Times New Roman" w:hAnsi="David"/>
      <w:sz w:val="24"/>
      <w:u w:val="single"/>
      <w:lang w:eastAsia="he-IL"/>
    </w:rPr>
  </w:style>
  <w:style w:type="paragraph" w:customStyle="1" w:styleId="a13">
    <w:name w:val="יור"/>
    <w:basedOn w:val="Normal"/>
    <w:next w:val="Normal"/>
    <w:rsid w:val="00CF1EB5"/>
    <w:pPr>
      <w:spacing w:line="240" w:lineRule="exact"/>
    </w:pPr>
    <w:rPr>
      <w:rFonts w:ascii="David" w:eastAsia="Times New Roman" w:hAnsi="David"/>
      <w:sz w:val="24"/>
      <w:u w:val="single"/>
      <w:lang w:eastAsia="he-IL"/>
    </w:rPr>
  </w:style>
  <w:style w:type="character" w:customStyle="1" w:styleId="Char5">
    <w:name w:val="ציטוט בג&quot;צ Char"/>
    <w:link w:val="a14"/>
    <w:locked/>
    <w:rsid w:val="00CF1EB5"/>
    <w:rPr>
      <w:bCs/>
      <w:noProof/>
      <w:sz w:val="24"/>
      <w:lang w:eastAsia="he-IL"/>
    </w:rPr>
  </w:style>
  <w:style w:type="paragraph" w:customStyle="1" w:styleId="a14">
    <w:name w:val="ציטוט בג&quot;צ"/>
    <w:basedOn w:val="Normal"/>
    <w:link w:val="Char5"/>
    <w:qFormat/>
    <w:rsid w:val="00CF1EB5"/>
    <w:pPr>
      <w:spacing w:line="240" w:lineRule="auto"/>
      <w:ind w:left="1440" w:right="1440"/>
    </w:pPr>
    <w:rPr>
      <w:bCs/>
      <w:noProof/>
      <w:sz w:val="24"/>
      <w:lang w:eastAsia="he-IL"/>
    </w:rPr>
  </w:style>
  <w:style w:type="paragraph" w:customStyle="1" w:styleId="7380">
    <w:name w:val="73א כותרת 8"/>
    <w:basedOn w:val="Heading8"/>
    <w:qFormat/>
    <w:rsid w:val="003855E1"/>
    <w:pPr>
      <w:spacing w:after="120"/>
    </w:pPr>
    <w:rPr>
      <w:rFonts w:ascii="Tahoma" w:hAnsi="Tahoma" w:cs="Tahoma"/>
      <w:color w:val="00305F"/>
      <w:spacing w:val="20"/>
      <w:sz w:val="19"/>
      <w:szCs w:val="19"/>
    </w:rPr>
  </w:style>
  <w:style w:type="paragraph" w:customStyle="1" w:styleId="73610">
    <w:name w:val="73א כותרת 6_10"/>
    <w:basedOn w:val="73512"/>
    <w:link w:val="736100"/>
    <w:qFormat/>
    <w:rsid w:val="0078358A"/>
    <w:pPr>
      <w:outlineLvl w:val="5"/>
    </w:pPr>
    <w:rPr>
      <w:sz w:val="20"/>
      <w:szCs w:val="20"/>
    </w:rPr>
  </w:style>
  <w:style w:type="table" w:customStyle="1" w:styleId="5-31">
    <w:name w:val="טבלת רשת 5 כהה - הדגשה 31"/>
    <w:basedOn w:val="TableNormal"/>
    <w:uiPriority w:val="50"/>
    <w:rsid w:val="00E73D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F5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7CED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7CED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7CED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7CED7" w:themeFill="accent3"/>
      </w:tcPr>
    </w:tblStylePr>
    <w:tblStylePr w:type="band1Vert">
      <w:tblPr/>
      <w:tcPr>
        <w:shd w:val="clear" w:color="auto" w:fill="A8EBEF" w:themeFill="accent3" w:themeFillTint="66"/>
      </w:tcPr>
    </w:tblStylePr>
    <w:tblStylePr w:type="band1Horz">
      <w:tblPr/>
      <w:tcPr>
        <w:shd w:val="clear" w:color="auto" w:fill="A8EBEF" w:themeFill="accent3" w:themeFillTint="66"/>
      </w:tcPr>
    </w:tblStylePr>
  </w:style>
  <w:style w:type="table" w:customStyle="1" w:styleId="2-11">
    <w:name w:val="טבלת רשת 2 - הדגשה 11"/>
    <w:basedOn w:val="TableNormal"/>
    <w:uiPriority w:val="47"/>
    <w:rsid w:val="00E73D0E"/>
    <w:pPr>
      <w:spacing w:after="0" w:line="240" w:lineRule="auto"/>
    </w:pPr>
    <w:tblPr>
      <w:tblStyleRowBandSize w:val="1"/>
      <w:tblStyleColBandSize w:val="1"/>
      <w:tblBorders>
        <w:top w:val="single" w:sz="2" w:space="0" w:color="76CDEE" w:themeColor="accent1" w:themeTint="99"/>
        <w:bottom w:val="single" w:sz="2" w:space="0" w:color="76CDEE" w:themeColor="accent1" w:themeTint="99"/>
        <w:insideH w:val="single" w:sz="2" w:space="0" w:color="76CDEE" w:themeColor="accent1" w:themeTint="99"/>
        <w:insideV w:val="single" w:sz="2" w:space="0" w:color="76CDEE" w:themeColor="accent1" w:themeTint="99"/>
      </w:tblBorders>
    </w:tblPr>
    <w:tblStylePr w:type="firstRow">
      <w:rPr>
        <w:b/>
        <w:bCs/>
      </w:rPr>
      <w:tblPr/>
      <w:tcPr>
        <w:tcBorders>
          <w:top w:val="nil"/>
          <w:bottom w:val="single" w:sz="12" w:space="0" w:color="76CDEE" w:themeColor="accent1" w:themeTint="99"/>
          <w:insideH w:val="nil"/>
          <w:insideV w:val="nil"/>
        </w:tcBorders>
        <w:shd w:val="clear" w:color="auto" w:fill="FFFFFF" w:themeFill="background1"/>
      </w:tcPr>
    </w:tblStylePr>
    <w:tblStylePr w:type="lastRow">
      <w:rPr>
        <w:b/>
        <w:bCs/>
      </w:rPr>
      <w:tblPr/>
      <w:tcPr>
        <w:tcBorders>
          <w:top w:val="double" w:sz="2" w:space="0" w:color="76CDE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1EEF9" w:themeFill="accent1" w:themeFillTint="33"/>
      </w:tcPr>
    </w:tblStylePr>
    <w:tblStylePr w:type="band1Horz">
      <w:tblPr/>
      <w:tcPr>
        <w:shd w:val="clear" w:color="auto" w:fill="D1EEF9" w:themeFill="accent1" w:themeFillTint="33"/>
      </w:tcPr>
    </w:tblStylePr>
  </w:style>
  <w:style w:type="table" w:customStyle="1" w:styleId="4-110">
    <w:name w:val="טבלת רשימה 4 - הדגשה 11"/>
    <w:basedOn w:val="TableNormal"/>
    <w:uiPriority w:val="49"/>
    <w:rsid w:val="00E73D0E"/>
    <w:pPr>
      <w:spacing w:after="0" w:line="240" w:lineRule="auto"/>
    </w:pPr>
    <w:tblPr>
      <w:tblStyleRowBandSize w:val="1"/>
      <w:tblStyleColBandSize w:val="1"/>
      <w:tblBorders>
        <w:top w:val="single" w:sz="4" w:space="0" w:color="76CDEE" w:themeColor="accent1" w:themeTint="99"/>
        <w:left w:val="single" w:sz="4" w:space="0" w:color="76CDEE" w:themeColor="accent1" w:themeTint="99"/>
        <w:bottom w:val="single" w:sz="4" w:space="0" w:color="76CDEE" w:themeColor="accent1" w:themeTint="99"/>
        <w:right w:val="single" w:sz="4" w:space="0" w:color="76CDEE" w:themeColor="accent1" w:themeTint="99"/>
        <w:insideH w:val="single" w:sz="4" w:space="0" w:color="76CDEE" w:themeColor="accent1" w:themeTint="99"/>
      </w:tblBorders>
    </w:tblPr>
    <w:tblStylePr w:type="firstRow">
      <w:rPr>
        <w:b/>
        <w:bCs/>
        <w:color w:val="FFFFFF" w:themeColor="background1"/>
      </w:rPr>
      <w:tblPr/>
      <w:tcPr>
        <w:tcBorders>
          <w:top w:val="single" w:sz="4" w:space="0" w:color="1CADE4" w:themeColor="accent1"/>
          <w:left w:val="single" w:sz="4" w:space="0" w:color="1CADE4" w:themeColor="accent1"/>
          <w:bottom w:val="single" w:sz="4" w:space="0" w:color="1CADE4" w:themeColor="accent1"/>
          <w:right w:val="single" w:sz="4" w:space="0" w:color="1CADE4" w:themeColor="accent1"/>
          <w:insideH w:val="nil"/>
        </w:tcBorders>
        <w:shd w:val="clear" w:color="auto" w:fill="1CADE4" w:themeFill="accent1"/>
      </w:tcPr>
    </w:tblStylePr>
    <w:tblStylePr w:type="lastRow">
      <w:rPr>
        <w:b/>
        <w:bCs/>
      </w:rPr>
      <w:tblPr/>
      <w:tcPr>
        <w:tcBorders>
          <w:top w:val="double" w:sz="4" w:space="0" w:color="76CDEE" w:themeColor="accent1" w:themeTint="99"/>
        </w:tcBorders>
      </w:tcPr>
    </w:tblStylePr>
    <w:tblStylePr w:type="firstCol">
      <w:rPr>
        <w:b/>
        <w:bCs/>
      </w:rPr>
    </w:tblStylePr>
    <w:tblStylePr w:type="lastCol">
      <w:rPr>
        <w:b/>
        <w:bCs/>
      </w:rPr>
    </w:tblStylePr>
    <w:tblStylePr w:type="band1Vert">
      <w:tblPr/>
      <w:tcPr>
        <w:shd w:val="clear" w:color="auto" w:fill="D1EEF9" w:themeFill="accent1" w:themeFillTint="33"/>
      </w:tcPr>
    </w:tblStylePr>
    <w:tblStylePr w:type="band1Horz">
      <w:tblPr/>
      <w:tcPr>
        <w:shd w:val="clear" w:color="auto" w:fill="D1EEF9" w:themeFill="accent1" w:themeFillTint="33"/>
      </w:tcPr>
    </w:tblStylePr>
  </w:style>
  <w:style w:type="table" w:customStyle="1" w:styleId="6-11">
    <w:name w:val="טבלת רשת 6 צבעונית - הדגשה 11"/>
    <w:basedOn w:val="TableNormal"/>
    <w:uiPriority w:val="51"/>
    <w:rsid w:val="00E73D0E"/>
    <w:pPr>
      <w:spacing w:after="0" w:line="240" w:lineRule="auto"/>
    </w:pPr>
    <w:rPr>
      <w:color w:val="1481AB" w:themeColor="accent1" w:themeShade="BF"/>
    </w:rPr>
    <w:tblPr>
      <w:tblStyleRowBandSize w:val="1"/>
      <w:tblStyleColBandSize w:val="1"/>
      <w:tblBorders>
        <w:top w:val="single" w:sz="4" w:space="0" w:color="76CDEE" w:themeColor="accent1" w:themeTint="99"/>
        <w:left w:val="single" w:sz="4" w:space="0" w:color="76CDEE" w:themeColor="accent1" w:themeTint="99"/>
        <w:bottom w:val="single" w:sz="4" w:space="0" w:color="76CDEE" w:themeColor="accent1" w:themeTint="99"/>
        <w:right w:val="single" w:sz="4" w:space="0" w:color="76CDEE" w:themeColor="accent1" w:themeTint="99"/>
        <w:insideH w:val="single" w:sz="4" w:space="0" w:color="76CDEE" w:themeColor="accent1" w:themeTint="99"/>
        <w:insideV w:val="single" w:sz="4" w:space="0" w:color="76CDEE" w:themeColor="accent1" w:themeTint="99"/>
      </w:tblBorders>
    </w:tblPr>
    <w:tblStylePr w:type="firstRow">
      <w:rPr>
        <w:b/>
        <w:bCs/>
      </w:rPr>
      <w:tblPr/>
      <w:tcPr>
        <w:tcBorders>
          <w:bottom w:val="single" w:sz="12" w:space="0" w:color="76CDEE" w:themeColor="accent1" w:themeTint="99"/>
        </w:tcBorders>
      </w:tcPr>
    </w:tblStylePr>
    <w:tblStylePr w:type="lastRow">
      <w:rPr>
        <w:b/>
        <w:bCs/>
      </w:rPr>
      <w:tblPr/>
      <w:tcPr>
        <w:tcBorders>
          <w:top w:val="double" w:sz="4" w:space="0" w:color="76CDEE" w:themeColor="accent1" w:themeTint="99"/>
        </w:tcBorders>
      </w:tcPr>
    </w:tblStylePr>
    <w:tblStylePr w:type="firstCol">
      <w:rPr>
        <w:b/>
        <w:bCs/>
      </w:rPr>
    </w:tblStylePr>
    <w:tblStylePr w:type="lastCol">
      <w:rPr>
        <w:b/>
        <w:bCs/>
      </w:rPr>
    </w:tblStylePr>
    <w:tblStylePr w:type="band1Vert">
      <w:tblPr/>
      <w:tcPr>
        <w:shd w:val="clear" w:color="auto" w:fill="D1EEF9" w:themeFill="accent1" w:themeFillTint="33"/>
      </w:tcPr>
    </w:tblStylePr>
    <w:tblStylePr w:type="band1Horz">
      <w:tblPr/>
      <w:tcPr>
        <w:shd w:val="clear" w:color="auto" w:fill="D1EEF9" w:themeFill="accent1" w:themeFillTint="33"/>
      </w:tcPr>
    </w:tblStylePr>
  </w:style>
  <w:style w:type="character" w:customStyle="1" w:styleId="117">
    <w:name w:val="כותרת טקסט1"/>
    <w:basedOn w:val="DefaultParagraphFont"/>
    <w:rsid w:val="00D81F77"/>
  </w:style>
  <w:style w:type="paragraph" w:customStyle="1" w:styleId="a15">
    <w:name w:val="כותרת סעיף"/>
    <w:basedOn w:val="Normal"/>
    <w:rsid w:val="005F7321"/>
    <w:pPr>
      <w:numPr>
        <w:numId w:val="7"/>
      </w:numPr>
      <w:spacing w:before="240" w:line="360" w:lineRule="auto"/>
    </w:pPr>
    <w:rPr>
      <w:rFonts w:ascii="Arial" w:eastAsia="Times New Roman" w:hAnsi="Arial" w:cs="Arial"/>
      <w:b/>
      <w:bCs/>
      <w:color w:val="1B3461"/>
      <w:sz w:val="22"/>
      <w:szCs w:val="22"/>
    </w:rPr>
  </w:style>
  <w:style w:type="paragraph" w:customStyle="1" w:styleId="73BULLETS">
    <w:name w:val="73א בולטים BULLETS ריק"/>
    <w:basedOn w:val="ListParagraph"/>
    <w:qFormat/>
    <w:rsid w:val="00497FC7"/>
    <w:pPr>
      <w:widowControl w:val="0"/>
      <w:numPr>
        <w:numId w:val="8"/>
      </w:numPr>
      <w:spacing w:after="180" w:line="260" w:lineRule="exact"/>
      <w:ind w:left="397" w:hanging="397"/>
      <w:contextualSpacing w:val="0"/>
    </w:pPr>
    <w:rPr>
      <w:rFonts w:ascii="Tahoma" w:eastAsia="Times New Roman" w:hAnsi="Tahoma" w:cs="Tahoma"/>
      <w:color w:val="0D0D0D" w:themeColor="text1" w:themeTint="F2"/>
      <w:sz w:val="18"/>
      <w:szCs w:val="18"/>
      <w:lang w:eastAsia="he-IL"/>
    </w:rPr>
  </w:style>
  <w:style w:type="paragraph" w:customStyle="1" w:styleId="73BULLETS07">
    <w:name w:val="73א בולטים BULLETS ריק הזחה 0.7"/>
    <w:basedOn w:val="73BULLETS"/>
    <w:qFormat/>
    <w:rsid w:val="00AA4F04"/>
    <w:pPr>
      <w:ind w:left="794"/>
    </w:pPr>
  </w:style>
  <w:style w:type="character" w:customStyle="1" w:styleId="EndnoteTextChar1">
    <w:name w:val="Endnote Text Char1"/>
    <w:basedOn w:val="DefaultParagraphFont"/>
    <w:uiPriority w:val="99"/>
    <w:semiHidden/>
    <w:rsid w:val="00DF2BC6"/>
    <w:rPr>
      <w:szCs w:val="20"/>
    </w:rPr>
  </w:style>
  <w:style w:type="character" w:customStyle="1" w:styleId="UnresolvedMention1">
    <w:name w:val="Unresolved Mention1"/>
    <w:basedOn w:val="DefaultParagraphFont"/>
    <w:uiPriority w:val="99"/>
    <w:semiHidden/>
    <w:unhideWhenUsed/>
    <w:rsid w:val="00B24213"/>
    <w:rPr>
      <w:color w:val="605E5C"/>
      <w:shd w:val="clear" w:color="auto" w:fill="E1DFDD"/>
    </w:rPr>
  </w:style>
  <w:style w:type="character" w:customStyle="1" w:styleId="Bodytext4">
    <w:name w:val="Body text (4)_"/>
    <w:basedOn w:val="DefaultParagraphFont"/>
    <w:link w:val="Bodytext40"/>
    <w:rsid w:val="008C0B8B"/>
    <w:rPr>
      <w:rFonts w:ascii="David" w:eastAsia="David" w:hAnsi="David"/>
      <w:b/>
      <w:bCs/>
      <w:sz w:val="22"/>
      <w:szCs w:val="22"/>
      <w:shd w:val="clear" w:color="auto" w:fill="FFFFFF"/>
    </w:rPr>
  </w:style>
  <w:style w:type="paragraph" w:customStyle="1" w:styleId="Bodytext40">
    <w:name w:val="Body text (4)"/>
    <w:basedOn w:val="Normal"/>
    <w:link w:val="Bodytext4"/>
    <w:rsid w:val="008C0B8B"/>
    <w:pPr>
      <w:widowControl w:val="0"/>
      <w:shd w:val="clear" w:color="auto" w:fill="FFFFFF"/>
      <w:adjustRightInd w:val="0"/>
      <w:spacing w:before="480" w:after="60" w:line="0" w:lineRule="atLeast"/>
      <w:ind w:hanging="360"/>
      <w:jc w:val="center"/>
      <w:textAlignment w:val="baseline"/>
    </w:pPr>
    <w:rPr>
      <w:rFonts w:ascii="David" w:eastAsia="David" w:hAnsi="David"/>
      <w:b/>
      <w:bCs/>
      <w:sz w:val="22"/>
      <w:szCs w:val="22"/>
    </w:rPr>
  </w:style>
  <w:style w:type="character" w:customStyle="1" w:styleId="Bodytext6NotItalic">
    <w:name w:val="Body text (6) + Not Italic"/>
    <w:basedOn w:val="DefaultParagraphFont"/>
    <w:rsid w:val="008C0B8B"/>
    <w:rPr>
      <w:rFonts w:ascii="David" w:eastAsia="David" w:hAnsi="David" w:cs="David"/>
      <w:b w:val="0"/>
      <w:bCs w:val="0"/>
      <w:i/>
      <w:iCs/>
      <w:smallCaps w:val="0"/>
      <w:strike w:val="0"/>
      <w:color w:val="000000"/>
      <w:spacing w:val="0"/>
      <w:w w:val="100"/>
      <w:position w:val="0"/>
      <w:sz w:val="22"/>
      <w:szCs w:val="22"/>
      <w:u w:val="none"/>
      <w:lang w:val="he-IL" w:eastAsia="he-IL" w:bidi="he-IL"/>
    </w:rPr>
  </w:style>
  <w:style w:type="paragraph" w:customStyle="1" w:styleId="big-header">
    <w:name w:val="big-header"/>
    <w:basedOn w:val="Normal"/>
    <w:uiPriority w:val="99"/>
    <w:rsid w:val="00205724"/>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Cs w:val="32"/>
      <w:lang w:eastAsia="he-IL"/>
    </w:rPr>
  </w:style>
  <w:style w:type="character" w:customStyle="1" w:styleId="UnresolvedMention11">
    <w:name w:val="Unresolved Mention11"/>
    <w:basedOn w:val="DefaultParagraphFont"/>
    <w:uiPriority w:val="99"/>
    <w:semiHidden/>
    <w:unhideWhenUsed/>
    <w:rsid w:val="00205724"/>
    <w:rPr>
      <w:color w:val="605E5C"/>
      <w:shd w:val="clear" w:color="auto" w:fill="E1DFDD"/>
    </w:rPr>
  </w:style>
  <w:style w:type="character" w:customStyle="1" w:styleId="Bodytext7Exact">
    <w:name w:val="Body text (7) Exact"/>
    <w:basedOn w:val="Bodytext7"/>
    <w:rsid w:val="003B6D05"/>
    <w:rPr>
      <w:rFonts w:ascii="Tahoma" w:eastAsia="Tahoma" w:hAnsi="Tahoma" w:cs="Tahoma"/>
      <w:b/>
      <w:bCs/>
      <w:i w:val="0"/>
      <w:iCs w:val="0"/>
      <w:smallCaps w:val="0"/>
      <w:strike w:val="0"/>
      <w:color w:val="FFFFFF"/>
      <w:sz w:val="22"/>
      <w:szCs w:val="22"/>
      <w:u w:val="none"/>
      <w:shd w:val="clear" w:color="auto" w:fill="FFFFFF"/>
    </w:rPr>
  </w:style>
  <w:style w:type="character" w:customStyle="1" w:styleId="Bodytext7NotBoldExact">
    <w:name w:val="Body text (7) + Not Bold Exact"/>
    <w:basedOn w:val="Bodytext7"/>
    <w:rsid w:val="003B6D05"/>
    <w:rPr>
      <w:rFonts w:ascii="Tahoma" w:eastAsia="Tahoma" w:hAnsi="Tahoma" w:cs="Tahoma"/>
      <w:b/>
      <w:bCs/>
      <w:i w:val="0"/>
      <w:iCs w:val="0"/>
      <w:smallCaps w:val="0"/>
      <w:strike w:val="0"/>
      <w:color w:val="FFFFFF"/>
      <w:sz w:val="22"/>
      <w:szCs w:val="22"/>
      <w:u w:val="none"/>
      <w:shd w:val="clear" w:color="auto" w:fill="FFFFFF"/>
    </w:rPr>
  </w:style>
  <w:style w:type="character" w:customStyle="1" w:styleId="Bodytext713pt">
    <w:name w:val="Body text (7) + 13 pt"/>
    <w:aliases w:val="Not Bold Exact"/>
    <w:basedOn w:val="Bodytext7"/>
    <w:rsid w:val="003B6D05"/>
    <w:rPr>
      <w:rFonts w:ascii="Tahoma" w:eastAsia="Tahoma" w:hAnsi="Tahoma" w:cs="Tahoma"/>
      <w:b/>
      <w:bCs/>
      <w:i w:val="0"/>
      <w:iCs w:val="0"/>
      <w:smallCaps w:val="0"/>
      <w:strike w:val="0"/>
      <w:color w:val="FFFFFF"/>
      <w:sz w:val="26"/>
      <w:szCs w:val="26"/>
      <w:u w:val="none"/>
      <w:shd w:val="clear" w:color="auto" w:fill="FFFFFF"/>
    </w:rPr>
  </w:style>
  <w:style w:type="paragraph" w:customStyle="1" w:styleId="a16">
    <w:name w:val="טקסט רץ"/>
    <w:basedOn w:val="100"/>
    <w:link w:val="Char6"/>
    <w:qFormat/>
    <w:rsid w:val="00D17911"/>
    <w:pPr>
      <w:spacing w:after="180" w:line="260" w:lineRule="exact"/>
    </w:pPr>
    <w:rPr>
      <w:color w:val="0D0D0D"/>
      <w:szCs w:val="18"/>
    </w:rPr>
  </w:style>
  <w:style w:type="character" w:customStyle="1" w:styleId="10Char">
    <w:name w:val="טקסט רץ 10 Char"/>
    <w:basedOn w:val="DefaultParagraphFont"/>
    <w:link w:val="100"/>
    <w:rsid w:val="00D17911"/>
    <w:rPr>
      <w:rFonts w:ascii="Tahoma" w:hAnsi="Tahoma" w:cs="Tahoma"/>
      <w:szCs w:val="20"/>
    </w:rPr>
  </w:style>
  <w:style w:type="character" w:customStyle="1" w:styleId="Char6">
    <w:name w:val="טקסט רץ Char"/>
    <w:basedOn w:val="10Char"/>
    <w:link w:val="a16"/>
    <w:rsid w:val="00D17911"/>
    <w:rPr>
      <w:rFonts w:ascii="Tahoma" w:hAnsi="Tahoma" w:cs="Tahoma"/>
      <w:color w:val="0D0D0D"/>
      <w:szCs w:val="18"/>
    </w:rPr>
  </w:style>
  <w:style w:type="paragraph" w:customStyle="1" w:styleId="22021">
    <w:name w:val="כותרת 2 תקציר 2021"/>
    <w:basedOn w:val="121"/>
    <w:link w:val="22021Char"/>
    <w:qFormat/>
    <w:rsid w:val="00E64141"/>
    <w:pPr>
      <w:spacing w:before="360" w:after="240" w:line="440" w:lineRule="exact"/>
      <w:jc w:val="left"/>
      <w:outlineLvl w:val="1"/>
    </w:pPr>
    <w:rPr>
      <w:b/>
      <w:bCs/>
      <w:color w:val="00305F"/>
      <w:sz w:val="34"/>
      <w:szCs w:val="34"/>
    </w:rPr>
  </w:style>
  <w:style w:type="character" w:customStyle="1" w:styleId="121Char">
    <w:name w:val="כותרת 1_21 Char"/>
    <w:basedOn w:val="DefaultParagraphFont"/>
    <w:link w:val="121"/>
    <w:rsid w:val="00454096"/>
    <w:rPr>
      <w:rFonts w:ascii="Tahoma" w:hAnsi="Tahoma" w:eastAsiaTheme="minorEastAsia" w:cs="Tahoma"/>
      <w:color w:val="2A2AA6"/>
      <w:sz w:val="42"/>
      <w:szCs w:val="42"/>
    </w:rPr>
  </w:style>
  <w:style w:type="character" w:customStyle="1" w:styleId="22021Char">
    <w:name w:val="כותרת 2 תקציר 2021 Char"/>
    <w:basedOn w:val="121Char"/>
    <w:link w:val="22021"/>
    <w:rsid w:val="00E64141"/>
    <w:rPr>
      <w:rFonts w:ascii="Tahoma" w:hAnsi="Tahoma" w:eastAsiaTheme="minorEastAsia" w:cs="Tahoma"/>
      <w:b/>
      <w:bCs/>
      <w:color w:val="00305F"/>
      <w:sz w:val="34"/>
      <w:szCs w:val="34"/>
    </w:rPr>
  </w:style>
  <w:style w:type="paragraph" w:customStyle="1" w:styleId="12021">
    <w:name w:val="כותרת 1   2021"/>
    <w:basedOn w:val="121"/>
    <w:link w:val="12021Char"/>
    <w:qFormat/>
    <w:rsid w:val="008D750B"/>
    <w:pPr>
      <w:spacing w:before="360" w:after="180" w:line="440" w:lineRule="exact"/>
    </w:pPr>
    <w:rPr>
      <w:b/>
      <w:bCs/>
      <w:color w:val="00305F"/>
      <w:sz w:val="34"/>
      <w:szCs w:val="34"/>
    </w:rPr>
  </w:style>
  <w:style w:type="paragraph" w:customStyle="1" w:styleId="2021">
    <w:name w:val="מספרים גדולים בטבלת תקציר 2021"/>
    <w:basedOn w:val="121"/>
    <w:link w:val="2021Char"/>
    <w:qFormat/>
    <w:rsid w:val="00C27BF6"/>
    <w:pPr>
      <w:spacing w:before="120" w:line="240" w:lineRule="auto"/>
      <w:jc w:val="left"/>
    </w:pPr>
    <w:rPr>
      <w:b/>
      <w:bCs/>
      <w:color w:val="0D0D0D" w:themeColor="text1" w:themeTint="F2"/>
      <w:sz w:val="36"/>
      <w:szCs w:val="36"/>
    </w:rPr>
  </w:style>
  <w:style w:type="character" w:customStyle="1" w:styleId="12021Char">
    <w:name w:val="כותרת 1   2021 Char"/>
    <w:basedOn w:val="121Char"/>
    <w:link w:val="12021"/>
    <w:rsid w:val="008D750B"/>
    <w:rPr>
      <w:rFonts w:ascii="Tahoma" w:hAnsi="Tahoma" w:eastAsiaTheme="minorEastAsia" w:cs="Tahoma"/>
      <w:b/>
      <w:bCs/>
      <w:color w:val="00305F"/>
      <w:sz w:val="34"/>
      <w:szCs w:val="34"/>
    </w:rPr>
  </w:style>
  <w:style w:type="paragraph" w:customStyle="1" w:styleId="20210">
    <w:name w:val="ערכים בלוח התקציר 2021"/>
    <w:basedOn w:val="121"/>
    <w:link w:val="2021Char0"/>
    <w:qFormat/>
    <w:rsid w:val="00C27BF6"/>
    <w:pPr>
      <w:spacing w:before="0" w:after="180" w:line="240" w:lineRule="auto"/>
      <w:jc w:val="left"/>
    </w:pPr>
    <w:rPr>
      <w:color w:val="0D0D0D" w:themeColor="text1" w:themeTint="F2"/>
      <w:w w:val="90"/>
      <w:sz w:val="18"/>
      <w:szCs w:val="18"/>
    </w:rPr>
  </w:style>
  <w:style w:type="character" w:customStyle="1" w:styleId="2021Char">
    <w:name w:val="מספרים גדולים בטבלת תקציר 2021 Char"/>
    <w:basedOn w:val="121Char"/>
    <w:link w:val="2021"/>
    <w:rsid w:val="00C27BF6"/>
    <w:rPr>
      <w:rFonts w:ascii="Tahoma" w:hAnsi="Tahoma" w:eastAsiaTheme="minorEastAsia" w:cs="Tahoma"/>
      <w:b/>
      <w:bCs/>
      <w:color w:val="0D0D0D" w:themeColor="text1" w:themeTint="F2"/>
      <w:sz w:val="36"/>
      <w:szCs w:val="36"/>
    </w:rPr>
  </w:style>
  <w:style w:type="paragraph" w:customStyle="1" w:styleId="732021">
    <w:name w:val="73א כיתוב בתוך טבלת תקציר 2021"/>
    <w:basedOn w:val="20210"/>
    <w:link w:val="7320210"/>
    <w:qFormat/>
    <w:rsid w:val="00662020"/>
    <w:pPr>
      <w:keepNext/>
      <w:spacing w:before="60" w:line="260" w:lineRule="exact"/>
    </w:pPr>
  </w:style>
  <w:style w:type="character" w:customStyle="1" w:styleId="2021Char0">
    <w:name w:val="ערכים בלוח התקציר 2021 Char"/>
    <w:basedOn w:val="121Char"/>
    <w:link w:val="20210"/>
    <w:rsid w:val="00C27BF6"/>
    <w:rPr>
      <w:rFonts w:ascii="Tahoma" w:hAnsi="Tahoma" w:eastAsiaTheme="minorEastAsia" w:cs="Tahoma"/>
      <w:color w:val="0D0D0D" w:themeColor="text1" w:themeTint="F2"/>
      <w:w w:val="90"/>
      <w:sz w:val="18"/>
      <w:szCs w:val="18"/>
    </w:rPr>
  </w:style>
  <w:style w:type="character" w:customStyle="1" w:styleId="7320210">
    <w:name w:val="73א כיתוב בתוך טבלת תקציר 2021 תו"/>
    <w:basedOn w:val="2021Char0"/>
    <w:link w:val="732021"/>
    <w:rsid w:val="00662020"/>
    <w:rPr>
      <w:rFonts w:ascii="Tahoma" w:hAnsi="Tahoma" w:eastAsiaTheme="minorEastAsia" w:cs="Tahoma"/>
      <w:color w:val="0D0D0D" w:themeColor="text1" w:themeTint="F2"/>
      <w:w w:val="90"/>
      <w:sz w:val="18"/>
      <w:szCs w:val="18"/>
    </w:rPr>
  </w:style>
  <w:style w:type="paragraph" w:customStyle="1" w:styleId="212">
    <w:name w:val="סיכום תקציר 21"/>
    <w:basedOn w:val="Normal"/>
    <w:link w:val="21Char"/>
    <w:qFormat/>
    <w:rsid w:val="00454096"/>
    <w:pPr>
      <w:spacing w:after="180" w:line="240" w:lineRule="atLeast"/>
      <w:jc w:val="left"/>
      <w:outlineLvl w:val="1"/>
    </w:pPr>
    <w:rPr>
      <w:rFonts w:ascii="Tahoma" w:hAnsi="Tahoma" w:eastAsiaTheme="minorEastAsia" w:cs="Tahoma"/>
      <w:b/>
      <w:bCs/>
      <w:color w:val="00305F"/>
      <w:sz w:val="34"/>
      <w:szCs w:val="32"/>
    </w:rPr>
  </w:style>
  <w:style w:type="paragraph" w:customStyle="1" w:styleId="213">
    <w:name w:val="עיקרי המלצות הביקורת 21"/>
    <w:basedOn w:val="Normal"/>
    <w:link w:val="21Char0"/>
    <w:qFormat/>
    <w:rsid w:val="00454096"/>
    <w:pPr>
      <w:spacing w:after="180" w:line="240" w:lineRule="atLeast"/>
      <w:jc w:val="left"/>
      <w:outlineLvl w:val="1"/>
    </w:pPr>
    <w:rPr>
      <w:rFonts w:ascii="Tahoma" w:hAnsi="Tahoma" w:eastAsiaTheme="minorEastAsia" w:cs="Tahoma"/>
      <w:b/>
      <w:bCs/>
      <w:color w:val="002E5F"/>
      <w:sz w:val="34"/>
      <w:szCs w:val="32"/>
    </w:rPr>
  </w:style>
  <w:style w:type="character" w:customStyle="1" w:styleId="21Char">
    <w:name w:val="סיכום תקציר 21 Char"/>
    <w:basedOn w:val="DefaultParagraphFont"/>
    <w:link w:val="212"/>
    <w:rsid w:val="00454096"/>
    <w:rPr>
      <w:rFonts w:ascii="Tahoma" w:hAnsi="Tahoma" w:eastAsiaTheme="minorEastAsia" w:cs="Tahoma"/>
      <w:b/>
      <w:bCs/>
      <w:color w:val="00305F"/>
      <w:sz w:val="34"/>
      <w:szCs w:val="32"/>
    </w:rPr>
  </w:style>
  <w:style w:type="paragraph" w:customStyle="1" w:styleId="214">
    <w:name w:val="פעולות הביקורת 21"/>
    <w:basedOn w:val="Normal"/>
    <w:link w:val="21Char1"/>
    <w:qFormat/>
    <w:rsid w:val="00454096"/>
    <w:pPr>
      <w:spacing w:after="180" w:line="240" w:lineRule="atLeast"/>
      <w:jc w:val="left"/>
      <w:outlineLvl w:val="1"/>
    </w:pPr>
    <w:rPr>
      <w:rFonts w:ascii="Tahoma" w:hAnsi="Tahoma" w:eastAsiaTheme="minorEastAsia" w:cs="Tahoma"/>
      <w:bCs/>
      <w:color w:val="00305F"/>
      <w:sz w:val="32"/>
      <w:szCs w:val="32"/>
    </w:rPr>
  </w:style>
  <w:style w:type="character" w:customStyle="1" w:styleId="21Char0">
    <w:name w:val="עיקרי המלצות הביקורת 21 Char"/>
    <w:basedOn w:val="DefaultParagraphFont"/>
    <w:link w:val="213"/>
    <w:rsid w:val="00454096"/>
    <w:rPr>
      <w:rFonts w:ascii="Tahoma" w:hAnsi="Tahoma" w:eastAsiaTheme="minorEastAsia" w:cs="Tahoma"/>
      <w:b/>
      <w:bCs/>
      <w:color w:val="002E5F"/>
      <w:sz w:val="34"/>
      <w:szCs w:val="32"/>
    </w:rPr>
  </w:style>
  <w:style w:type="character" w:customStyle="1" w:styleId="21Char1">
    <w:name w:val="פעולות הביקורת 21 Char"/>
    <w:basedOn w:val="DefaultParagraphFont"/>
    <w:link w:val="214"/>
    <w:rsid w:val="00454096"/>
    <w:rPr>
      <w:rFonts w:ascii="Tahoma" w:hAnsi="Tahoma" w:eastAsiaTheme="minorEastAsia" w:cs="Tahoma"/>
      <w:b w:val="0"/>
      <w:bCs/>
      <w:color w:val="00305F"/>
      <w:sz w:val="32"/>
      <w:szCs w:val="32"/>
    </w:rPr>
  </w:style>
  <w:style w:type="paragraph" w:customStyle="1" w:styleId="215">
    <w:name w:val="פעולות הביקורת21"/>
    <w:basedOn w:val="Normal"/>
    <w:link w:val="21Char2"/>
    <w:qFormat/>
    <w:rsid w:val="001F3363"/>
    <w:pPr>
      <w:spacing w:after="180" w:line="260" w:lineRule="exact"/>
      <w:ind w:left="-1"/>
    </w:pPr>
    <w:rPr>
      <w:rFonts w:ascii="Tahoma" w:hAnsi="Tahoma" w:cs="Tahoma"/>
      <w:sz w:val="18"/>
      <w:szCs w:val="18"/>
    </w:rPr>
  </w:style>
  <w:style w:type="paragraph" w:customStyle="1" w:styleId="20211">
    <w:name w:val="טקסט רץ 2021"/>
    <w:basedOn w:val="Normal"/>
    <w:rsid w:val="00454096"/>
    <w:pPr>
      <w:spacing w:after="180" w:line="240" w:lineRule="atLeast"/>
      <w:jc w:val="left"/>
      <w:outlineLvl w:val="1"/>
    </w:pPr>
    <w:rPr>
      <w:rFonts w:ascii="Tahoma" w:hAnsi="Tahoma" w:eastAsiaTheme="minorEastAsia" w:cs="Tahoma"/>
      <w:b/>
      <w:bCs/>
      <w:color w:val="00305F"/>
      <w:sz w:val="34"/>
      <w:szCs w:val="32"/>
    </w:rPr>
  </w:style>
  <w:style w:type="paragraph" w:customStyle="1" w:styleId="a17">
    <w:name w:val="לוחות/תרשימים/תמונות/אינפוגרפיקה/מפות"/>
    <w:basedOn w:val="Normal"/>
    <w:qFormat/>
    <w:rsid w:val="00A93F51"/>
    <w:pPr>
      <w:keepNext/>
      <w:spacing w:after="200"/>
      <w:jc w:val="center"/>
    </w:pPr>
    <w:rPr>
      <w:rFonts w:ascii="Tahoma" w:hAnsi="Tahoma" w:eastAsiaTheme="minorEastAsia" w:cs="Tahoma"/>
      <w:color w:val="1481AB" w:themeColor="accent1" w:themeShade="BF"/>
      <w:szCs w:val="20"/>
    </w:rPr>
  </w:style>
  <w:style w:type="paragraph" w:customStyle="1" w:styleId="7326">
    <w:name w:val="73א כותרת סיכום"/>
    <w:basedOn w:val="733155"/>
    <w:qFormat/>
    <w:rsid w:val="00662020"/>
    <w:rPr>
      <w:b w:val="0"/>
    </w:rPr>
  </w:style>
  <w:style w:type="paragraph" w:customStyle="1" w:styleId="7327">
    <w:name w:val="73א תמונת המצב העולה מן הביקורת"/>
    <w:basedOn w:val="214"/>
    <w:link w:val="7328"/>
    <w:qFormat/>
    <w:rsid w:val="006F49D3"/>
    <w:pPr>
      <w:keepNext/>
      <w:keepLines/>
      <w:pBdr>
        <w:top w:val="single" w:sz="12" w:space="5" w:color="auto"/>
      </w:pBdr>
      <w:spacing w:before="360" w:after="240"/>
      <w:outlineLvl w:val="9"/>
    </w:pPr>
    <w:rPr>
      <w:sz w:val="31"/>
      <w:szCs w:val="31"/>
    </w:rPr>
  </w:style>
  <w:style w:type="character" w:customStyle="1" w:styleId="7328">
    <w:name w:val="73א תמונת המצב העולה מן הביקורת תו"/>
    <w:basedOn w:val="21Char1"/>
    <w:link w:val="7327"/>
    <w:rsid w:val="006F49D3"/>
    <w:rPr>
      <w:rFonts w:ascii="Tahoma" w:hAnsi="Tahoma" w:eastAsiaTheme="minorEastAsia" w:cs="Tahoma"/>
      <w:b w:val="0"/>
      <w:bCs/>
      <w:color w:val="00305F"/>
      <w:sz w:val="31"/>
      <w:szCs w:val="31"/>
    </w:rPr>
  </w:style>
  <w:style w:type="paragraph" w:customStyle="1" w:styleId="7329">
    <w:name w:val="73א כותרת 2"/>
    <w:link w:val="73210"/>
    <w:qFormat/>
    <w:rsid w:val="00BB0517"/>
    <w:pPr>
      <w:keepNext/>
      <w:keepLines/>
      <w:bidi/>
      <w:spacing w:before="360" w:after="240" w:line="240" w:lineRule="atLeast"/>
      <w:jc w:val="left"/>
      <w:outlineLvl w:val="1"/>
    </w:pPr>
    <w:rPr>
      <w:rFonts w:ascii="Tahoma" w:hAnsi="Tahoma" w:cs="Tahoma"/>
      <w:b/>
      <w:bCs/>
      <w:color w:val="00305F"/>
      <w:sz w:val="34"/>
      <w:szCs w:val="34"/>
    </w:rPr>
  </w:style>
  <w:style w:type="character" w:customStyle="1" w:styleId="73210">
    <w:name w:val="73א כותרת 2 תו"/>
    <w:basedOn w:val="DefaultParagraphFont"/>
    <w:link w:val="7329"/>
    <w:rsid w:val="00BB0517"/>
    <w:rPr>
      <w:rFonts w:ascii="Tahoma" w:hAnsi="Tahoma" w:cs="Tahoma"/>
      <w:b/>
      <w:bCs/>
      <w:color w:val="00305F"/>
      <w:sz w:val="34"/>
      <w:szCs w:val="34"/>
    </w:rPr>
  </w:style>
  <w:style w:type="character" w:customStyle="1" w:styleId="7330">
    <w:name w:val="73א הערות שוליים תו"/>
    <w:basedOn w:val="FootnoteTextChar"/>
    <w:link w:val="733"/>
    <w:rsid w:val="00DE1F29"/>
    <w:rPr>
      <w:rFonts w:ascii="Tahoma" w:hAnsi="Tahoma" w:cs="Tahoma"/>
      <w:color w:val="0D0D0D" w:themeColor="text1" w:themeTint="F2"/>
      <w:sz w:val="14"/>
      <w:szCs w:val="14"/>
    </w:rPr>
  </w:style>
  <w:style w:type="paragraph" w:customStyle="1" w:styleId="7300">
    <w:name w:val="73א מקרא לתרשים תמונה לוח רווח אחרי 0"/>
    <w:basedOn w:val="738"/>
    <w:link w:val="7301"/>
    <w:qFormat/>
    <w:rsid w:val="00050995"/>
    <w:pPr>
      <w:spacing w:after="0"/>
    </w:pPr>
  </w:style>
  <w:style w:type="character" w:customStyle="1" w:styleId="7331">
    <w:name w:val="73א מקרא+הערות לתרשים/לוח/תמונה תו"/>
    <w:basedOn w:val="7330"/>
    <w:link w:val="738"/>
    <w:rsid w:val="00DE1F29"/>
    <w:rPr>
      <w:rFonts w:ascii="Tahoma" w:hAnsi="Tahoma" w:cs="Tahoma"/>
      <w:color w:val="0D0D0D" w:themeColor="text1" w:themeTint="F2"/>
      <w:sz w:val="16"/>
      <w:szCs w:val="16"/>
    </w:rPr>
  </w:style>
  <w:style w:type="character" w:customStyle="1" w:styleId="7301">
    <w:name w:val="73א מקרא לתרשים תמונה לוח רווח אחרי 0 תו"/>
    <w:basedOn w:val="7331"/>
    <w:link w:val="7300"/>
    <w:rsid w:val="00050995"/>
    <w:rPr>
      <w:rFonts w:ascii="Tahoma" w:hAnsi="Tahoma" w:cs="Tahoma"/>
      <w:color w:val="0D0D0D" w:themeColor="text1" w:themeTint="F2"/>
      <w:sz w:val="16"/>
      <w:szCs w:val="16"/>
    </w:rPr>
  </w:style>
  <w:style w:type="paragraph" w:customStyle="1" w:styleId="7390">
    <w:name w:val="73א בולד 9 בתוך שורה"/>
    <w:basedOn w:val="215"/>
    <w:link w:val="7391"/>
    <w:qFormat/>
    <w:rsid w:val="00FF6AD9"/>
    <w:pPr>
      <w:ind w:left="397"/>
    </w:pPr>
    <w:rPr>
      <w:bCs/>
      <w:noProof/>
      <w:color w:val="0D0D0D" w:themeColor="text1" w:themeTint="F2"/>
      <w:lang w:val="he-IL"/>
    </w:rPr>
  </w:style>
  <w:style w:type="character" w:customStyle="1" w:styleId="21Char2">
    <w:name w:val="פעולות הביקורת21 Char"/>
    <w:basedOn w:val="DefaultParagraphFont"/>
    <w:link w:val="215"/>
    <w:rsid w:val="001F3363"/>
    <w:rPr>
      <w:rFonts w:ascii="Tahoma" w:hAnsi="Tahoma" w:cs="Tahoma"/>
      <w:color w:val="0D0D0D" w:themeColor="text1" w:themeTint="F2"/>
      <w:sz w:val="18"/>
      <w:szCs w:val="18"/>
    </w:rPr>
  </w:style>
  <w:style w:type="character" w:customStyle="1" w:styleId="7391">
    <w:name w:val="73א בולד 9 בתוך שורה תו"/>
    <w:basedOn w:val="21Char2"/>
    <w:link w:val="7390"/>
    <w:rsid w:val="00FF6AD9"/>
    <w:rPr>
      <w:rFonts w:ascii="Tahoma" w:hAnsi="Tahoma" w:cs="Tahoma"/>
      <w:bCs/>
      <w:noProof/>
      <w:color w:val="0D0D0D" w:themeColor="text1" w:themeTint="F2"/>
      <w:sz w:val="18"/>
      <w:szCs w:val="18"/>
      <w:lang w:val="he-IL"/>
    </w:rPr>
  </w:style>
  <w:style w:type="paragraph" w:customStyle="1" w:styleId="30">
    <w:name w:val="שורת רווח לפני כותרת 3 בטקסט רץ"/>
    <w:basedOn w:val="Normal"/>
    <w:link w:val="3Char"/>
    <w:qFormat/>
    <w:rsid w:val="001F3363"/>
    <w:pPr>
      <w:spacing w:after="180" w:line="260" w:lineRule="exact"/>
      <w:outlineLvl w:val="2"/>
    </w:pPr>
    <w:rPr>
      <w:rFonts w:ascii="Tahoma" w:hAnsi="Tahoma" w:cs="Tahoma"/>
      <w:color w:val="0D0D0D" w:themeColor="text1" w:themeTint="F2"/>
      <w:sz w:val="18"/>
      <w:szCs w:val="18"/>
    </w:rPr>
  </w:style>
  <w:style w:type="character" w:customStyle="1" w:styleId="3Char">
    <w:name w:val="שורת רווח לפני כותרת 3 בטקסט רץ Char"/>
    <w:basedOn w:val="DefaultParagraphFont"/>
    <w:link w:val="30"/>
    <w:rsid w:val="001F3363"/>
    <w:rPr>
      <w:rFonts w:ascii="Tahoma" w:hAnsi="Tahoma" w:cs="Tahoma"/>
      <w:color w:val="0D0D0D" w:themeColor="text1" w:themeTint="F2"/>
      <w:sz w:val="18"/>
      <w:szCs w:val="18"/>
    </w:rPr>
  </w:style>
  <w:style w:type="paragraph" w:customStyle="1" w:styleId="73111">
    <w:name w:val="73א מרווח של 1 בטקס רץ"/>
    <w:basedOn w:val="Normal"/>
    <w:link w:val="73112"/>
    <w:qFormat/>
    <w:rsid w:val="001F3363"/>
    <w:pPr>
      <w:spacing w:after="180" w:line="260" w:lineRule="exact"/>
    </w:pPr>
    <w:rPr>
      <w:rFonts w:ascii="Tahoma" w:hAnsi="Tahoma" w:cs="Tahoma"/>
      <w:color w:val="0D0D0D" w:themeColor="text1" w:themeTint="F2"/>
      <w:spacing w:val="20"/>
      <w:sz w:val="18"/>
      <w:szCs w:val="18"/>
    </w:rPr>
  </w:style>
  <w:style w:type="character" w:customStyle="1" w:styleId="73112">
    <w:name w:val="73א מרווח של 1 בטקס רץ תו"/>
    <w:basedOn w:val="DefaultParagraphFont"/>
    <w:link w:val="73111"/>
    <w:rsid w:val="001F3363"/>
    <w:rPr>
      <w:rFonts w:ascii="Tahoma" w:hAnsi="Tahoma" w:cs="Tahoma"/>
      <w:color w:val="0D0D0D" w:themeColor="text1" w:themeTint="F2"/>
      <w:spacing w:val="20"/>
      <w:sz w:val="18"/>
      <w:szCs w:val="18"/>
    </w:rPr>
  </w:style>
  <w:style w:type="paragraph" w:customStyle="1" w:styleId="a18">
    <w:name w:val="כותרת לבנה בתוך תבנית אדומה בתקציר"/>
    <w:basedOn w:val="Normal"/>
    <w:link w:val="Char7"/>
    <w:qFormat/>
    <w:rsid w:val="009D41AC"/>
    <w:pPr>
      <w:spacing w:before="120" w:line="240" w:lineRule="atLeast"/>
      <w:ind w:left="170" w:right="113"/>
      <w:jc w:val="left"/>
    </w:pPr>
    <w:rPr>
      <w:rFonts w:ascii="Tahoma" w:hAnsi="Tahoma" w:cs="Tahoma"/>
      <w:b/>
      <w:bCs/>
      <w:color w:val="FFFFFF" w:themeColor="background1"/>
      <w:sz w:val="22"/>
      <w:szCs w:val="22"/>
    </w:rPr>
  </w:style>
  <w:style w:type="paragraph" w:customStyle="1" w:styleId="7332">
    <w:name w:val="73א כותרת לבנה בתוך תבנית אדומה בתקציר"/>
    <w:basedOn w:val="a18"/>
    <w:link w:val="7333"/>
    <w:qFormat/>
    <w:rsid w:val="00524400"/>
    <w:pPr>
      <w:keepNext/>
      <w:keepLines/>
      <w:spacing w:before="0"/>
    </w:pPr>
  </w:style>
  <w:style w:type="character" w:customStyle="1" w:styleId="Char7">
    <w:name w:val="כותרת לבנה בתוך תבנית אדומה בתקציר Char"/>
    <w:basedOn w:val="DefaultParagraphFont"/>
    <w:link w:val="a18"/>
    <w:rsid w:val="009D41AC"/>
    <w:rPr>
      <w:rFonts w:ascii="Tahoma" w:hAnsi="Tahoma" w:cs="Tahoma"/>
      <w:b/>
      <w:bCs/>
      <w:color w:val="FFFFFF" w:themeColor="background1"/>
      <w:sz w:val="22"/>
      <w:szCs w:val="22"/>
    </w:rPr>
  </w:style>
  <w:style w:type="character" w:customStyle="1" w:styleId="7333">
    <w:name w:val="73א כותרת לבנה בתוך תבנית אדומה בתקציר תו"/>
    <w:basedOn w:val="Char7"/>
    <w:link w:val="7332"/>
    <w:rsid w:val="00524400"/>
    <w:rPr>
      <w:rFonts w:ascii="Tahoma" w:hAnsi="Tahoma" w:cs="Tahoma"/>
      <w:b/>
      <w:bCs/>
      <w:color w:val="FFFFFF" w:themeColor="background1"/>
      <w:sz w:val="22"/>
      <w:szCs w:val="22"/>
    </w:rPr>
  </w:style>
  <w:style w:type="paragraph" w:customStyle="1" w:styleId="73113">
    <w:name w:val="73א רשימה ממספר 1"/>
    <w:qFormat/>
    <w:rsid w:val="00662020"/>
    <w:pPr>
      <w:pBdr>
        <w:top w:val="single" w:sz="18" w:space="4" w:color="CEEAF5"/>
        <w:left w:val="single" w:sz="18" w:space="11" w:color="CEEAF5"/>
        <w:bottom w:val="single" w:sz="18" w:space="6" w:color="CEEAF5"/>
        <w:right w:val="single" w:sz="18" w:space="11" w:color="CEEAF5"/>
      </w:pBdr>
      <w:shd w:val="solid" w:color="CEEAF5" w:fill="auto"/>
      <w:spacing w:after="120"/>
      <w:ind w:left="397" w:hanging="397"/>
    </w:pPr>
    <w:rPr>
      <w:rFonts w:ascii="Tahoma" w:hAnsi="Tahoma" w:cs="Tahoma"/>
      <w:color w:val="0D0D0D" w:themeColor="text1" w:themeTint="F2"/>
      <w:sz w:val="18"/>
      <w:szCs w:val="18"/>
    </w:rPr>
  </w:style>
  <w:style w:type="table" w:styleId="GridTable5DarkAccent1">
    <w:name w:val="Grid Table 5 Dark Accent 1"/>
    <w:basedOn w:val="TableNormal"/>
    <w:uiPriority w:val="50"/>
    <w:rsid w:val="00E425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1EEF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CADE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CADE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CADE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CADE4" w:themeFill="accent1"/>
      </w:tcPr>
    </w:tblStylePr>
    <w:tblStylePr w:type="band1Vert">
      <w:tblPr/>
      <w:tcPr>
        <w:shd w:val="clear" w:color="auto" w:fill="A4DDF4" w:themeFill="accent1" w:themeFillTint="66"/>
      </w:tcPr>
    </w:tblStylePr>
    <w:tblStylePr w:type="band1Horz">
      <w:tblPr/>
      <w:tcPr>
        <w:shd w:val="clear" w:color="auto" w:fill="A4DDF4" w:themeFill="accent1" w:themeFillTint="66"/>
      </w:tcPr>
    </w:tblStylePr>
  </w:style>
  <w:style w:type="paragraph" w:customStyle="1" w:styleId="7334">
    <w:name w:val="73א היפרלינק"/>
    <w:basedOn w:val="733"/>
    <w:link w:val="7335"/>
    <w:qFormat/>
    <w:rsid w:val="009578F0"/>
    <w:pPr>
      <w:bidi w:val="0"/>
    </w:pPr>
    <w:rPr>
      <w:color w:val="6090CC"/>
      <w:u w:val="single"/>
    </w:rPr>
  </w:style>
  <w:style w:type="character" w:customStyle="1" w:styleId="7335">
    <w:name w:val="73א היפרלינק תו"/>
    <w:basedOn w:val="7330"/>
    <w:link w:val="7334"/>
    <w:rsid w:val="009578F0"/>
    <w:rPr>
      <w:rFonts w:ascii="Tahoma" w:hAnsi="Tahoma" w:cs="Tahoma"/>
      <w:color w:val="6090CC"/>
      <w:sz w:val="14"/>
      <w:szCs w:val="14"/>
      <w:u w:val="single"/>
    </w:rPr>
  </w:style>
  <w:style w:type="paragraph" w:customStyle="1" w:styleId="7336">
    <w:name w:val="73א קוביה כחולה עם מספר מוזח"/>
    <w:basedOn w:val="735"/>
    <w:link w:val="7338"/>
    <w:qFormat/>
    <w:rsid w:val="00FF6AD9"/>
    <w:pPr>
      <w:pBdr>
        <w:top w:val="single" w:sz="18" w:space="4" w:color="CEEAF6"/>
        <w:left w:val="single" w:sz="18" w:space="11" w:color="CEEAF6"/>
        <w:bottom w:val="single" w:sz="18" w:space="6" w:color="CEEAF6"/>
        <w:right w:val="single" w:sz="18" w:space="11" w:color="CEEAF6"/>
      </w:pBdr>
      <w:shd w:val="clear" w:color="auto" w:fill="CEEAF6"/>
    </w:pPr>
  </w:style>
  <w:style w:type="character" w:customStyle="1" w:styleId="7337">
    <w:name w:val="73א הזחה ראשונה מספר תו"/>
    <w:basedOn w:val="ListParagraphChar"/>
    <w:link w:val="735"/>
    <w:rsid w:val="0091353C"/>
    <w:rPr>
      <w:rFonts w:ascii="Tahoma" w:hAnsi="Tahoma" w:cs="Tahoma"/>
      <w:color w:val="0D0D0D" w:themeColor="text1" w:themeTint="F2"/>
      <w:sz w:val="18"/>
      <w:szCs w:val="18"/>
    </w:rPr>
  </w:style>
  <w:style w:type="character" w:customStyle="1" w:styleId="7338">
    <w:name w:val="73א קוביה כחולה עם מספר מוזח תו"/>
    <w:basedOn w:val="7337"/>
    <w:link w:val="7336"/>
    <w:rsid w:val="00FF6AD9"/>
    <w:rPr>
      <w:rFonts w:ascii="Tahoma" w:hAnsi="Tahoma" w:cs="Tahoma"/>
      <w:color w:val="0D0D0D" w:themeColor="text1" w:themeTint="F2"/>
      <w:sz w:val="18"/>
      <w:szCs w:val="18"/>
      <w:shd w:val="clear" w:color="auto" w:fill="CEEAF6"/>
    </w:rPr>
  </w:style>
  <w:style w:type="paragraph" w:customStyle="1" w:styleId="7339">
    <w:name w:val="73א כותרת טקסט רץ מודגשת"/>
    <w:basedOn w:val="Normal"/>
    <w:link w:val="7340"/>
    <w:qFormat/>
    <w:rsid w:val="001F3363"/>
    <w:pPr>
      <w:spacing w:after="180" w:line="260" w:lineRule="exact"/>
    </w:pPr>
    <w:rPr>
      <w:rFonts w:ascii="Tahoma" w:hAnsi="Tahoma" w:cs="Tahoma"/>
      <w:b/>
      <w:bCs/>
      <w:color w:val="0D0D0D" w:themeColor="text1" w:themeTint="F2"/>
      <w:sz w:val="18"/>
      <w:szCs w:val="18"/>
    </w:rPr>
  </w:style>
  <w:style w:type="character" w:customStyle="1" w:styleId="7340">
    <w:name w:val="73א כותרת טקסט רץ מודגשת תו"/>
    <w:basedOn w:val="DefaultParagraphFont"/>
    <w:link w:val="7339"/>
    <w:rsid w:val="001F3363"/>
    <w:rPr>
      <w:rFonts w:ascii="Tahoma" w:hAnsi="Tahoma" w:cs="Tahoma"/>
      <w:b/>
      <w:bCs/>
      <w:color w:val="0D0D0D" w:themeColor="text1" w:themeTint="F2"/>
      <w:sz w:val="18"/>
      <w:szCs w:val="18"/>
    </w:rPr>
  </w:style>
  <w:style w:type="paragraph" w:customStyle="1" w:styleId="7370">
    <w:name w:val="73א כותרת 7 בתוך טקסט"/>
    <w:basedOn w:val="7392"/>
    <w:link w:val="7371"/>
    <w:qFormat/>
    <w:rsid w:val="0078358A"/>
    <w:rPr>
      <w:bCs/>
    </w:rPr>
  </w:style>
  <w:style w:type="character" w:customStyle="1" w:styleId="7371">
    <w:name w:val="73א כותרת 7 בתוך טקסט תו"/>
    <w:basedOn w:val="7337"/>
    <w:link w:val="7370"/>
    <w:rsid w:val="0078358A"/>
    <w:rPr>
      <w:rFonts w:ascii="Tahoma" w:hAnsi="Tahoma" w:cs="Tahoma"/>
      <w:bCs/>
      <w:color w:val="0D0D0D" w:themeColor="text1" w:themeTint="F2"/>
      <w:sz w:val="18"/>
      <w:szCs w:val="18"/>
    </w:rPr>
  </w:style>
  <w:style w:type="paragraph" w:customStyle="1" w:styleId="P110">
    <w:name w:val="P11"/>
    <w:basedOn w:val="Normal"/>
    <w:rsid w:val="00454096"/>
    <w:pPr>
      <w:widowControl w:val="0"/>
      <w:tabs>
        <w:tab w:val="left" w:pos="1021"/>
        <w:tab w:val="left" w:pos="1474"/>
        <w:tab w:val="left" w:pos="1928"/>
        <w:tab w:val="left" w:pos="2381"/>
        <w:tab w:val="left" w:pos="2835"/>
        <w:tab w:val="right" w:leader="dot" w:pos="6259"/>
      </w:tabs>
      <w:suppressAutoHyphens/>
      <w:autoSpaceDE w:val="0"/>
      <w:autoSpaceDN w:val="0"/>
      <w:spacing w:before="60" w:line="240" w:lineRule="auto"/>
      <w:ind w:left="2835" w:right="624"/>
    </w:pPr>
    <w:rPr>
      <w:rFonts w:eastAsia="Times New Roman" w:cs="Times New Roman"/>
      <w:noProof/>
      <w:szCs w:val="26"/>
      <w:lang w:eastAsia="he-IL"/>
    </w:rPr>
  </w:style>
  <w:style w:type="paragraph" w:customStyle="1" w:styleId="a19">
    <w:name w:val="מלל מוצלל"/>
    <w:basedOn w:val="Normal"/>
    <w:rsid w:val="00901D1D"/>
    <w:pPr>
      <w:pBdr>
        <w:top w:val="single" w:sz="4" w:space="8" w:color="FFFFFF"/>
        <w:left w:val="single" w:sz="4" w:space="12" w:color="FFFFFF"/>
        <w:bottom w:val="single" w:sz="4" w:space="8" w:color="FFFFFF"/>
        <w:right w:val="single" w:sz="4" w:space="12" w:color="FFFFFF"/>
      </w:pBdr>
      <w:shd w:val="pct10" w:color="auto" w:fill="FFFFFF"/>
      <w:spacing w:line="288" w:lineRule="auto"/>
      <w:ind w:left="305" w:right="284"/>
    </w:pPr>
    <w:rPr>
      <w:rFonts w:eastAsia="Times New Roman" w:cs="Times New Roman"/>
      <w:sz w:val="24"/>
      <w:lang w:eastAsia="he-IL"/>
    </w:rPr>
  </w:style>
  <w:style w:type="paragraph" w:styleId="HTMLPreformatted">
    <w:name w:val="HTML Preformatted"/>
    <w:basedOn w:val="Normal"/>
    <w:link w:val="HTMLPreformattedChar"/>
    <w:uiPriority w:val="99"/>
    <w:semiHidden/>
    <w:unhideWhenUsed/>
    <w:rsid w:val="00901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240" w:lineRule="auto"/>
      <w:jc w:val="left"/>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semiHidden/>
    <w:rsid w:val="00901D1D"/>
    <w:rPr>
      <w:rFonts w:ascii="Courier New" w:eastAsia="Times New Roman" w:hAnsi="Courier New" w:cs="Courier New"/>
      <w:szCs w:val="20"/>
    </w:rPr>
  </w:style>
  <w:style w:type="paragraph" w:customStyle="1" w:styleId="Default0">
    <w:name w:val="Default"/>
    <w:rsid w:val="00901D1D"/>
    <w:pPr>
      <w:autoSpaceDE w:val="0"/>
      <w:autoSpaceDN w:val="0"/>
      <w:adjustRightInd w:val="0"/>
      <w:spacing w:after="0" w:line="240" w:lineRule="auto"/>
      <w:jc w:val="left"/>
    </w:pPr>
    <w:rPr>
      <w:rFonts w:ascii="Gotham Narrow Light" w:hAnsi="Gotham Narrow Light" w:cs="Gotham Narrow Light"/>
      <w:color w:val="000000"/>
      <w:sz w:val="24"/>
    </w:rPr>
  </w:style>
  <w:style w:type="paragraph" w:customStyle="1" w:styleId="Pa14">
    <w:name w:val="Pa14"/>
    <w:basedOn w:val="Default0"/>
    <w:next w:val="Default0"/>
    <w:uiPriority w:val="99"/>
    <w:rsid w:val="00901D1D"/>
    <w:pPr>
      <w:spacing w:line="180" w:lineRule="atLeast"/>
    </w:pPr>
    <w:rPr>
      <w:rFonts w:cs="David"/>
      <w:color w:val="auto"/>
    </w:rPr>
  </w:style>
  <w:style w:type="table" w:styleId="GridTable5DarkAccent5">
    <w:name w:val="Grid Table 5 Dark Accent 5"/>
    <w:basedOn w:val="TableNormal"/>
    <w:uiPriority w:val="50"/>
    <w:rsid w:val="00901D1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EBD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E885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E885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E885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E8853" w:themeFill="accent5"/>
      </w:tcPr>
    </w:tblStylePr>
    <w:tblStylePr w:type="band1Vert">
      <w:tblPr/>
      <w:tcPr>
        <w:shd w:val="clear" w:color="auto" w:fill="A9D7B6" w:themeFill="accent5" w:themeFillTint="66"/>
      </w:tcPr>
    </w:tblStylePr>
    <w:tblStylePr w:type="band1Horz">
      <w:tblPr/>
      <w:tcPr>
        <w:shd w:val="clear" w:color="auto" w:fill="A9D7B6" w:themeFill="accent5" w:themeFillTint="66"/>
      </w:tcPr>
    </w:tblStylePr>
  </w:style>
  <w:style w:type="character" w:customStyle="1" w:styleId="a20">
    <w:name w:val="נבנצאל תו"/>
    <w:basedOn w:val="DefaultParagraphFont"/>
    <w:link w:val="a21"/>
    <w:uiPriority w:val="99"/>
    <w:locked/>
    <w:rsid w:val="00905FB1"/>
    <w:rPr>
      <w:szCs w:val="20"/>
    </w:rPr>
  </w:style>
  <w:style w:type="paragraph" w:customStyle="1" w:styleId="a21">
    <w:name w:val="נבנצאל"/>
    <w:basedOn w:val="Normal"/>
    <w:next w:val="Normal"/>
    <w:link w:val="a20"/>
    <w:uiPriority w:val="99"/>
    <w:rsid w:val="00905FB1"/>
    <w:pPr>
      <w:ind w:left="-567"/>
    </w:pPr>
    <w:rPr>
      <w:szCs w:val="20"/>
    </w:rPr>
  </w:style>
  <w:style w:type="paragraph" w:styleId="DocumentMap">
    <w:name w:val="Document Map"/>
    <w:basedOn w:val="Normal"/>
    <w:link w:val="DocumentMapChar"/>
    <w:uiPriority w:val="99"/>
    <w:semiHidden/>
    <w:unhideWhenUsed/>
    <w:rsid w:val="0030451F"/>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0451F"/>
    <w:rPr>
      <w:rFonts w:ascii="Tahoma" w:hAnsi="Tahoma" w:cs="Tahoma"/>
      <w:sz w:val="16"/>
      <w:szCs w:val="16"/>
    </w:rPr>
  </w:style>
  <w:style w:type="paragraph" w:customStyle="1" w:styleId="118">
    <w:name w:val="סגנון1"/>
    <w:basedOn w:val="Caption"/>
    <w:qFormat/>
    <w:rsid w:val="0030451F"/>
    <w:pPr>
      <w:jc w:val="center"/>
    </w:pPr>
    <w:rPr>
      <w:b/>
      <w:bCs/>
      <w:iCs w:val="0"/>
      <w:color w:val="000000" w:themeColor="text1"/>
      <w:sz w:val="24"/>
      <w:szCs w:val="24"/>
    </w:rPr>
  </w:style>
  <w:style w:type="paragraph" w:customStyle="1" w:styleId="23">
    <w:name w:val="סגנון2"/>
    <w:basedOn w:val="Caption"/>
    <w:autoRedefine/>
    <w:qFormat/>
    <w:rsid w:val="0030451F"/>
    <w:pPr>
      <w:jc w:val="center"/>
    </w:pPr>
    <w:rPr>
      <w:b/>
      <w:bCs/>
      <w:iCs w:val="0"/>
      <w:color w:val="000000" w:themeColor="text1"/>
      <w:sz w:val="24"/>
      <w:szCs w:val="24"/>
    </w:rPr>
  </w:style>
  <w:style w:type="paragraph" w:customStyle="1" w:styleId="32">
    <w:name w:val="סגנון3"/>
    <w:basedOn w:val="Caption"/>
    <w:autoRedefine/>
    <w:qFormat/>
    <w:rsid w:val="0030451F"/>
    <w:pPr>
      <w:jc w:val="center"/>
    </w:pPr>
    <w:rPr>
      <w:b/>
      <w:bCs/>
      <w:iCs w:val="0"/>
      <w:color w:val="000000" w:themeColor="text1"/>
      <w:sz w:val="24"/>
      <w:szCs w:val="24"/>
    </w:rPr>
  </w:style>
  <w:style w:type="paragraph" w:customStyle="1" w:styleId="40">
    <w:name w:val="סגנון4"/>
    <w:basedOn w:val="Caption"/>
    <w:autoRedefine/>
    <w:qFormat/>
    <w:rsid w:val="0030451F"/>
    <w:pPr>
      <w:jc w:val="center"/>
    </w:pPr>
    <w:rPr>
      <w:b/>
      <w:bCs/>
      <w:iCs w:val="0"/>
      <w:color w:val="000000" w:themeColor="text1"/>
      <w:sz w:val="24"/>
      <w:szCs w:val="24"/>
    </w:rPr>
  </w:style>
  <w:style w:type="paragraph" w:customStyle="1" w:styleId="a22">
    <w:name w:val="סגנון כיתוב + לא מודגש לא נטוי"/>
    <w:basedOn w:val="Caption"/>
    <w:rsid w:val="0030451F"/>
    <w:pPr>
      <w:spacing w:after="0"/>
    </w:pPr>
    <w:rPr>
      <w:i w:val="0"/>
      <w:color w:val="auto"/>
      <w:sz w:val="20"/>
      <w:szCs w:val="24"/>
    </w:rPr>
  </w:style>
  <w:style w:type="paragraph" w:customStyle="1" w:styleId="-8">
    <w:name w:val="רשויות מקומיות - כותרת 8 בתוך טקסט"/>
    <w:basedOn w:val="Normal"/>
    <w:link w:val="-8Char"/>
    <w:qFormat/>
    <w:rsid w:val="001F3363"/>
    <w:pPr>
      <w:spacing w:after="180" w:line="260" w:lineRule="exact"/>
    </w:pPr>
    <w:rPr>
      <w:rFonts w:ascii="Tahoma" w:hAnsi="Tahoma" w:cs="Tahoma"/>
      <w:color w:val="00305F"/>
      <w:spacing w:val="20"/>
      <w:sz w:val="18"/>
      <w:szCs w:val="18"/>
    </w:rPr>
  </w:style>
  <w:style w:type="character" w:customStyle="1" w:styleId="-8Char">
    <w:name w:val="רשויות מקומיות - כותרת 8 בתוך טקסט Char"/>
    <w:basedOn w:val="DefaultParagraphFont"/>
    <w:link w:val="-8"/>
    <w:rsid w:val="001F3363"/>
    <w:rPr>
      <w:rFonts w:ascii="Tahoma" w:hAnsi="Tahoma" w:cs="Tahoma"/>
      <w:color w:val="00305F"/>
      <w:spacing w:val="20"/>
      <w:sz w:val="18"/>
      <w:szCs w:val="18"/>
    </w:rPr>
  </w:style>
  <w:style w:type="paragraph" w:customStyle="1" w:styleId="7350">
    <w:name w:val="73א כותרת 5 בתוך טקסט מודגש"/>
    <w:basedOn w:val="Normal"/>
    <w:link w:val="7351"/>
    <w:qFormat/>
    <w:rsid w:val="001F3363"/>
    <w:pPr>
      <w:spacing w:after="180" w:line="260" w:lineRule="exact"/>
    </w:pPr>
    <w:rPr>
      <w:rFonts w:ascii="Tahoma" w:hAnsi="Tahoma" w:cs="Tahoma"/>
      <w:bCs/>
      <w:color w:val="00305F"/>
      <w:sz w:val="18"/>
      <w:szCs w:val="18"/>
    </w:rPr>
  </w:style>
  <w:style w:type="character" w:customStyle="1" w:styleId="7351">
    <w:name w:val="73א כותרת 5 בתוך טקסט מודגש תו"/>
    <w:basedOn w:val="DefaultParagraphFont"/>
    <w:link w:val="7350"/>
    <w:rsid w:val="001F3363"/>
    <w:rPr>
      <w:rFonts w:ascii="Tahoma" w:hAnsi="Tahoma" w:cs="Tahoma"/>
      <w:bCs/>
      <w:color w:val="00305F"/>
      <w:sz w:val="18"/>
      <w:szCs w:val="18"/>
    </w:rPr>
  </w:style>
  <w:style w:type="paragraph" w:customStyle="1" w:styleId="7381">
    <w:name w:val="73א כותרת 8 בתוך טקסט"/>
    <w:basedOn w:val="Normal"/>
    <w:link w:val="7382"/>
    <w:qFormat/>
    <w:rsid w:val="0078358A"/>
    <w:pPr>
      <w:spacing w:after="180" w:line="260" w:lineRule="exact"/>
    </w:pPr>
    <w:rPr>
      <w:rFonts w:ascii="Tahoma" w:hAnsi="Tahoma" w:cs="Tahoma"/>
      <w:color w:val="0D0D0D" w:themeColor="text1" w:themeTint="F2"/>
      <w:spacing w:val="20"/>
      <w:sz w:val="19"/>
      <w:szCs w:val="18"/>
    </w:rPr>
  </w:style>
  <w:style w:type="character" w:customStyle="1" w:styleId="7382">
    <w:name w:val="73א כותרת 8 בתוך טקסט תו"/>
    <w:basedOn w:val="DefaultParagraphFont"/>
    <w:link w:val="7381"/>
    <w:rsid w:val="0078358A"/>
    <w:rPr>
      <w:rFonts w:ascii="Tahoma" w:hAnsi="Tahoma" w:cs="Tahoma"/>
      <w:color w:val="0D0D0D" w:themeColor="text1" w:themeTint="F2"/>
      <w:spacing w:val="20"/>
      <w:sz w:val="19"/>
      <w:szCs w:val="18"/>
    </w:rPr>
  </w:style>
  <w:style w:type="paragraph" w:styleId="NormalWeb">
    <w:name w:val="Normal (Web)"/>
    <w:basedOn w:val="Normal"/>
    <w:uiPriority w:val="99"/>
    <w:unhideWhenUsed/>
    <w:rsid w:val="007A3AB1"/>
    <w:pPr>
      <w:bidi w:val="0"/>
      <w:spacing w:before="100" w:beforeAutospacing="1" w:after="100" w:afterAutospacing="1" w:line="240" w:lineRule="auto"/>
      <w:jc w:val="left"/>
    </w:pPr>
    <w:rPr>
      <w:rFonts w:eastAsia="Times New Roman" w:cs="Times New Roman"/>
      <w:color w:val="000000" w:themeColor="text1"/>
      <w:sz w:val="24"/>
      <w:szCs w:val="18"/>
    </w:rPr>
  </w:style>
  <w:style w:type="paragraph" w:customStyle="1" w:styleId="7341">
    <w:name w:val="73א מקרא+הערות לתרשים/לוח/תמונה כוכבית"/>
    <w:basedOn w:val="738"/>
    <w:qFormat/>
    <w:rsid w:val="002F430E"/>
    <w:pPr>
      <w:framePr w:wrap="around" w:vAnchor="text" w:hAnchor="text" w:y="1"/>
    </w:pPr>
  </w:style>
  <w:style w:type="paragraph" w:customStyle="1" w:styleId="a23">
    <w:name w:val="הערות לתרשימים"/>
    <w:basedOn w:val="738"/>
    <w:next w:val="733"/>
    <w:qFormat/>
    <w:rsid w:val="007A3AB1"/>
    <w:pPr>
      <w:framePr w:wrap="around" w:vAnchor="text" w:hAnchor="text" w:y="1"/>
      <w:spacing w:after="0"/>
    </w:pPr>
  </w:style>
  <w:style w:type="paragraph" w:customStyle="1" w:styleId="90">
    <w:name w:val="טקסט רץ 9 מודגש חדש"/>
    <w:basedOn w:val="Normal"/>
    <w:qFormat/>
    <w:rsid w:val="001F3363"/>
    <w:pPr>
      <w:spacing w:after="180" w:line="260" w:lineRule="exact"/>
    </w:pPr>
    <w:rPr>
      <w:rFonts w:ascii="Tahoma" w:hAnsi="Tahoma" w:cs="Tahoma"/>
      <w:b/>
      <w:bCs/>
      <w:color w:val="0D0D0D" w:themeColor="text1" w:themeTint="F2"/>
      <w:sz w:val="18"/>
      <w:szCs w:val="18"/>
    </w:rPr>
  </w:style>
  <w:style w:type="character" w:customStyle="1" w:styleId="7372">
    <w:name w:val="73א כותרת 7 הדגשת קטע בטקסט רץ תו"/>
    <w:basedOn w:val="DefaultParagraphFont"/>
    <w:link w:val="7373"/>
    <w:rsid w:val="001F3363"/>
    <w:rPr>
      <w:rFonts w:ascii="Tahoma" w:hAnsi="Tahoma" w:cs="Tahoma"/>
      <w:bCs/>
      <w:color w:val="0D0D0D" w:themeColor="text1" w:themeTint="F2"/>
      <w:sz w:val="18"/>
      <w:szCs w:val="18"/>
    </w:rPr>
  </w:style>
  <w:style w:type="paragraph" w:customStyle="1" w:styleId="7373">
    <w:name w:val="73א כותרת 7 הדגשת קטע בטקסט רץ"/>
    <w:basedOn w:val="7392"/>
    <w:link w:val="7372"/>
    <w:qFormat/>
    <w:rsid w:val="001F3363"/>
    <w:rPr>
      <w:bCs/>
    </w:rPr>
  </w:style>
  <w:style w:type="paragraph" w:customStyle="1" w:styleId="-0">
    <w:name w:val="מבקר המדינה - עמוד שער(לבן)"/>
    <w:basedOn w:val="Normal"/>
    <w:qFormat/>
    <w:rsid w:val="003570AC"/>
    <w:pPr>
      <w:ind w:left="2268"/>
    </w:pPr>
    <w:rPr>
      <w:rFonts w:ascii="Tahoma" w:hAnsi="Tahoma" w:cs="Tahoma"/>
      <w:sz w:val="18"/>
      <w:szCs w:val="18"/>
    </w:rPr>
  </w:style>
  <w:style w:type="paragraph" w:customStyle="1" w:styleId="-1">
    <w:name w:val="עמוד שער פנימי - שם החטיבה"/>
    <w:basedOn w:val="Normal"/>
    <w:qFormat/>
    <w:rsid w:val="003570AC"/>
    <w:pPr>
      <w:ind w:left="2268"/>
      <w:jc w:val="left"/>
    </w:pPr>
    <w:rPr>
      <w:rFonts w:ascii="Tahoma" w:hAnsi="Tahoma" w:eastAsiaTheme="minorEastAsia" w:cs="Tahoma"/>
      <w:color w:val="FFFFFF" w:themeColor="background1"/>
      <w:sz w:val="28"/>
      <w:szCs w:val="28"/>
    </w:rPr>
  </w:style>
  <w:style w:type="paragraph" w:customStyle="1" w:styleId="-2">
    <w:name w:val="עמוד שער פנימי - שם הכתבה"/>
    <w:basedOn w:val="Normal"/>
    <w:qFormat/>
    <w:rsid w:val="003570AC"/>
    <w:pPr>
      <w:spacing w:before="360" w:line="600" w:lineRule="exact"/>
      <w:ind w:left="2268"/>
      <w:jc w:val="left"/>
    </w:pPr>
    <w:rPr>
      <w:rFonts w:ascii="Tahoma" w:hAnsi="Tahoma" w:cs="Tahoma"/>
      <w:b/>
      <w:bCs/>
      <w:sz w:val="40"/>
      <w:szCs w:val="40"/>
    </w:rPr>
  </w:style>
  <w:style w:type="paragraph" w:customStyle="1" w:styleId="a24">
    <w:name w:val="מספרים גדולים בנתוני מפתח"/>
    <w:basedOn w:val="Normal"/>
    <w:qFormat/>
    <w:rsid w:val="002D4D38"/>
    <w:pPr>
      <w:spacing w:before="120" w:line="240" w:lineRule="auto"/>
      <w:jc w:val="center"/>
    </w:pPr>
    <w:rPr>
      <w:rFonts w:ascii="Tahoma" w:hAnsi="Tahoma" w:cs="Tahoma"/>
      <w:b/>
      <w:bCs/>
      <w:spacing w:val="-28"/>
      <w:sz w:val="36"/>
      <w:szCs w:val="36"/>
    </w:rPr>
  </w:style>
  <w:style w:type="paragraph" w:styleId="ListNumber3">
    <w:name w:val="List Number 3"/>
    <w:basedOn w:val="Normal"/>
    <w:unhideWhenUsed/>
    <w:rsid w:val="00920813"/>
    <w:pPr>
      <w:overflowPunct w:val="0"/>
      <w:autoSpaceDE w:val="0"/>
      <w:autoSpaceDN w:val="0"/>
      <w:adjustRightInd w:val="0"/>
      <w:spacing w:after="120" w:line="360" w:lineRule="auto"/>
      <w:ind w:left="849" w:hanging="283"/>
      <w:textAlignment w:val="baseline"/>
    </w:pPr>
    <w:rPr>
      <w:rFonts w:ascii="David" w:eastAsia="Times New Roman" w:hAnsi="David"/>
      <w:sz w:val="24"/>
    </w:rPr>
  </w:style>
  <w:style w:type="table" w:styleId="ListTable5DarkAccent1">
    <w:name w:val="List Table 5 Dark Accent 1"/>
    <w:basedOn w:val="TableNormal"/>
    <w:uiPriority w:val="50"/>
    <w:rsid w:val="00920813"/>
    <w:pPr>
      <w:spacing w:after="0" w:line="240" w:lineRule="auto"/>
    </w:pPr>
    <w:rPr>
      <w:color w:val="FFFFFF" w:themeColor="background1"/>
    </w:rPr>
    <w:tblPr>
      <w:tblStyleRowBandSize w:val="1"/>
      <w:tblStyleColBandSize w:val="1"/>
      <w:tblBorders>
        <w:top w:val="single" w:sz="24" w:space="0" w:color="1CADE4" w:themeColor="accent1"/>
        <w:left w:val="single" w:sz="24" w:space="0" w:color="1CADE4" w:themeColor="accent1"/>
        <w:bottom w:val="single" w:sz="24" w:space="0" w:color="1CADE4" w:themeColor="accent1"/>
        <w:right w:val="single" w:sz="24" w:space="0" w:color="1CADE4" w:themeColor="accent1"/>
      </w:tblBorders>
    </w:tblPr>
    <w:tcPr>
      <w:shd w:val="clear" w:color="auto" w:fill="1CADE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7ColorfulAccent4">
    <w:name w:val="List Table 7 Colorful Accent 4"/>
    <w:basedOn w:val="TableNormal"/>
    <w:uiPriority w:val="52"/>
    <w:rsid w:val="00920813"/>
    <w:pPr>
      <w:spacing w:after="0" w:line="240" w:lineRule="auto"/>
    </w:pPr>
    <w:rPr>
      <w:color w:val="318B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2BA9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2BA9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2BA9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2BA97" w:themeColor="accent4"/>
        </w:tcBorders>
        <w:shd w:val="clear" w:color="auto" w:fill="FFFFFF" w:themeFill="background1"/>
      </w:tcPr>
    </w:tblStylePr>
    <w:tblStylePr w:type="band1Vert">
      <w:tblPr/>
      <w:tcPr>
        <w:shd w:val="clear" w:color="auto" w:fill="D8F1EA" w:themeFill="accent4" w:themeFillTint="33"/>
      </w:tcPr>
    </w:tblStylePr>
    <w:tblStylePr w:type="band1Horz">
      <w:tblPr/>
      <w:tcPr>
        <w:shd w:val="clear" w:color="auto" w:fill="D8F1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7392">
    <w:name w:val="73א טקסט רץ 9"/>
    <w:basedOn w:val="a16"/>
    <w:link w:val="7393"/>
    <w:qFormat/>
    <w:rsid w:val="00222C5D"/>
    <w:rPr>
      <w:color w:val="0D0D0D" w:themeColor="text1" w:themeTint="F2"/>
      <w:sz w:val="18"/>
    </w:rPr>
  </w:style>
  <w:style w:type="character" w:customStyle="1" w:styleId="7393">
    <w:name w:val="73א טקסט רץ 9 תו"/>
    <w:basedOn w:val="Char6"/>
    <w:link w:val="7392"/>
    <w:rsid w:val="00222C5D"/>
    <w:rPr>
      <w:rFonts w:ascii="Tahoma" w:hAnsi="Tahoma" w:cs="Tahoma"/>
      <w:color w:val="0D0D0D" w:themeColor="text1" w:themeTint="F2"/>
      <w:sz w:val="18"/>
      <w:szCs w:val="18"/>
    </w:rPr>
  </w:style>
  <w:style w:type="character" w:styleId="SubtleReference">
    <w:name w:val="Subtle Reference"/>
    <w:basedOn w:val="DefaultParagraphFont"/>
    <w:uiPriority w:val="31"/>
    <w:rsid w:val="003B23BE"/>
    <w:rPr>
      <w:smallCaps/>
      <w:color w:val="5A5A5A" w:themeColor="text1" w:themeTint="A5"/>
    </w:rPr>
  </w:style>
  <w:style w:type="paragraph" w:customStyle="1" w:styleId="RESHET">
    <w:name w:val="RESHET"/>
    <w:basedOn w:val="Normal"/>
    <w:rsid w:val="001A4FC5"/>
    <w:pPr>
      <w:keepLines/>
      <w:pBdr>
        <w:top w:val="single" w:sz="12" w:space="4" w:color="CEEAF5"/>
        <w:left w:val="single" w:sz="12" w:space="11" w:color="CEEAF5"/>
        <w:bottom w:val="single" w:sz="12" w:space="6" w:color="CEEAF5"/>
        <w:right w:val="single" w:sz="12" w:space="11" w:color="CEEAF5"/>
      </w:pBdr>
      <w:shd w:val="solid" w:color="CEEAF5" w:fill="auto"/>
      <w:tabs>
        <w:tab w:val="left" w:pos="624"/>
      </w:tabs>
      <w:spacing w:after="120" w:line="240" w:lineRule="exact"/>
      <w:ind w:left="227" w:right="2495"/>
    </w:pPr>
    <w:rPr>
      <w:rFonts w:ascii="Tahoma" w:eastAsia="Times New Roman" w:hAnsi="Tahoma" w:cs="Tahoma"/>
      <w:sz w:val="17"/>
      <w:szCs w:val="18"/>
      <w:lang w:eastAsia="he-IL"/>
    </w:rPr>
  </w:style>
  <w:style w:type="paragraph" w:customStyle="1" w:styleId="tab-name">
    <w:name w:val="tab-name"/>
    <w:basedOn w:val="Normal"/>
    <w:qFormat/>
    <w:rsid w:val="001A4FC5"/>
    <w:pPr>
      <w:keepNext/>
      <w:spacing w:before="120" w:after="120" w:line="320" w:lineRule="exact"/>
      <w:ind w:right="2268"/>
      <w:jc w:val="left"/>
    </w:pPr>
    <w:rPr>
      <w:rFonts w:ascii="Tahoma" w:hAnsi="Tahoma" w:eastAsiaTheme="minorEastAsia" w:cs="Tahoma"/>
      <w:color w:val="1481AB" w:themeColor="accent1" w:themeShade="BF"/>
      <w:sz w:val="18"/>
      <w:szCs w:val="18"/>
    </w:rPr>
  </w:style>
  <w:style w:type="paragraph" w:customStyle="1" w:styleId="running-text">
    <w:name w:val="running-text"/>
    <w:qFormat/>
    <w:rsid w:val="001A4FC5"/>
    <w:pPr>
      <w:spacing w:after="120" w:line="240" w:lineRule="exact"/>
      <w:ind w:right="2268"/>
    </w:pPr>
    <w:rPr>
      <w:rFonts w:ascii="Tahoma" w:hAnsi="Tahoma" w:eastAsiaTheme="minorEastAsia" w:cs="Tahoma"/>
      <w:sz w:val="17"/>
      <w:szCs w:val="18"/>
    </w:rPr>
  </w:style>
  <w:style w:type="paragraph" w:customStyle="1" w:styleId="text-source">
    <w:name w:val="text-source"/>
    <w:basedOn w:val="Normal"/>
    <w:next w:val="Normal"/>
    <w:qFormat/>
    <w:rsid w:val="001A4FC5"/>
    <w:pPr>
      <w:shd w:val="clear" w:color="auto" w:fill="FFFFFF"/>
      <w:spacing w:before="120" w:after="240" w:line="200" w:lineRule="exact"/>
      <w:ind w:right="2268"/>
      <w:jc w:val="left"/>
    </w:pPr>
    <w:rPr>
      <w:rFonts w:ascii="Tahoma" w:eastAsia="Times New Roman" w:hAnsi="Tahoma" w:cs="Tahoma"/>
      <w:color w:val="222222"/>
      <w:sz w:val="14"/>
      <w:szCs w:val="14"/>
    </w:rPr>
  </w:style>
  <w:style w:type="character" w:customStyle="1" w:styleId="Heading20">
    <w:name w:val="Heading #2_"/>
    <w:basedOn w:val="DefaultParagraphFont"/>
    <w:link w:val="Heading21"/>
    <w:rsid w:val="001A4FC5"/>
    <w:rPr>
      <w:rFonts w:ascii="David" w:eastAsia="David" w:hAnsi="David"/>
      <w:b/>
      <w:bCs/>
      <w:szCs w:val="20"/>
      <w:shd w:val="clear" w:color="auto" w:fill="FFFFFF"/>
    </w:rPr>
  </w:style>
  <w:style w:type="character" w:customStyle="1" w:styleId="Heading2NotBold">
    <w:name w:val="Heading #2 + Not Bold"/>
    <w:basedOn w:val="Heading20"/>
    <w:rsid w:val="001A4FC5"/>
    <w:rPr>
      <w:rFonts w:ascii="David" w:eastAsia="David" w:hAnsi="David"/>
      <w:b/>
      <w:bCs/>
      <w:color w:val="000000"/>
      <w:spacing w:val="0"/>
      <w:w w:val="100"/>
      <w:position w:val="0"/>
      <w:szCs w:val="20"/>
      <w:shd w:val="clear" w:color="auto" w:fill="FFFFFF"/>
      <w:lang w:val="he-IL" w:eastAsia="he-IL" w:bidi="he-IL"/>
    </w:rPr>
  </w:style>
  <w:style w:type="paragraph" w:customStyle="1" w:styleId="Heading21">
    <w:name w:val="Heading #2"/>
    <w:basedOn w:val="Normal"/>
    <w:link w:val="Heading20"/>
    <w:rsid w:val="001A4FC5"/>
    <w:pPr>
      <w:widowControl w:val="0"/>
      <w:shd w:val="clear" w:color="auto" w:fill="FFFFFF"/>
      <w:spacing w:before="360" w:after="180" w:line="0" w:lineRule="atLeast"/>
      <w:jc w:val="left"/>
      <w:outlineLvl w:val="1"/>
    </w:pPr>
    <w:rPr>
      <w:rFonts w:ascii="David" w:eastAsia="David" w:hAnsi="David"/>
      <w:b/>
      <w:bCs/>
      <w:szCs w:val="20"/>
    </w:rPr>
  </w:style>
  <w:style w:type="paragraph" w:customStyle="1" w:styleId="6-">
    <w:name w:val="כותרת 6 -דוח קורונה"/>
    <w:basedOn w:val="Normal"/>
    <w:qFormat/>
    <w:rsid w:val="001F3363"/>
    <w:pPr>
      <w:keepNext/>
      <w:keepLines/>
      <w:spacing w:before="240" w:after="180" w:line="240" w:lineRule="atLeast"/>
      <w:jc w:val="left"/>
    </w:pPr>
    <w:rPr>
      <w:rFonts w:ascii="Tahoma" w:hAnsi="Tahoma" w:cs="Tahoma"/>
      <w:color w:val="00305F"/>
      <w:sz w:val="18"/>
      <w:szCs w:val="20"/>
    </w:rPr>
  </w:style>
  <w:style w:type="paragraph" w:styleId="TOC2">
    <w:name w:val="toc 2"/>
    <w:basedOn w:val="Normal"/>
    <w:next w:val="Normal"/>
    <w:autoRedefine/>
    <w:uiPriority w:val="39"/>
    <w:unhideWhenUsed/>
    <w:qFormat/>
    <w:rsid w:val="00C9003B"/>
    <w:pPr>
      <w:tabs>
        <w:tab w:val="right" w:leader="dot" w:pos="8211"/>
      </w:tabs>
      <w:spacing w:after="100"/>
      <w:ind w:left="200"/>
    </w:pPr>
  </w:style>
  <w:style w:type="paragraph" w:styleId="TOC3">
    <w:name w:val="toc 3"/>
    <w:basedOn w:val="Normal"/>
    <w:next w:val="Normal"/>
    <w:autoRedefine/>
    <w:uiPriority w:val="39"/>
    <w:unhideWhenUsed/>
    <w:qFormat/>
    <w:rsid w:val="00C9003B"/>
    <w:pPr>
      <w:spacing w:after="100"/>
      <w:ind w:left="400"/>
    </w:pPr>
  </w:style>
  <w:style w:type="paragraph" w:styleId="TOC1">
    <w:name w:val="toc 1"/>
    <w:basedOn w:val="Normal"/>
    <w:next w:val="Normal"/>
    <w:autoRedefine/>
    <w:uiPriority w:val="39"/>
    <w:unhideWhenUsed/>
    <w:qFormat/>
    <w:rsid w:val="00C9003B"/>
    <w:pPr>
      <w:spacing w:after="100" w:line="259" w:lineRule="auto"/>
      <w:jc w:val="left"/>
    </w:pPr>
    <w:rPr>
      <w:rFonts w:asciiTheme="minorHAnsi" w:eastAsiaTheme="minorEastAsia" w:hAnsiTheme="minorHAnsi" w:cs="Times New Roman"/>
      <w:sz w:val="22"/>
      <w:szCs w:val="22"/>
      <w:rtl/>
      <w:cs/>
    </w:rPr>
  </w:style>
  <w:style w:type="paragraph" w:styleId="TOC4">
    <w:name w:val="toc 4"/>
    <w:basedOn w:val="Normal"/>
    <w:next w:val="Normal"/>
    <w:autoRedefine/>
    <w:uiPriority w:val="39"/>
    <w:unhideWhenUsed/>
    <w:rsid w:val="00C9003B"/>
    <w:pPr>
      <w:spacing w:after="100"/>
      <w:ind w:left="600"/>
    </w:pPr>
  </w:style>
  <w:style w:type="paragraph" w:styleId="TOC6">
    <w:name w:val="toc 6"/>
    <w:basedOn w:val="Normal"/>
    <w:next w:val="Normal"/>
    <w:autoRedefine/>
    <w:uiPriority w:val="39"/>
    <w:unhideWhenUsed/>
    <w:rsid w:val="00C9003B"/>
    <w:pPr>
      <w:spacing w:after="100"/>
      <w:ind w:left="1000"/>
    </w:pPr>
  </w:style>
  <w:style w:type="paragraph" w:styleId="TOC5">
    <w:name w:val="toc 5"/>
    <w:basedOn w:val="Normal"/>
    <w:next w:val="Normal"/>
    <w:autoRedefine/>
    <w:uiPriority w:val="39"/>
    <w:unhideWhenUsed/>
    <w:rsid w:val="00C9003B"/>
    <w:pPr>
      <w:spacing w:after="100"/>
      <w:ind w:left="800"/>
    </w:pPr>
  </w:style>
  <w:style w:type="paragraph" w:customStyle="1" w:styleId="ruller41">
    <w:name w:val="ruller41"/>
    <w:basedOn w:val="Normal"/>
    <w:rsid w:val="00C9003B"/>
    <w:pPr>
      <w:bidi w:val="0"/>
      <w:spacing w:before="100" w:beforeAutospacing="1" w:after="100" w:afterAutospacing="1" w:line="240" w:lineRule="auto"/>
      <w:jc w:val="left"/>
    </w:pPr>
    <w:rPr>
      <w:rFonts w:eastAsia="Times New Roman" w:cs="Times New Roman"/>
      <w:sz w:val="24"/>
    </w:rPr>
  </w:style>
  <w:style w:type="character" w:customStyle="1" w:styleId="736100">
    <w:name w:val="73א כותרת 6_10 תו"/>
    <w:basedOn w:val="DefaultParagraphFont"/>
    <w:link w:val="73610"/>
    <w:rsid w:val="0078358A"/>
    <w:rPr>
      <w:rFonts w:ascii="Tahoma" w:hAnsi="Tahoma" w:cs="Tahoma"/>
      <w:b/>
      <w:bCs/>
      <w:color w:val="00305F"/>
      <w:szCs w:val="20"/>
    </w:rPr>
  </w:style>
  <w:style w:type="paragraph" w:customStyle="1" w:styleId="msonormal">
    <w:name w:val="msonormal"/>
    <w:basedOn w:val="Normal"/>
    <w:uiPriority w:val="99"/>
    <w:rsid w:val="007324C6"/>
    <w:pPr>
      <w:bidi w:val="0"/>
      <w:spacing w:before="100" w:beforeAutospacing="1" w:after="100" w:afterAutospacing="1" w:line="240" w:lineRule="auto"/>
      <w:jc w:val="left"/>
    </w:pPr>
    <w:rPr>
      <w:rFonts w:eastAsia="Times New Roman" w:cs="Times New Roman"/>
      <w:sz w:val="24"/>
    </w:rPr>
  </w:style>
  <w:style w:type="paragraph" w:styleId="TOC7">
    <w:name w:val="toc 7"/>
    <w:basedOn w:val="Normal"/>
    <w:next w:val="Normal"/>
    <w:autoRedefine/>
    <w:uiPriority w:val="39"/>
    <w:unhideWhenUsed/>
    <w:rsid w:val="007324C6"/>
    <w:pPr>
      <w:spacing w:after="100" w:line="259" w:lineRule="auto"/>
      <w:ind w:left="1320"/>
      <w:jc w:val="left"/>
    </w:pPr>
    <w:rPr>
      <w:rFonts w:asciiTheme="minorHAnsi" w:hAnsiTheme="minorHAnsi" w:cstheme="minorBidi"/>
      <w:sz w:val="22"/>
      <w:szCs w:val="22"/>
    </w:rPr>
  </w:style>
  <w:style w:type="paragraph" w:customStyle="1" w:styleId="ruller4">
    <w:name w:val="ruller4"/>
    <w:basedOn w:val="Normal"/>
    <w:rsid w:val="007324C6"/>
    <w:pPr>
      <w:bidi w:val="0"/>
      <w:spacing w:before="100" w:beforeAutospacing="1" w:after="100" w:afterAutospacing="1" w:line="240" w:lineRule="auto"/>
      <w:jc w:val="left"/>
    </w:pPr>
    <w:rPr>
      <w:rFonts w:eastAsia="Times New Roman" w:cs="Times New Roman"/>
      <w:sz w:val="24"/>
    </w:rPr>
  </w:style>
  <w:style w:type="table" w:styleId="GridTable1LightAccent5">
    <w:name w:val="Grid Table 1 Light Accent 5"/>
    <w:basedOn w:val="TableNormal"/>
    <w:uiPriority w:val="46"/>
    <w:rsid w:val="005D0F8C"/>
    <w:pPr>
      <w:bidi/>
      <w:spacing w:after="0" w:line="240" w:lineRule="auto"/>
      <w:ind w:left="720" w:hanging="720"/>
    </w:pPr>
    <w:tblPr>
      <w:tblStyleRowBandSize w:val="1"/>
      <w:tblStyleColBandSize w:val="1"/>
      <w:tblBorders>
        <w:top w:val="single" w:sz="4" w:space="0" w:color="A9D7B6" w:themeColor="accent5" w:themeTint="66"/>
        <w:left w:val="single" w:sz="4" w:space="0" w:color="A9D7B6" w:themeColor="accent5" w:themeTint="66"/>
        <w:bottom w:val="single" w:sz="4" w:space="0" w:color="A9D7B6" w:themeColor="accent5" w:themeTint="66"/>
        <w:right w:val="single" w:sz="4" w:space="0" w:color="A9D7B6" w:themeColor="accent5" w:themeTint="66"/>
        <w:insideH w:val="single" w:sz="4" w:space="0" w:color="A9D7B6" w:themeColor="accent5" w:themeTint="66"/>
        <w:insideV w:val="single" w:sz="4" w:space="0" w:color="A9D7B6" w:themeColor="accent5" w:themeTint="66"/>
      </w:tblBorders>
    </w:tblPr>
    <w:tblStylePr w:type="firstRow">
      <w:rPr>
        <w:b/>
        <w:bCs/>
      </w:rPr>
      <w:tblPr/>
      <w:tcPr>
        <w:tcBorders>
          <w:bottom w:val="single" w:sz="12" w:space="0" w:color="7EC492" w:themeColor="accent5" w:themeTint="99"/>
        </w:tcBorders>
      </w:tcPr>
    </w:tblStylePr>
    <w:tblStylePr w:type="lastRow">
      <w:rPr>
        <w:b/>
        <w:bCs/>
      </w:rPr>
      <w:tblPr/>
      <w:tcPr>
        <w:tcBorders>
          <w:top w:val="double" w:sz="2" w:space="0" w:color="7EC492" w:themeColor="accent5" w:themeTint="99"/>
        </w:tcBorders>
      </w:tcPr>
    </w:tblStylePr>
    <w:tblStylePr w:type="firstCol">
      <w:rPr>
        <w:b/>
        <w:bCs/>
      </w:rPr>
    </w:tblStylePr>
    <w:tblStylePr w:type="lastCol">
      <w:rPr>
        <w:b/>
        <w:bCs/>
      </w:rPr>
    </w:tblStylePr>
  </w:style>
  <w:style w:type="table" w:styleId="GridTable6ColorfulAccent5">
    <w:name w:val="Grid Table 6 Colorful Accent 5"/>
    <w:basedOn w:val="TableNormal"/>
    <w:uiPriority w:val="51"/>
    <w:rsid w:val="005D0F8C"/>
    <w:pPr>
      <w:bidi/>
      <w:spacing w:after="0" w:line="240" w:lineRule="auto"/>
      <w:ind w:left="720" w:hanging="720"/>
    </w:pPr>
    <w:rPr>
      <w:color w:val="2E653E" w:themeColor="accent5" w:themeShade="BF"/>
    </w:rPr>
    <w:tblPr>
      <w:tblStyleRowBandSize w:val="1"/>
      <w:tblStyleColBandSize w:val="1"/>
      <w:tblBorders>
        <w:top w:val="single" w:sz="4" w:space="0" w:color="7EC492" w:themeColor="accent5" w:themeTint="99"/>
        <w:left w:val="single" w:sz="4" w:space="0" w:color="7EC492" w:themeColor="accent5" w:themeTint="99"/>
        <w:bottom w:val="single" w:sz="4" w:space="0" w:color="7EC492" w:themeColor="accent5" w:themeTint="99"/>
        <w:right w:val="single" w:sz="4" w:space="0" w:color="7EC492" w:themeColor="accent5" w:themeTint="99"/>
        <w:insideH w:val="single" w:sz="4" w:space="0" w:color="7EC492" w:themeColor="accent5" w:themeTint="99"/>
        <w:insideV w:val="single" w:sz="4" w:space="0" w:color="7EC492" w:themeColor="accent5" w:themeTint="99"/>
      </w:tblBorders>
    </w:tblPr>
    <w:tblStylePr w:type="firstRow">
      <w:rPr>
        <w:b/>
        <w:bCs/>
      </w:rPr>
      <w:tblPr/>
      <w:tcPr>
        <w:tcBorders>
          <w:bottom w:val="single" w:sz="12" w:space="0" w:color="7EC492" w:themeColor="accent5" w:themeTint="99"/>
        </w:tcBorders>
      </w:tcPr>
    </w:tblStylePr>
    <w:tblStylePr w:type="lastRow">
      <w:rPr>
        <w:b/>
        <w:bCs/>
      </w:rPr>
      <w:tblPr/>
      <w:tcPr>
        <w:tcBorders>
          <w:top w:val="double" w:sz="4" w:space="0" w:color="7EC492" w:themeColor="accent5" w:themeTint="99"/>
        </w:tcBorders>
      </w:tcPr>
    </w:tblStylePr>
    <w:tblStylePr w:type="firstCol">
      <w:rPr>
        <w:b/>
        <w:bCs/>
      </w:rPr>
    </w:tblStylePr>
    <w:tblStylePr w:type="lastCol">
      <w:rPr>
        <w:b/>
        <w:bCs/>
      </w:rPr>
    </w:tblStylePr>
    <w:tblStylePr w:type="band1Vert">
      <w:tblPr/>
      <w:tcPr>
        <w:shd w:val="clear" w:color="auto" w:fill="D3EBDA" w:themeFill="accent5" w:themeFillTint="33"/>
      </w:tcPr>
    </w:tblStylePr>
    <w:tblStylePr w:type="band1Horz">
      <w:tblPr/>
      <w:tcPr>
        <w:shd w:val="clear" w:color="auto" w:fill="D3EBDA" w:themeFill="accent5" w:themeFillTint="33"/>
      </w:tcPr>
    </w:tblStylePr>
  </w:style>
  <w:style w:type="table" w:styleId="GridTable4Accent5">
    <w:name w:val="Grid Table 4 Accent 5"/>
    <w:basedOn w:val="TableNormal"/>
    <w:uiPriority w:val="49"/>
    <w:rsid w:val="005D0F8C"/>
    <w:pPr>
      <w:bidi/>
      <w:spacing w:after="0" w:line="240" w:lineRule="auto"/>
      <w:ind w:left="720" w:hanging="720"/>
    </w:pPr>
    <w:tblPr>
      <w:tblStyleRowBandSize w:val="1"/>
      <w:tblStyleColBandSize w:val="1"/>
      <w:tblBorders>
        <w:top w:val="single" w:sz="4" w:space="0" w:color="7EC492" w:themeColor="accent5" w:themeTint="99"/>
        <w:left w:val="single" w:sz="4" w:space="0" w:color="7EC492" w:themeColor="accent5" w:themeTint="99"/>
        <w:bottom w:val="single" w:sz="4" w:space="0" w:color="7EC492" w:themeColor="accent5" w:themeTint="99"/>
        <w:right w:val="single" w:sz="4" w:space="0" w:color="7EC492" w:themeColor="accent5" w:themeTint="99"/>
        <w:insideH w:val="single" w:sz="4" w:space="0" w:color="7EC492" w:themeColor="accent5" w:themeTint="99"/>
        <w:insideV w:val="single" w:sz="4" w:space="0" w:color="7EC492" w:themeColor="accent5" w:themeTint="99"/>
      </w:tblBorders>
    </w:tblPr>
    <w:tblStylePr w:type="firstRow">
      <w:rPr>
        <w:b/>
        <w:bCs/>
        <w:color w:val="FFFFFF" w:themeColor="background1"/>
      </w:rPr>
      <w:tblPr/>
      <w:tcPr>
        <w:tcBorders>
          <w:top w:val="single" w:sz="4" w:space="0" w:color="3E8853" w:themeColor="accent5"/>
          <w:left w:val="single" w:sz="4" w:space="0" w:color="3E8853" w:themeColor="accent5"/>
          <w:bottom w:val="single" w:sz="4" w:space="0" w:color="3E8853" w:themeColor="accent5"/>
          <w:right w:val="single" w:sz="4" w:space="0" w:color="3E8853" w:themeColor="accent5"/>
          <w:insideH w:val="nil"/>
          <w:insideV w:val="nil"/>
        </w:tcBorders>
        <w:shd w:val="clear" w:color="auto" w:fill="3E8853" w:themeFill="accent5"/>
      </w:tcPr>
    </w:tblStylePr>
    <w:tblStylePr w:type="lastRow">
      <w:rPr>
        <w:b/>
        <w:bCs/>
      </w:rPr>
      <w:tblPr/>
      <w:tcPr>
        <w:tcBorders>
          <w:top w:val="double" w:sz="4" w:space="0" w:color="3E8853" w:themeColor="accent5"/>
        </w:tcBorders>
      </w:tcPr>
    </w:tblStylePr>
    <w:tblStylePr w:type="firstCol">
      <w:rPr>
        <w:b/>
        <w:bCs/>
      </w:rPr>
    </w:tblStylePr>
    <w:tblStylePr w:type="lastCol">
      <w:rPr>
        <w:b/>
        <w:bCs/>
      </w:rPr>
    </w:tblStylePr>
    <w:tblStylePr w:type="band1Vert">
      <w:tblPr/>
      <w:tcPr>
        <w:shd w:val="clear" w:color="auto" w:fill="D3EBDA" w:themeFill="accent5" w:themeFillTint="33"/>
      </w:tcPr>
    </w:tblStylePr>
    <w:tblStylePr w:type="band1Horz">
      <w:tblPr/>
      <w:tcPr>
        <w:shd w:val="clear" w:color="auto" w:fill="D3EBDA" w:themeFill="accent5" w:themeFillTint="33"/>
      </w:tcPr>
    </w:tblStylePr>
  </w:style>
  <w:style w:type="paragraph" w:customStyle="1" w:styleId="50">
    <w:name w:val="סגנון5"/>
    <w:basedOn w:val="739"/>
    <w:qFormat/>
    <w:rsid w:val="005D0F8C"/>
    <w:pPr>
      <w:pBdr>
        <w:top w:val="single" w:sz="18" w:space="4" w:color="CFEBF6"/>
        <w:left w:val="single" w:sz="18" w:space="11" w:color="CFEBF6"/>
        <w:bottom w:val="single" w:sz="18" w:space="6" w:color="CFEBF6"/>
        <w:right w:val="single" w:sz="18" w:space="11" w:color="CFEBF6"/>
      </w:pBdr>
      <w:shd w:val="solid" w:color="DBE4FA" w:fill="auto"/>
    </w:pPr>
  </w:style>
  <w:style w:type="paragraph" w:customStyle="1" w:styleId="60">
    <w:name w:val="סגנון6"/>
    <w:basedOn w:val="7316"/>
    <w:qFormat/>
    <w:rsid w:val="005D0F8C"/>
    <w:pPr>
      <w:framePr w:wrap="around"/>
      <w:pBdr>
        <w:top w:val="single" w:sz="18" w:space="4" w:color="CFEBF6"/>
        <w:left w:val="single" w:sz="18" w:space="11" w:color="CFEBF6"/>
        <w:bottom w:val="single" w:sz="18" w:space="6" w:color="CFEBF6"/>
        <w:right w:val="single" w:sz="18" w:space="11" w:color="CFEBF6"/>
      </w:pBdr>
      <w:shd w:val="solid" w:color="DBE4FA" w:fill="auto"/>
      <w:spacing w:after="240"/>
      <w:ind w:left="1417"/>
    </w:pPr>
    <w:rPr>
      <w:rFonts w:eastAsiaTheme="minorHAnsi"/>
    </w:rPr>
  </w:style>
  <w:style w:type="table" w:customStyle="1" w:styleId="Table3">
    <w:name w:val="Table3"/>
    <w:basedOn w:val="TableNormal"/>
    <w:rsid w:val="00B91AD9"/>
    <w:pPr>
      <w:bidi/>
      <w:jc w:val="left"/>
    </w:pPr>
    <w:rPr>
      <w:rFonts w:ascii="Calibri" w:eastAsia="Calibri" w:hAnsi="Calibri" w:cs="Calibri"/>
      <w:sz w:val="22"/>
      <w:szCs w:val="22"/>
    </w:rPr>
    <w:tblPr>
      <w:tblStyleRowBandSize w:val="1"/>
      <w:tblStyleColBandSize w:val="1"/>
      <w:tblCellMar>
        <w:left w:w="115" w:type="dxa"/>
        <w:right w:w="115" w:type="dxa"/>
      </w:tblCellMar>
    </w:tblPr>
  </w:style>
  <w:style w:type="paragraph" w:styleId="TOC8">
    <w:name w:val="toc 8"/>
    <w:basedOn w:val="Normal"/>
    <w:next w:val="Normal"/>
    <w:autoRedefine/>
    <w:uiPriority w:val="39"/>
    <w:unhideWhenUsed/>
    <w:rsid w:val="00B91AD9"/>
    <w:pPr>
      <w:spacing w:after="100" w:line="259" w:lineRule="auto"/>
      <w:ind w:left="154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B91AD9"/>
    <w:pPr>
      <w:spacing w:after="100" w:line="259" w:lineRule="auto"/>
      <w:ind w:left="1760"/>
      <w:jc w:val="left"/>
    </w:pPr>
    <w:rPr>
      <w:rFonts w:asciiTheme="minorHAnsi" w:eastAsiaTheme="minorEastAsia" w:hAnsiTheme="minorHAnsi" w:cstheme="minorBidi"/>
      <w:sz w:val="22"/>
      <w:szCs w:val="22"/>
    </w:rPr>
  </w:style>
  <w:style w:type="character" w:styleId="PageNumber">
    <w:name w:val="page number"/>
    <w:basedOn w:val="DefaultParagraphFont"/>
    <w:uiPriority w:val="99"/>
    <w:semiHidden/>
    <w:unhideWhenUsed/>
    <w:rsid w:val="005B2BF5"/>
  </w:style>
  <w:style w:type="table" w:customStyle="1" w:styleId="119">
    <w:name w:val="טבלת רשת1"/>
    <w:basedOn w:val="TableNormal"/>
    <w:next w:val="TableGrid"/>
    <w:uiPriority w:val="59"/>
    <w:rsid w:val="005B2BF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iPriority w:val="99"/>
    <w:semiHidden/>
    <w:unhideWhenUsed/>
    <w:rsid w:val="005B2BF5"/>
    <w:pPr>
      <w:tabs>
        <w:tab w:val="num" w:pos="360"/>
      </w:tabs>
      <w:spacing w:line="360" w:lineRule="auto"/>
      <w:ind w:left="360" w:hanging="360"/>
      <w:contextualSpacing/>
    </w:pPr>
    <w:rPr>
      <w:sz w:val="24"/>
    </w:rPr>
  </w:style>
  <w:style w:type="character" w:customStyle="1" w:styleId="Bodytext2105pt">
    <w:name w:val="Body text (2) + 10.5 pt"/>
    <w:basedOn w:val="DefaultParagraphFont"/>
    <w:rsid w:val="005B2BF5"/>
    <w:rPr>
      <w:rFonts w:ascii="David" w:eastAsia="David" w:hAnsi="David" w:cs="David"/>
      <w:b w:val="0"/>
      <w:bCs w:val="0"/>
      <w:i w:val="0"/>
      <w:iCs w:val="0"/>
      <w:smallCaps w:val="0"/>
      <w:strike w:val="0"/>
      <w:color w:val="000000"/>
      <w:spacing w:val="0"/>
      <w:w w:val="100"/>
      <w:position w:val="0"/>
      <w:sz w:val="21"/>
      <w:szCs w:val="21"/>
      <w:u w:val="none"/>
      <w:lang w:val="he-IL" w:eastAsia="he-IL" w:bidi="he-IL"/>
    </w:rPr>
  </w:style>
  <w:style w:type="character" w:customStyle="1" w:styleId="Bodytext6Bold">
    <w:name w:val="Body text (6) + Bold"/>
    <w:basedOn w:val="Bodytext6"/>
    <w:rsid w:val="005B2BF5"/>
    <w:rPr>
      <w:rFonts w:ascii="Lucida Sans Unicode" w:eastAsia="Lucida Sans Unicode" w:hAnsi="Lucida Sans Unicode" w:cs="Lucida Sans Unicode"/>
      <w:b/>
      <w:bCs/>
      <w:i w:val="0"/>
      <w:iCs w:val="0"/>
      <w:smallCaps w:val="0"/>
      <w:strike w:val="0"/>
      <w:color w:val="000000"/>
      <w:spacing w:val="0"/>
      <w:w w:val="100"/>
      <w:position w:val="0"/>
      <w:sz w:val="19"/>
      <w:szCs w:val="19"/>
      <w:u w:val="none"/>
      <w:shd w:val="clear" w:color="auto" w:fill="FFFFFF"/>
      <w:lang w:val="he-IL" w:eastAsia="he-IL" w:bidi="he-IL"/>
    </w:rPr>
  </w:style>
  <w:style w:type="character" w:customStyle="1" w:styleId="Bodytext69pt1">
    <w:name w:val="Body text (6) + 9 pt1"/>
    <w:basedOn w:val="Bodytext6"/>
    <w:rsid w:val="005B2BF5"/>
    <w:rPr>
      <w:rFonts w:ascii="Lucida Sans Unicode" w:eastAsia="Lucida Sans Unicode" w:hAnsi="Lucida Sans Unicode" w:cs="Lucida Sans Unicode"/>
      <w:b w:val="0"/>
      <w:bCs w:val="0"/>
      <w:i w:val="0"/>
      <w:iCs w:val="0"/>
      <w:smallCaps w:val="0"/>
      <w:strike w:val="0"/>
      <w:color w:val="000000"/>
      <w:spacing w:val="0"/>
      <w:w w:val="100"/>
      <w:position w:val="0"/>
      <w:sz w:val="18"/>
      <w:szCs w:val="18"/>
      <w:u w:val="none"/>
      <w:shd w:val="clear" w:color="auto" w:fill="FFFFFF"/>
      <w:lang w:val="he-IL" w:eastAsia="he-IL" w:bidi="he-IL"/>
    </w:rPr>
  </w:style>
  <w:style w:type="character" w:customStyle="1" w:styleId="Heading10">
    <w:name w:val="Heading #1_"/>
    <w:basedOn w:val="DefaultParagraphFont"/>
    <w:link w:val="Heading11"/>
    <w:rsid w:val="005B2BF5"/>
    <w:rPr>
      <w:rFonts w:ascii="David" w:eastAsia="David" w:hAnsi="David"/>
      <w:b/>
      <w:bCs/>
      <w:sz w:val="54"/>
      <w:szCs w:val="54"/>
      <w:shd w:val="clear" w:color="auto" w:fill="FFFFFF"/>
    </w:rPr>
  </w:style>
  <w:style w:type="character" w:customStyle="1" w:styleId="Heading1Italic">
    <w:name w:val="Heading #1 + Italic"/>
    <w:basedOn w:val="Heading10"/>
    <w:rsid w:val="005B2BF5"/>
    <w:rPr>
      <w:rFonts w:ascii="David" w:eastAsia="David" w:hAnsi="David"/>
      <w:b/>
      <w:bCs/>
      <w:i/>
      <w:iCs/>
      <w:color w:val="000000"/>
      <w:spacing w:val="0"/>
      <w:w w:val="100"/>
      <w:position w:val="0"/>
      <w:sz w:val="54"/>
      <w:szCs w:val="54"/>
      <w:shd w:val="clear" w:color="auto" w:fill="FFFFFF"/>
      <w:lang w:val="he-IL" w:eastAsia="he-IL" w:bidi="he-IL"/>
    </w:rPr>
  </w:style>
  <w:style w:type="paragraph" w:customStyle="1" w:styleId="Heading11">
    <w:name w:val="Heading #1"/>
    <w:basedOn w:val="Normal"/>
    <w:link w:val="Heading10"/>
    <w:rsid w:val="005B2BF5"/>
    <w:pPr>
      <w:widowControl w:val="0"/>
      <w:shd w:val="clear" w:color="auto" w:fill="FFFFFF"/>
      <w:spacing w:before="4260" w:after="360" w:line="0" w:lineRule="atLeast"/>
      <w:jc w:val="left"/>
      <w:outlineLvl w:val="0"/>
    </w:pPr>
    <w:rPr>
      <w:rFonts w:ascii="David" w:eastAsia="David" w:hAnsi="David"/>
      <w:b/>
      <w:bCs/>
      <w:sz w:val="54"/>
      <w:szCs w:val="54"/>
    </w:rPr>
  </w:style>
  <w:style w:type="character" w:customStyle="1" w:styleId="Bodytext28pt">
    <w:name w:val="Body text (2) + 8 pt"/>
    <w:basedOn w:val="Bodytext2"/>
    <w:rsid w:val="005B2BF5"/>
    <w:rPr>
      <w:rFonts w:ascii="Lucida Sans Unicode" w:eastAsia="Lucida Sans Unicode" w:hAnsi="Lucida Sans Unicode" w:cs="Lucida Sans Unicode"/>
      <w:color w:val="000000"/>
      <w:spacing w:val="0"/>
      <w:w w:val="100"/>
      <w:position w:val="0"/>
      <w:sz w:val="16"/>
      <w:szCs w:val="16"/>
      <w:shd w:val="clear" w:color="auto" w:fill="FFFFFF"/>
      <w:lang w:val="he-IL" w:eastAsia="he-IL" w:bidi="he-IL"/>
    </w:rPr>
  </w:style>
  <w:style w:type="paragraph" w:customStyle="1" w:styleId="Bodytext21">
    <w:name w:val="Body text (2)1"/>
    <w:basedOn w:val="Normal"/>
    <w:rsid w:val="005B2BF5"/>
    <w:pPr>
      <w:widowControl w:val="0"/>
      <w:shd w:val="clear" w:color="auto" w:fill="FFFFFF"/>
      <w:spacing w:line="371" w:lineRule="exact"/>
      <w:ind w:hanging="740"/>
    </w:pPr>
    <w:rPr>
      <w:rFonts w:ascii="David" w:eastAsia="David" w:hAnsi="David"/>
      <w:sz w:val="22"/>
      <w:szCs w:val="22"/>
    </w:rPr>
  </w:style>
  <w:style w:type="paragraph" w:customStyle="1" w:styleId="a25">
    <w:name w:val="כותרת ראשית לדוח"/>
    <w:qFormat/>
    <w:rsid w:val="000F5023"/>
    <w:pPr>
      <w:spacing w:before="360" w:line="600" w:lineRule="exact"/>
      <w:ind w:left="2268"/>
      <w:jc w:val="left"/>
    </w:pPr>
    <w:rPr>
      <w:rFonts w:ascii="Tahoma" w:hAnsi="Tahoma" w:cs="Tahoma"/>
      <w:b/>
      <w:bCs/>
      <w:sz w:val="44"/>
      <w:szCs w:val="44"/>
    </w:rPr>
  </w:style>
  <w:style w:type="paragraph" w:customStyle="1" w:styleId="a26">
    <w:name w:val="תאריך הדוח"/>
    <w:qFormat/>
    <w:rsid w:val="000F5023"/>
    <w:pPr>
      <w:ind w:left="2268"/>
      <w:jc w:val="left"/>
    </w:pPr>
    <w:rPr>
      <w:rFonts w:ascii="Tahoma" w:hAnsi="Tahoma" w:cs="Tahoma"/>
      <w:sz w:val="18"/>
      <w:szCs w:val="18"/>
    </w:rPr>
  </w:style>
  <w:style w:type="paragraph" w:customStyle="1" w:styleId="70">
    <w:name w:val="סגנון7"/>
    <w:basedOn w:val="7336"/>
    <w:qFormat/>
    <w:rsid w:val="00F1103C"/>
    <w:pPr>
      <w:numPr>
        <w:numId w:val="9"/>
      </w:numPr>
      <w:ind w:left="850" w:right="284" w:hanging="425"/>
    </w:pPr>
    <w:rPr>
      <w:noProof/>
      <w:lang w:val="he-IL"/>
    </w:rPr>
  </w:style>
  <w:style w:type="paragraph" w:customStyle="1" w:styleId="710">
    <w:name w:val="71ג קוביה כחולה עם מספרים מוזחים"/>
    <w:basedOn w:val="Normal"/>
    <w:qFormat/>
    <w:rsid w:val="00524400"/>
    <w:pPr>
      <w:pBdr>
        <w:top w:val="single" w:sz="4" w:space="4" w:color="CEEAF5"/>
        <w:left w:val="single" w:sz="4" w:space="11" w:color="CEEAF5"/>
        <w:bottom w:val="single" w:sz="4" w:space="6" w:color="CEEAF5"/>
        <w:right w:val="single" w:sz="4" w:space="11" w:color="CEEAF5"/>
      </w:pBdr>
      <w:shd w:val="clear" w:color="auto" w:fill="CEEAF5"/>
      <w:spacing w:after="180" w:line="260" w:lineRule="exact"/>
      <w:ind w:left="709" w:right="227" w:hanging="454"/>
    </w:pPr>
    <w:rPr>
      <w:rFonts w:ascii="Tahoma" w:hAnsi="Tahoma" w:cs="Tahoma"/>
      <w:color w:val="0D0D0D" w:themeColor="text1" w:themeTint="F2"/>
      <w:sz w:val="18"/>
      <w:szCs w:val="18"/>
    </w:rPr>
  </w:style>
  <w:style w:type="paragraph" w:customStyle="1" w:styleId="711">
    <w:name w:val="71ג הערות שוליים"/>
    <w:basedOn w:val="FootnoteText"/>
    <w:link w:val="71Char"/>
    <w:qFormat/>
    <w:rsid w:val="002507E8"/>
    <w:pPr>
      <w:keepNext/>
      <w:keepLines/>
      <w:spacing w:after="60" w:line="220" w:lineRule="exact"/>
      <w:ind w:left="397" w:hanging="397"/>
    </w:pPr>
    <w:rPr>
      <w:rFonts w:ascii="Tahoma" w:hAnsi="Tahoma" w:cs="Tahoma"/>
      <w:color w:val="0D0D0D" w:themeColor="text1" w:themeTint="F2"/>
      <w:sz w:val="14"/>
      <w:szCs w:val="14"/>
    </w:rPr>
  </w:style>
  <w:style w:type="character" w:customStyle="1" w:styleId="71Char">
    <w:name w:val="71ג הערות שוליים Char"/>
    <w:basedOn w:val="FootnoteTextChar"/>
    <w:link w:val="711"/>
    <w:rsid w:val="002507E8"/>
    <w:rPr>
      <w:rFonts w:ascii="Tahoma" w:hAnsi="Tahoma" w:cs="Tahoma"/>
      <w:color w:val="0D0D0D" w:themeColor="text1" w:themeTint="F2"/>
      <w:sz w:val="14"/>
      <w:szCs w:val="14"/>
    </w:rPr>
  </w:style>
  <w:style w:type="paragraph" w:customStyle="1" w:styleId="712">
    <w:name w:val="71ג הזחה מספר בסוגריים"/>
    <w:basedOn w:val="ListParagraph"/>
    <w:qFormat/>
    <w:rsid w:val="0091353C"/>
    <w:pPr>
      <w:spacing w:after="180" w:line="260" w:lineRule="exact"/>
      <w:ind w:left="1276" w:hanging="255"/>
      <w:contextualSpacing w:val="0"/>
    </w:pPr>
    <w:rPr>
      <w:rFonts w:ascii="Tahoma" w:hAnsi="Tahoma" w:cs="Tahoma"/>
      <w:sz w:val="18"/>
      <w:szCs w:val="18"/>
    </w:rPr>
  </w:style>
  <w:style w:type="paragraph" w:customStyle="1" w:styleId="7120">
    <w:name w:val="71ג אותות בתוך קוביה 2"/>
    <w:basedOn w:val="Normal"/>
    <w:qFormat/>
    <w:rsid w:val="008E566F"/>
    <w:pPr>
      <w:keepLines/>
      <w:pBdr>
        <w:top w:val="single" w:sz="18" w:space="4" w:color="CEEAF5"/>
        <w:left w:val="single" w:sz="18" w:space="11" w:color="CEEAF5"/>
        <w:bottom w:val="single" w:sz="18" w:space="6" w:color="CEEAF5"/>
        <w:right w:val="single" w:sz="18" w:space="11" w:color="CEEAF5"/>
      </w:pBdr>
      <w:shd w:val="solid" w:color="CEEAF5" w:fill="auto"/>
      <w:tabs>
        <w:tab w:val="left" w:pos="624"/>
      </w:tabs>
      <w:spacing w:after="180" w:line="260" w:lineRule="exact"/>
      <w:ind w:right="227"/>
    </w:pPr>
    <w:rPr>
      <w:rFonts w:ascii="Tahoma" w:eastAsia="Times New Roman" w:hAnsi="Tahoma" w:cs="Tahoma"/>
      <w:color w:val="0D0D0D" w:themeColor="text1" w:themeTint="F2"/>
      <w:sz w:val="18"/>
      <w:szCs w:val="18"/>
      <w:lang w:eastAsia="he-IL"/>
    </w:rPr>
  </w:style>
  <w:style w:type="paragraph" w:customStyle="1" w:styleId="73120">
    <w:name w:val="73 הביקורת הקודמת_12"/>
    <w:basedOn w:val="73512"/>
    <w:qFormat/>
    <w:rsid w:val="00943B48"/>
    <w:rPr>
      <w:rFonts w:eastAsia="Times New Roman"/>
      <w:b w:val="0"/>
      <w:color w:val="0073C2"/>
      <w:spacing w:val="20"/>
    </w:rPr>
  </w:style>
  <w:style w:type="paragraph" w:customStyle="1" w:styleId="101">
    <w:name w:val="הביקורת מעקב_10"/>
    <w:basedOn w:val="73610"/>
    <w:qFormat/>
    <w:rsid w:val="00943B48"/>
    <w:rPr>
      <w:color w:val="0073C2"/>
      <w:spacing w:val="20"/>
    </w:rPr>
  </w:style>
  <w:style w:type="paragraph" w:customStyle="1" w:styleId="80">
    <w:name w:val="סגנון8"/>
    <w:basedOn w:val="7327"/>
    <w:qFormat/>
    <w:rsid w:val="00AB2F78"/>
  </w:style>
  <w:style w:type="paragraph" w:customStyle="1" w:styleId="a27">
    <w:name w:val="טקסט לבן על מלבן אדום"/>
    <w:qFormat/>
    <w:rsid w:val="00AB2F78"/>
    <w:pPr>
      <w:keepNext/>
      <w:keepLines/>
      <w:spacing w:line="240" w:lineRule="auto"/>
      <w:ind w:right="113"/>
      <w:suppressOverlap/>
      <w:jc w:val="left"/>
    </w:pPr>
    <w:rPr>
      <w:rFonts w:ascii="Tahoma" w:hAnsi="Tahoma" w:cs="Tahoma"/>
      <w:b/>
      <w:bCs/>
      <w:color w:val="FFFFFF" w:themeColor="background1"/>
      <w:sz w:val="22"/>
      <w:szCs w:val="22"/>
    </w:rPr>
  </w:style>
  <w:style w:type="paragraph" w:customStyle="1" w:styleId="0-">
    <w:name w:val="0-מידת תיקון הליקוי"/>
    <w:basedOn w:val="Normal"/>
    <w:link w:val="0-0"/>
    <w:qFormat/>
    <w:rsid w:val="002D5684"/>
    <w:pPr>
      <w:keepNext/>
      <w:keepLines/>
      <w:spacing w:before="180" w:after="180" w:line="260" w:lineRule="exact"/>
      <w:jc w:val="center"/>
    </w:pPr>
    <w:rPr>
      <w:rFonts w:ascii="Tahoma" w:hAnsi="Tahoma" w:cs="Tahoma"/>
      <w:b/>
      <w:bCs/>
      <w:color w:val="0D0D0D" w:themeColor="text1" w:themeTint="F2"/>
      <w:sz w:val="18"/>
      <w:szCs w:val="18"/>
    </w:rPr>
  </w:style>
  <w:style w:type="character" w:customStyle="1" w:styleId="0-0">
    <w:name w:val="0-מידת תיקון הליקוי תו"/>
    <w:basedOn w:val="DefaultParagraphFont"/>
    <w:link w:val="0-"/>
    <w:rsid w:val="002D5684"/>
    <w:rPr>
      <w:rFonts w:ascii="Tahoma" w:hAnsi="Tahoma" w:cs="Tahoma"/>
      <w:b/>
      <w:bCs/>
      <w:color w:val="0D0D0D" w:themeColor="text1" w:themeTint="F2"/>
      <w:sz w:val="18"/>
      <w:szCs w:val="18"/>
    </w:rPr>
  </w:style>
  <w:style w:type="character" w:styleId="FootnoteReference1">
    <w:name w:val="footnote reference"/>
    <w:aliases w:val="Footnote Reference_0,Footnote Reference_0_0,Footnote Reference_0_0_0,Footnote Reference_0_0_0_0,Footnote Reference_1,Footnote Reference_2,Footnote Reference_3,Footnote Reference_3_0,Footnote Reference_4,Footnote text,fr,מ"/>
    <w:basedOn w:val="DefaultParagraphFont"/>
    <w:uiPriority w:val="99"/>
    <w:unhideWhenUsed/>
    <w:rsid w:val="002F03CB"/>
    <w:rPr>
      <w:vertAlign w:val="superscript"/>
    </w:rPr>
  </w:style>
  <w:style w:type="character" w:styleId="CommentReference">
    <w:name w:val="annotation reference"/>
    <w:basedOn w:val="DefaultParagraphFont"/>
    <w:uiPriority w:val="99"/>
    <w:semiHidden/>
    <w:unhideWhenUsed/>
    <w:rsid w:val="006734B0"/>
    <w:rPr>
      <w:sz w:val="16"/>
      <w:szCs w:val="16"/>
    </w:rPr>
  </w:style>
  <w:style w:type="character" w:customStyle="1" w:styleId="120">
    <w:name w:val="אזכור לא מזוהה1"/>
    <w:basedOn w:val="DefaultParagraphFont"/>
    <w:uiPriority w:val="99"/>
    <w:semiHidden/>
    <w:unhideWhenUsed/>
    <w:rsid w:val="006734B0"/>
    <w:rPr>
      <w:color w:val="605E5C"/>
      <w:shd w:val="clear" w:color="auto" w:fill="E1DFDD"/>
    </w:rPr>
  </w:style>
  <w:style w:type="character" w:customStyle="1" w:styleId="24">
    <w:name w:val="אזכור לא מזוהה2"/>
    <w:basedOn w:val="DefaultParagraphFont"/>
    <w:uiPriority w:val="99"/>
    <w:semiHidden/>
    <w:unhideWhenUsed/>
    <w:rsid w:val="006734B0"/>
    <w:rPr>
      <w:color w:val="605E5C"/>
      <w:shd w:val="clear" w:color="auto" w:fill="E1DFDD"/>
    </w:rPr>
  </w:style>
  <w:style w:type="paragraph" w:styleId="BodyText">
    <w:name w:val="Body Text"/>
    <w:basedOn w:val="Normal"/>
    <w:link w:val="BodyTextChar"/>
    <w:uiPriority w:val="99"/>
    <w:unhideWhenUsed/>
    <w:rsid w:val="006734B0"/>
    <w:pPr>
      <w:spacing w:after="120" w:line="259" w:lineRule="auto"/>
      <w:jc w:val="left"/>
    </w:pPr>
    <w:rPr>
      <w:rFonts w:asciiTheme="minorHAnsi" w:hAnsiTheme="minorHAnsi" w:cstheme="minorBidi"/>
      <w:sz w:val="22"/>
      <w:szCs w:val="22"/>
    </w:rPr>
  </w:style>
  <w:style w:type="character" w:customStyle="1" w:styleId="BodyTextChar">
    <w:name w:val="Body Text Char"/>
    <w:basedOn w:val="DefaultParagraphFont"/>
    <w:link w:val="BodyText"/>
    <w:uiPriority w:val="99"/>
    <w:rsid w:val="006734B0"/>
    <w:rPr>
      <w:rFonts w:asciiTheme="minorHAnsi" w:hAnsiTheme="minorHAnsi" w:cstheme="minorBidi"/>
      <w:sz w:val="22"/>
      <w:szCs w:val="22"/>
    </w:rPr>
  </w:style>
  <w:style w:type="character" w:customStyle="1" w:styleId="law-main">
    <w:name w:val="law-main"/>
    <w:basedOn w:val="DefaultParagraphFont"/>
    <w:rsid w:val="006734B0"/>
  </w:style>
  <w:style w:type="paragraph" w:customStyle="1" w:styleId="ruller43">
    <w:name w:val="ruller43"/>
    <w:basedOn w:val="Normal"/>
    <w:uiPriority w:val="99"/>
    <w:rsid w:val="006734B0"/>
    <w:pPr>
      <w:bidi w:val="0"/>
      <w:spacing w:before="100" w:beforeAutospacing="1" w:after="100" w:afterAutospacing="1" w:line="240" w:lineRule="auto"/>
      <w:jc w:val="left"/>
    </w:pPr>
    <w:rPr>
      <w:rFonts w:eastAsia="Times New Roman" w:cs="Times New Roman"/>
      <w:sz w:val="24"/>
    </w:rPr>
  </w:style>
  <w:style w:type="character" w:customStyle="1" w:styleId="33">
    <w:name w:val="אזכור לא מזוהה3"/>
    <w:basedOn w:val="DefaultParagraphFont"/>
    <w:uiPriority w:val="99"/>
    <w:semiHidden/>
    <w:unhideWhenUsed/>
    <w:rsid w:val="006734B0"/>
    <w:rPr>
      <w:color w:val="605E5C"/>
      <w:shd w:val="clear" w:color="auto" w:fill="E1DFDD"/>
    </w:rPr>
  </w:style>
  <w:style w:type="character" w:customStyle="1" w:styleId="300">
    <w:name w:val="אזכור לא מזוהה3_0"/>
    <w:basedOn w:val="DefaultParagraphFont"/>
    <w:uiPriority w:val="99"/>
    <w:semiHidden/>
    <w:unhideWhenUsed/>
    <w:rsid w:val="006734B0"/>
    <w:rPr>
      <w:color w:val="605E5C"/>
      <w:shd w:val="clear" w:color="auto" w:fill="E1DFDD"/>
    </w:rPr>
  </w:style>
  <w:style w:type="character" w:customStyle="1" w:styleId="42">
    <w:name w:val="אזכור לא מזוהה4"/>
    <w:basedOn w:val="DefaultParagraphFont"/>
    <w:uiPriority w:val="99"/>
    <w:semiHidden/>
    <w:unhideWhenUsed/>
    <w:rsid w:val="006734B0"/>
    <w:rPr>
      <w:color w:val="605E5C"/>
      <w:shd w:val="clear" w:color="auto" w:fill="E1DFDD"/>
    </w:rPr>
  </w:style>
  <w:style w:type="character" w:customStyle="1" w:styleId="313">
    <w:name w:val="אזכור לא מזוהה31"/>
    <w:basedOn w:val="DefaultParagraphFont"/>
    <w:uiPriority w:val="99"/>
    <w:semiHidden/>
    <w:unhideWhenUsed/>
    <w:rsid w:val="006734B0"/>
    <w:rPr>
      <w:color w:val="605E5C"/>
      <w:shd w:val="clear" w:color="auto" w:fill="E1DFDD"/>
    </w:rPr>
  </w:style>
  <w:style w:type="paragraph" w:customStyle="1" w:styleId="m7095406835137498715msolistparagraph">
    <w:name w:val="m_7095406835137498715msolistparagraph"/>
    <w:basedOn w:val="Normal"/>
    <w:rsid w:val="006734B0"/>
    <w:pPr>
      <w:bidi w:val="0"/>
      <w:spacing w:before="100" w:beforeAutospacing="1" w:after="100" w:afterAutospacing="1" w:line="240" w:lineRule="auto"/>
      <w:jc w:val="left"/>
    </w:pPr>
    <w:rPr>
      <w:rFonts w:ascii="Calibri" w:hAnsi="Calibri" w:cs="Calibri"/>
      <w:sz w:val="22"/>
      <w:szCs w:val="22"/>
    </w:rPr>
  </w:style>
  <w:style w:type="paragraph" w:customStyle="1" w:styleId="m-2587566098757404712msolistparagraph">
    <w:name w:val="m_-2587566098757404712msolistparagraph"/>
    <w:basedOn w:val="Normal"/>
    <w:rsid w:val="006734B0"/>
    <w:pPr>
      <w:bidi w:val="0"/>
      <w:spacing w:before="100" w:beforeAutospacing="1" w:after="100" w:afterAutospacing="1" w:line="240" w:lineRule="auto"/>
      <w:jc w:val="left"/>
    </w:pPr>
    <w:rPr>
      <w:rFonts w:cs="Times New Roman"/>
      <w:sz w:val="24"/>
    </w:rPr>
  </w:style>
  <w:style w:type="paragraph" w:customStyle="1" w:styleId="xmsonormal">
    <w:name w:val="x_msonormal"/>
    <w:basedOn w:val="Normal"/>
    <w:rsid w:val="006734B0"/>
    <w:pPr>
      <w:spacing w:line="240" w:lineRule="auto"/>
      <w:jc w:val="left"/>
    </w:pPr>
    <w:rPr>
      <w:rFonts w:ascii="Calibri" w:hAnsi="Calibri" w:cs="Calibri"/>
      <w:sz w:val="22"/>
      <w:szCs w:val="22"/>
    </w:rPr>
  </w:style>
  <w:style w:type="paragraph" w:customStyle="1" w:styleId="a28">
    <w:name w:val="פרק כללי כותרת"/>
    <w:basedOn w:val="Normal"/>
    <w:qFormat/>
    <w:rsid w:val="006734B0"/>
    <w:pPr>
      <w:numPr>
        <w:numId w:val="21"/>
      </w:numPr>
      <w:overflowPunct w:val="0"/>
      <w:autoSpaceDE w:val="0"/>
      <w:autoSpaceDN w:val="0"/>
      <w:adjustRightInd w:val="0"/>
      <w:spacing w:line="360" w:lineRule="auto"/>
      <w:contextualSpacing/>
      <w:jc w:val="left"/>
      <w:textAlignment w:val="baseline"/>
    </w:pPr>
    <w:rPr>
      <w:rFonts w:ascii="David" w:eastAsia="Times New Roman" w:hAnsi="David"/>
      <w:b/>
      <w:bCs/>
      <w:sz w:val="24"/>
    </w:rPr>
  </w:style>
  <w:style w:type="paragraph" w:customStyle="1" w:styleId="122">
    <w:name w:val="פרק כללי כניסה 1"/>
    <w:basedOn w:val="Normal"/>
    <w:qFormat/>
    <w:rsid w:val="006734B0"/>
    <w:pPr>
      <w:numPr>
        <w:ilvl w:val="1"/>
        <w:numId w:val="21"/>
      </w:numPr>
      <w:overflowPunct w:val="0"/>
      <w:autoSpaceDE w:val="0"/>
      <w:autoSpaceDN w:val="0"/>
      <w:adjustRightInd w:val="0"/>
      <w:spacing w:line="360" w:lineRule="auto"/>
      <w:contextualSpacing/>
      <w:textAlignment w:val="baseline"/>
    </w:pPr>
    <w:rPr>
      <w:rFonts w:ascii="David" w:eastAsia="Times New Roman" w:hAnsi="David"/>
      <w:sz w:val="24"/>
    </w:rPr>
  </w:style>
  <w:style w:type="paragraph" w:customStyle="1" w:styleId="25">
    <w:name w:val="פרק כללי כניסה 2"/>
    <w:basedOn w:val="Normal"/>
    <w:qFormat/>
    <w:rsid w:val="006734B0"/>
    <w:pPr>
      <w:numPr>
        <w:ilvl w:val="2"/>
        <w:numId w:val="21"/>
      </w:numPr>
      <w:overflowPunct w:val="0"/>
      <w:autoSpaceDE w:val="0"/>
      <w:autoSpaceDN w:val="0"/>
      <w:adjustRightInd w:val="0"/>
      <w:spacing w:line="360" w:lineRule="auto"/>
      <w:contextualSpacing/>
      <w:textAlignment w:val="baseline"/>
    </w:pPr>
    <w:rPr>
      <w:rFonts w:ascii="David" w:eastAsia="Times New Roman" w:hAnsi="David"/>
      <w:sz w:val="24"/>
    </w:rPr>
  </w:style>
  <w:style w:type="character" w:customStyle="1" w:styleId="ui-provider">
    <w:name w:val="ui-provider"/>
    <w:basedOn w:val="DefaultParagraphFont"/>
    <w:rsid w:val="006734B0"/>
  </w:style>
  <w:style w:type="character" w:customStyle="1" w:styleId="320">
    <w:name w:val="אזכור לא מזוהה32"/>
    <w:basedOn w:val="DefaultParagraphFont"/>
    <w:uiPriority w:val="99"/>
    <w:semiHidden/>
    <w:unhideWhenUsed/>
    <w:rsid w:val="006734B0"/>
    <w:rPr>
      <w:color w:val="605E5C"/>
      <w:shd w:val="clear" w:color="auto" w:fill="E1DFDD"/>
    </w:rPr>
  </w:style>
  <w:style w:type="paragraph" w:customStyle="1" w:styleId="719">
    <w:name w:val="71ג טקסט רץ 9"/>
    <w:basedOn w:val="a16"/>
    <w:link w:val="719Char"/>
    <w:qFormat/>
    <w:rsid w:val="007726D3"/>
    <w:pPr>
      <w:keepNext/>
    </w:pPr>
    <w:rPr>
      <w:color w:val="0D0D0D" w:themeColor="text1" w:themeTint="F2"/>
      <w:sz w:val="18"/>
    </w:rPr>
  </w:style>
  <w:style w:type="character" w:customStyle="1" w:styleId="719Char">
    <w:name w:val="71ג טקסט רץ 9 Char"/>
    <w:basedOn w:val="Char6"/>
    <w:link w:val="719"/>
    <w:rsid w:val="007726D3"/>
    <w:rPr>
      <w:rFonts w:ascii="Tahoma" w:hAnsi="Tahoma" w:cs="Tahoma"/>
      <w:color w:val="0D0D0D" w:themeColor="text1" w:themeTint="F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jpeg" /><Relationship Id="rId11" Type="http://schemas.openxmlformats.org/officeDocument/2006/relationships/image" Target="media/image2.jpeg"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header" Target="header4.xml" /><Relationship Id="rId19" Type="http://schemas.openxmlformats.org/officeDocument/2006/relationships/image" Target="media/image4.jpeg" /><Relationship Id="rId2" Type="http://schemas.openxmlformats.org/officeDocument/2006/relationships/endnotes" Target="endnotes.xml" /><Relationship Id="rId20" Type="http://schemas.openxmlformats.org/officeDocument/2006/relationships/image" Target="media/image5.jpeg" /><Relationship Id="rId21" Type="http://schemas.openxmlformats.org/officeDocument/2006/relationships/image" Target="media/image6.jpeg" /><Relationship Id="rId22" Type="http://schemas.openxmlformats.org/officeDocument/2006/relationships/image" Target="media/image7.jpeg" /><Relationship Id="rId23" Type="http://schemas.openxmlformats.org/officeDocument/2006/relationships/image" Target="media/image8.jpeg" /><Relationship Id="rId24" Type="http://schemas.openxmlformats.org/officeDocument/2006/relationships/image" Target="media/image9.jpeg" /><Relationship Id="rId25" Type="http://schemas.openxmlformats.org/officeDocument/2006/relationships/hyperlink" Target="http://mvdocd2app.mevaker.nlb/D2/?docbase=NM_PRD&amp;locateId=090bc09b844f057a" TargetMode="External" /><Relationship Id="rId26" Type="http://schemas.openxmlformats.org/officeDocument/2006/relationships/hyperlink" Target="http://mvdocd2app.mevaker.nlb/D2/?docbase=NM_PRD&amp;locateId=090bc09b844e4881" TargetMode="External" /><Relationship Id="rId27" Type="http://schemas.openxmlformats.org/officeDocument/2006/relationships/hyperlink" Target="http://mvdocd2app.mevaker.nlb/D2/?docbase=NM_PRD&amp;locateId=090bc09b84476292&amp;application=Mevaker" TargetMode="External" /><Relationship Id="rId28" Type="http://schemas.openxmlformats.org/officeDocument/2006/relationships/image" Target="media/image10.jpeg" /><Relationship Id="rId29" Type="http://schemas.openxmlformats.org/officeDocument/2006/relationships/image" Target="media/image11.jpeg" /><Relationship Id="rId3" Type="http://schemas.openxmlformats.org/officeDocument/2006/relationships/settings" Target="settings.xml" /><Relationship Id="rId30" Type="http://schemas.openxmlformats.org/officeDocument/2006/relationships/image" Target="media/image12.jpeg" /><Relationship Id="rId31" Type="http://schemas.openxmlformats.org/officeDocument/2006/relationships/image" Target="media/image13.jpeg" /><Relationship Id="rId32" Type="http://schemas.openxmlformats.org/officeDocument/2006/relationships/image" Target="media/image14.jpeg" /><Relationship Id="rId33" Type="http://schemas.openxmlformats.org/officeDocument/2006/relationships/header" Target="header5.xml" /><Relationship Id="rId34" Type="http://schemas.openxmlformats.org/officeDocument/2006/relationships/footer" Target="footer4.xml" /><Relationship Id="rId35" Type="http://schemas.openxmlformats.org/officeDocument/2006/relationships/image" Target="media/image15.jpeg" /><Relationship Id="rId36" Type="http://schemas.openxmlformats.org/officeDocument/2006/relationships/image" Target="media/image16.jpeg" /><Relationship Id="rId37" Type="http://schemas.openxmlformats.org/officeDocument/2006/relationships/image" Target="media/image17.jpeg" /><Relationship Id="rId38" Type="http://schemas.openxmlformats.org/officeDocument/2006/relationships/image" Target="media/image18.jpeg" /><Relationship Id="rId39" Type="http://schemas.openxmlformats.org/officeDocument/2006/relationships/image" Target="media/image19.jpeg" /><Relationship Id="rId4" Type="http://schemas.openxmlformats.org/officeDocument/2006/relationships/webSettings" Target="webSettings.xml" /><Relationship Id="rId40" Type="http://schemas.openxmlformats.org/officeDocument/2006/relationships/image" Target="media/image20.jpeg" /><Relationship Id="rId41" Type="http://schemas.openxmlformats.org/officeDocument/2006/relationships/image" Target="media/image21.jpeg" /><Relationship Id="rId42" Type="http://schemas.openxmlformats.org/officeDocument/2006/relationships/image" Target="media/image22.jpeg" /><Relationship Id="rId43" Type="http://schemas.openxmlformats.org/officeDocument/2006/relationships/image" Target="media/image23.jpeg" /><Relationship Id="rId44" Type="http://schemas.openxmlformats.org/officeDocument/2006/relationships/hyperlink" Target="http://mvdocd2app.mevaker.nlb/D2/?docbase=NM_PRD&amp;locateId=090bc09b844afe28&amp;application=Mevaker" TargetMode="External" /><Relationship Id="rId45" Type="http://schemas.openxmlformats.org/officeDocument/2006/relationships/image" Target="media/image24.jpeg" /><Relationship Id="rId46" Type="http://schemas.openxmlformats.org/officeDocument/2006/relationships/image" Target="media/image25.jpeg" /><Relationship Id="rId47" Type="http://schemas.openxmlformats.org/officeDocument/2006/relationships/image" Target="media/image26.jpeg" /><Relationship Id="rId48" Type="http://schemas.openxmlformats.org/officeDocument/2006/relationships/image" Target="media/image27.jpeg" /><Relationship Id="rId49" Type="http://schemas.openxmlformats.org/officeDocument/2006/relationships/image" Target="media/image28.jpeg" /><Relationship Id="rId5" Type="http://schemas.openxmlformats.org/officeDocument/2006/relationships/fontTable" Target="fontTable.xml" /><Relationship Id="rId50" Type="http://schemas.openxmlformats.org/officeDocument/2006/relationships/image" Target="media/image29.jpeg" /><Relationship Id="rId51" Type="http://schemas.openxmlformats.org/officeDocument/2006/relationships/image" Target="media/image30.jpeg" /><Relationship Id="rId52" Type="http://schemas.openxmlformats.org/officeDocument/2006/relationships/image" Target="media/image31.jpeg" /><Relationship Id="rId53" Type="http://schemas.openxmlformats.org/officeDocument/2006/relationships/image" Target="media/image32.jpeg" /><Relationship Id="rId54" Type="http://schemas.openxmlformats.org/officeDocument/2006/relationships/image" Target="media/image33.jpeg" /><Relationship Id="rId55" Type="http://schemas.openxmlformats.org/officeDocument/2006/relationships/image" Target="media/image34.jpeg" /><Relationship Id="rId56" Type="http://schemas.openxmlformats.org/officeDocument/2006/relationships/image" Target="media/image35.jpeg" /><Relationship Id="rId57" Type="http://schemas.openxmlformats.org/officeDocument/2006/relationships/image" Target="media/image36.jpeg" /><Relationship Id="rId58" Type="http://schemas.openxmlformats.org/officeDocument/2006/relationships/image" Target="media/image37.emf" /><Relationship Id="rId59" Type="http://schemas.openxmlformats.org/officeDocument/2006/relationships/image" Target="media/image38.jpeg" /><Relationship Id="rId6" Type="http://schemas.openxmlformats.org/officeDocument/2006/relationships/customXml" Target="../customXml/item1.xml" /><Relationship Id="rId60" Type="http://schemas.openxmlformats.org/officeDocument/2006/relationships/header" Target="header6.xml" /><Relationship Id="rId61" Type="http://schemas.openxmlformats.org/officeDocument/2006/relationships/theme" Target="theme/theme1.xml" /><Relationship Id="rId62" Type="http://schemas.openxmlformats.org/officeDocument/2006/relationships/numbering" Target="numbering.xml" /><Relationship Id="rId63" Type="http://schemas.openxmlformats.org/officeDocument/2006/relationships/styles" Target="styles.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1.xml.rels><?xml version="1.0" encoding="utf-8" standalone="yes"?><Relationships xmlns="http://schemas.openxmlformats.org/package/2006/relationships"><Relationship Id="rId1" Type="http://schemas.openxmlformats.org/officeDocument/2006/relationships/image" Target="media/image3.jpeg" /></Relationships>
</file>

<file path=word/_rels/header2.xml.rels><?xml version="1.0" encoding="utf-8" standalone="yes"?><Relationships xmlns="http://schemas.openxmlformats.org/package/2006/relationships"><Relationship Id="rId1" Type="http://schemas.openxmlformats.org/officeDocument/2006/relationships/image" Target="media/image2.jpeg" /></Relationships>
</file>

<file path=word/_rels/header4.xml.rels><?xml version="1.0" encoding="utf-8" standalone="yes"?><Relationships xmlns="http://schemas.openxmlformats.org/package/2006/relationships"><Relationship Id="rId1" Type="http://schemas.openxmlformats.org/officeDocument/2006/relationships/image" Target="media/image3.jpeg" /></Relationships>
</file>

<file path=word/_rels/header5.xml.rels><?xml version="1.0" encoding="utf-8" standalone="yes"?><Relationships xmlns="http://schemas.openxmlformats.org/package/2006/relationships"><Relationship Id="rId1" Type="http://schemas.openxmlformats.org/officeDocument/2006/relationships/image" Target="media/image3.jpeg" /></Relationships>
</file>

<file path=word/_rels/header6.xml.rels><?xml version="1.0" encoding="utf-8" standalone="yes"?><Relationships xmlns="http://schemas.openxmlformats.org/package/2006/relationships"><Relationship Id="rId1" Type="http://schemas.openxmlformats.org/officeDocument/2006/relationships/image" Target="media/image2.jpeg" /></Relationships>
</file>

<file path=word/_rels/settings.xml.rels><?xml version="1.0" encoding="utf-8" standalone="yes"?><Relationships xmlns="http://schemas.openxmlformats.org/package/2006/relationships"><Relationship Id="rId1" Type="http://schemas.openxmlformats.org/officeDocument/2006/relationships/attachedTemplate" Target="file:///H:\Word%20Templates\&#1514;&#1489;&#1504;&#1497;&#1493;&#1514;%20&#1502;&#1489;&#1511;&#1512;%20&#1492;&#1502;&#1491;&#1497;&#1504;&#1492;\&#1514;&#1489;&#1504;&#1497;&#1514;%20&#1500;&#1499;&#1514;&#1497;&#1489;&#1514;%20&#1502;&#1496;&#1500;&#1514;%20&#1489;&#1497;&#1511;&#1493;&#1512;&#1514;%20&#1502;&#1506;&#1493;&#1491;&#1499;&#1504;&#1514;.dotm" TargetMode="External" /></Relationships>
</file>

<file path=word/theme/_rels/theme1.xml.rels><?xml version="1.0" encoding="utf-8" standalone="yes"?><Relationships xmlns="http://schemas.openxmlformats.org/package/2006/relationships"><Relationship Id="rId1" Type="http://schemas.openxmlformats.org/officeDocument/2006/relationships/image" Target="../media/image39.jpeg" /></Relationships>
</file>

<file path=word/theme/theme1.xml><?xml version="1.0" encoding="utf-8"?>
<a:theme xmlns:a="http://schemas.openxmlformats.org/drawingml/2006/main" name="אינטגרל">
  <a:themeElements>
    <a:clrScheme name="אינטגרל">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אינטגרל">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אינטגרל">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1" ma:contentTypeDescription="צור מסמך חדש." ma:contentTypeScope="" ma:versionID="da005a1527a216d08902de35435f79fa">
  <xsd:schema xmlns:xsd="http://www.w3.org/2001/XMLSchema" xmlns:xs="http://www.w3.org/2001/XMLSchema" xmlns:p="http://schemas.microsoft.com/office/2006/metadata/properties" xmlns:ns1="http://schemas.microsoft.com/sharepoint/v3" targetNamespace="http://schemas.microsoft.com/office/2006/metadata/properties" ma:root="true" ma:fieldsID="75d0be1c5bbf6cd520794c7c6a473994"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9CFEA8-9C19-4567-AE07-A888A48557E2}">
  <ds:schemaRefs>
    <ds:schemaRef ds:uri="http://schemas.openxmlformats.org/officeDocument/2006/bibliography"/>
  </ds:schemaRefs>
</ds:datastoreItem>
</file>

<file path=customXml/itemProps2.xml><?xml version="1.0" encoding="utf-8"?>
<ds:datastoreItem xmlns:ds="http://schemas.openxmlformats.org/officeDocument/2006/customXml" ds:itemID="{F7603606-5E1C-4A20-A662-7530344C0C79}">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EF14C8F3-99B9-42DE-920E-5707BD78BD9B}">
  <ds:schemaRefs>
    <ds:schemaRef ds:uri="http://schemas.microsoft.com/sharepoint/v3/contenttype/forms"/>
  </ds:schemaRefs>
</ds:datastoreItem>
</file>

<file path=customXml/itemProps4.xml><?xml version="1.0" encoding="utf-8"?>
<ds:datastoreItem xmlns:ds="http://schemas.openxmlformats.org/officeDocument/2006/customXml" ds:itemID="{416B6D34-704C-4BF6-9DCA-CECC30596E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