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FrankRuehl" w:cs="FrankRuehl" w:eastAsia="FrankRuehl" w:hAnsi="FrankRuehl"/>
          <w:b w:val="1"/>
          <w:sz w:val="40"/>
          <w:szCs w:val="40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בטקס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הפרישה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מבית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sz w:val="40"/>
          <w:szCs w:val="40"/>
          <w:u w:val="single"/>
          <w:rtl w:val="1"/>
        </w:rPr>
        <w:t xml:space="preserve">אלרון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יתברך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הבורא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ויתעלה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היוצר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ברחמיו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וברוב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חסדיו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הנחני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האמת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והביאני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מכובדיי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נרגש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המילים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הטובות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מהדוברות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והדוברים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לפניי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יומיים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ימלאו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70,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אסיים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-32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הערכאות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במדינת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בהרגשת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סיפוק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הלכתי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מראשית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דרכי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עצמי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היושב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ובמבט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לאחור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נדמה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תחילת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דרכי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אתמול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נולדתי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במעברת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העולים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מחנה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עובדיה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וצדיקה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מעיראק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1951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לאוהלים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שבמחנה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העולים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ואחיותיי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כאן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נולדו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נוספים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הצעיר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הכרמל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הבוגרים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בפינותיו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האוהל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יעוף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מהרוחות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העזות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שנשבו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ומהגשמים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שמימיהם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זרמו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בעוצמה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מההר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האוהל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וממנו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הפתוח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כעבור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להתגורר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בצריפים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שבמעברת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מחנה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נולדתי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העברתי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ונעוריי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התגוררו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וכילד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התוודעתי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מקרוב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לראשונה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לשורדי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באירופה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חלקם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פגיעות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ונכויות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פיזיות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וחלקם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פגועי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נפש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התגוררו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בצריפים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בשיכוני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עמידר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באחווה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נשלחתי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למכולת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להמתין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לטנדר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הירוק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שהביא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כיכר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הלחם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הלבן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ואאלץ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לנדוד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ממכולת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למכולת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למצוא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כיכר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ממאפיית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כץ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הידועה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ריחו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עדיין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שחלפו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למעלה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עשורים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ולדידי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טעים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במאכלים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  </w:t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תקופה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הצריפים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ובטבורה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צריפי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חנויות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המכולת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והירקות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המעבר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לדירת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עמידר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חדרים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שהיוו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ולמעשה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תבנית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לעצם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עיצבו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דרכי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והטביעו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חותמם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אישיותי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משנדרשתי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לעתירה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בעניינו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מיוצג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הקביעה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ממשיך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בדירת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אביו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המנוח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ציינתי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360" w:lineRule="auto"/>
        <w:ind w:left="1134" w:right="851" w:firstLine="0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ניסיון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לימדני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'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עמידר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קורת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בלבד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משמשת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שידם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משגת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כתשתית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לבניית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עתידם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סביבה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מצויים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חבריו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שכניו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ומכריו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מידיהם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תשמוט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הקרקע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רגליהם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פשוטו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כמשמעו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 (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2150-22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אסיס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הבינוי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והשיכון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המשרד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הראשי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0"/>
        </w:rPr>
        <w:t xml:space="preserve"> (27.3.2023)).</w:t>
      </w:r>
    </w:p>
    <w:p w:rsidR="00000000" w:rsidDel="00000000" w:rsidP="00000000" w:rsidRDefault="00000000" w:rsidRPr="00000000" w14:paraId="0000001C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חוו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רווחה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בעיראק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לסבי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1935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רחב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ובבעלותו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חנויות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מוסול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הביטו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לאחור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בגעגוע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הותירו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מאחוריהם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הולאם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שלטונות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עיראק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רואה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חשבון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במקצועו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נאלץ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עליית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המשפחה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לארץ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לעבוד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כעובד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כפיים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ברכבת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יוצא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לעמל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בוקר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מוקדמת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וממשכורתו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נסמכה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כלכלת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המושג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קצבת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צדיקה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עקרת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השכימה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שכולנו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נצא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לעבודתו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ללימודיו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מצוידים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בכריכים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להמשך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מסורתיים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דוגמה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לרכישת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חינוך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והשכלה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לאמונה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להליכה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בצניעות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הבריות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לענווה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כבוד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לזולת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ולהיעדר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מורא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מבורא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ערכים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חונכנו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ילדותנו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לחלק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נפרד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מעולמי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עשייתי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מראשיתה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אחריתה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בעיקר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שעסקה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בסוגיות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הפרט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למדינה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בעבורי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ביטוי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לערכים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שספגתי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הוריי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מהמקום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גדלתי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וממנו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הגעתי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ממקום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ששום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מובן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מאליו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התגבשה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תפיסת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ביחס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למילוי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תפקיד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השפיטה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ובמיוחד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גורלו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היחיד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במשקפי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יבש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בעיניים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אנושיות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ורואות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בשאיפה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דרוש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וניתן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לשלב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חמלה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מחויבות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בסיסי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אנושי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ונכונות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לסייע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לדל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26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בעבודתי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הנחני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הפסוק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מתהילים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')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התלוי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בלשכתי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מעוז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חיי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ממי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אפחד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ביטוי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באלפי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התיקים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ופסקתי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נהגתי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נושא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תפילה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לבורא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נפלה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תקלה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סיימתי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לימודיי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התיכוניים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בתיכון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ערב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חדש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והליכה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בשעות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הצהריים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והערב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ללימודים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3.5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צבאי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כקצין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בצה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נסעתי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לאנגליה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במסגרות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ביטחוניות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כמתוכנן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התחלתי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ללמוד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בסיום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לימודיי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התמחות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מגוונת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רכשתי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ניסיון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בתחומי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וקבלת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רישיון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לעריכת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עצמאי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כעורך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למינויי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ביוזמתו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במחוז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קיטאי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יבדל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ובתמיכת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שמגר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היווה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מקור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תמיכה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שנמשכה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מינויי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התמניתי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בארבעה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למרץ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1994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שמגר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ליבאי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2003,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התמניתי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אהרן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יוסף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טומי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לפיד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כיהנתי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כסגן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בברכתם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דורית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ביניש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יעקב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נאמן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31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בחודש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2013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נבחרתי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לכהונת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גרוניס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ציפי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בעשרים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ושניים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לפברואר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2017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נבחרתי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לכהונת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נאור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ושרת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איילת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שקד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ומוניתי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לתפקיד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בשלושים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באוקטובר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2017,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אסתר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והשרה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שקד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-32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במהלכן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עצמי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מחויב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מאודי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לשלטון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ראיתי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טובתה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לנגד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חשיבות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נכון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לשרתה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ועניין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37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גדולה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כאמור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לכהן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שנשאתי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בעשרים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וארבעה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באוקטובר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2013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בטקס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פתיחת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הצהרתי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רואה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עצמי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בראש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ובראשונה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כמשרת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ותפיסתי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מהתפיסה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מורם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לליבי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ולהשקפת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עולמי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קרובה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האמירה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יושב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". </w:t>
      </w:r>
    </w:p>
    <w:p w:rsidR="00000000" w:rsidDel="00000000" w:rsidP="00000000" w:rsidRDefault="00000000" w:rsidRPr="00000000" w14:paraId="00000039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הוספתי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מוטרד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הפרסומים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והמחקרים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כרסום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באמון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בכללותה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הכרחי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לתפקודה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התקין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יוכלו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מלאכתם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כהלכה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יקבל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סמכותם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קבלה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אמיתית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הכרה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ואמונה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מלאכתם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נאמנה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ופועלים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צדק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תורגש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מלוא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תרומתה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ציינתי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במעמד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מטרתנו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להעניק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במאור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תפקידנו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בראש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ובראשונה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הנזקקים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מבאי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מדובר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בבעלי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מדובר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בביקור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ראשון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ואולי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אחרון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3D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הרושם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מעניק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מקצועי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יעיל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ונטול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פניות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נדבך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חיוני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בבניית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אמונו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וברוח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פעלתי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 </w:t>
      </w:r>
    </w:p>
    <w:p w:rsidR="00000000" w:rsidDel="00000000" w:rsidP="00000000" w:rsidRDefault="00000000" w:rsidRPr="00000000" w14:paraId="0000003F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הישיבה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באולמות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נטלתי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חלק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פעיל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בוועדות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מקצועיות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ובפעילויות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ניהוליות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נוספות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הקשורות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שותף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לגיבושה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התוכנית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האסטרטגית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גרוניס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ונאור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נוסף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במהלך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נקטתי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יוזמות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לרפורמות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לרבות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יוזמות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חקיקה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במהלך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פגשתי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מסורים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רואים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בעבודתם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שליחות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תחושת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שליחות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מחייבת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ידם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למנוע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הסבל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והמועקה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נגרמים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לבעלי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כתוצאה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מהימשכות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והליכים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פליליים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43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הימשכות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ההליכים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והצורך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בהתייעלות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דיונית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מאתגריה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הגדולים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ומעולם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ובימים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שציינתי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בהזדמנויות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ויעיל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איכותי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ומדוקדק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הניתן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המתדיינים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הגתה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ויישמה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תהליכי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התייעלות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ונקטה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צעדים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ארגוניים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שמטרתם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למנוע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הימשכות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תלויים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ומטבע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נדרשים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שינויי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חקיקה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שיאפשרו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התנהלות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דיונית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יעילה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בהקשר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אזכיר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הצעותיי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לשינוי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מנגנון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הביקורת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מעצרים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מינהליים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ולעריכת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תיקון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חקיקתי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לייעול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הטיפול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בבקשות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להארכת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מעצר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-9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חודשים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סעיף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62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המעצרים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ולפיה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4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הארכות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המעצר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הראשונות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תובאנה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נשיאי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מתנהל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47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יכולה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לשפר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במידה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ניכרת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ההתנהלות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הדיונית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בהליך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בכללותו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משהדבר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יביא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לפיקוח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ובקרה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יעילה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יותר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הרלוונטי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במניעת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הימשכות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ההליכים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בתיקי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אזכיר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בהיבט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העקרונית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ביחס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להליכי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גישור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ומגעים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לגיבוש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הסדרי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טיעון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ניהול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גישתי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נחרצת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גישורים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והסדרי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הטיעון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אינם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יכולים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לשמש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אמצעי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סילוקם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תיקים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ממצבת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התיקים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בעיקר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חשבון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ענישה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ראויה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מרתיעה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והולמת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יתרה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גישור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ומגעים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להסדרי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טיעון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צריכים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להתנהל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במקביל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לניהול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העיקרי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במקומו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עצירת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הליך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פרקטיקה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שגויה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החותרת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תכליות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יסוד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נוסף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לעשייתי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האמורה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2014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-2018,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בראשות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הבוחנת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עורכי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אומצו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שינויים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מבניים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משמעותיים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במבנה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ההסמכה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למקצוע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עריכת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ובתוכם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הכנסת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המהותי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ומטלת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הניסוח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לבחינה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שינויים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לגישתי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שיפרו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במידה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ניכרת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טיב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הבחינות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וכפועל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יוצא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סייעו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להבטחת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שמקבל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הרחב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מעורכי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התקבלה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המלצתי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ועדת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להקמת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מרכז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לימודי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הסמכה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לעריכת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 </w:t>
      </w:r>
    </w:p>
    <w:p w:rsidR="00000000" w:rsidDel="00000000" w:rsidP="00000000" w:rsidRDefault="00000000" w:rsidRPr="00000000" w14:paraId="0000004D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במרכז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עשייתי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ניצב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במידה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ענפיו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העונשין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לדיני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הראיות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בסדר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התיקים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נמנים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מאות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תיקי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פשע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חמור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וביניהם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פרשיות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וקשות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שזעזעו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אזרחי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אציין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שזכתה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לכינוי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"512",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במסגרתה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הועמדו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והורשעו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נאשמים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שאיגדו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פעילות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עבריינית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רחבת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היקף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במסגרת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ארגוני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פשיעה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הרשעה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נאשם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שאשמתו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הוכחה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לספק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סביר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 </w:t>
      </w:r>
    </w:p>
    <w:p w:rsidR="00000000" w:rsidDel="00000000" w:rsidP="00000000" w:rsidRDefault="00000000" w:rsidRPr="00000000" w14:paraId="0000004F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להדגיש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מסויג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נורמה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כללית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המחייבת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האזרחים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והמוסדות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במדינה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51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האחרונות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הגיע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לפתחי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אתגר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חדש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ומורכב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הרפורמה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ההמתה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הרפורמה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שנכנסה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לתוקף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2019,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חוללה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שינוי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ניכר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ההמתה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הישראלי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מטבע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הרפורמה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זימנה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סוגיות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פרשניות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דרשה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עיצוב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מדיניות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הענישה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לאתגר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נעניתי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בשורה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ארוכה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פסקי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שעסקו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ההמתה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החדשות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והניחו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תשתית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נרחבת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בסיסה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לקוות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ימשיך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להתפתח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53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בהקשר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אציין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החשיבות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היתירה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מוצא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עונשי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ראוי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בתיקי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ההמתה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הפשיעה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הגואה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בקרב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האוכלוסייה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הערבית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ובדגש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מקרי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הרצח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הנוראים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שפוקדים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מגזר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חדשות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לבקרים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הואיל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רשויות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אכיפת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החוק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והרשות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בתוכן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מוטלת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החובה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להטות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אוזנם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לזעקתם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הערבית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ולתחינתם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נחוש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ועוצמתי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לתופעת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הפשיעה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הגובה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עומדת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אתגר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נוסף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לתרום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חלקה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במיגור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תופעת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החסות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שלחה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זרועותיה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שעולה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פגיעה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במרקם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התקינים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במדינת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בביטחון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האישי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ועלולה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להוות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סכנה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לביטחון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הלאומי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57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יורשה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לתמצת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המחשבה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בעקבותיו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הלכתי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בעשייתי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בתחום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לגישתי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ניצב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ארבעה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אדנים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דקדקנית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התשתית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הראייתית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ועמידה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איתנה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דרישת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ההוכחה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לספק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סביר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הקפדה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מתפשרת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זכויות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חשודים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ונאשמים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מיצוי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הפוגעים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בערכיה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המקודשים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הישראלית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והצבה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מתמדת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קורבן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העבירה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במוקד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פסקי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רצופים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באמירות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המופנות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במישרין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לקורבנות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העבירה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אומר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הדומיננטיות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העשייה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בתחום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תמיד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קרובים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לליבי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נושאים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לסייע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לאוכלוסיות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המוחלשות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ביטוי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לתפיסתי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בסוגיות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מצאתי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מפסיקותיו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חיים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כהן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כתב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: "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מודה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אני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ומתוודה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שלא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אנוח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אשקוט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מלחפש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לדלים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ולעשוקים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ולנדכאים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צד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זכות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בדין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ולא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אאמין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לאומרים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לי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אל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תיגע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תמצא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(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409/78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גולן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פרקש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(1) 813 (1979)). </w:t>
      </w:r>
    </w:p>
    <w:p w:rsidR="00000000" w:rsidDel="00000000" w:rsidP="00000000" w:rsidRDefault="00000000" w:rsidRPr="00000000" w14:paraId="0000005B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מהעתירות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עסקה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בזכאותם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צרכים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מיוחדים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המשולבים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במוסדות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חינוך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רגילים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להסעה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מסגרות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החינוך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לומדים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עמדתי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היתר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החשיבות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מוצא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בשילובם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במערכת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החינוך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הכללית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מקום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מתאפשר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ונכון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עבורם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191/15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פלוני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עיריית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בני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ברק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0"/>
        </w:rPr>
        <w:t xml:space="preserve">(18.4.2019)).</w:t>
      </w:r>
    </w:p>
    <w:p w:rsidR="00000000" w:rsidDel="00000000" w:rsidP="00000000" w:rsidRDefault="00000000" w:rsidRPr="00000000" w14:paraId="0000005D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בפרשת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היעלמותם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ילדים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מבין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תימן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בראשית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עלייתם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וקליטתם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נמחקה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תביעת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המשפחות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ציינתי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האירועים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המתוארים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בכתב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התביעה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מגוללים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מסכת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ולמעשה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חלקה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הקטן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פרשה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וכואבת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בתולדות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מדינת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לנוכח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סברתי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לפתוח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המשפחות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שתוכלנה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לנהל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תביעותיהן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2392/19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עוזרי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מדינת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0"/>
        </w:rPr>
        <w:t xml:space="preserve"> (24.12.2019)).</w:t>
      </w:r>
    </w:p>
    <w:p w:rsidR="00000000" w:rsidDel="00000000" w:rsidP="00000000" w:rsidRDefault="00000000" w:rsidRPr="00000000" w14:paraId="0000005F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לקראת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סיום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יכול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להתייחס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למצב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מצויה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הזו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ולמלחמה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המתנהלת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קרוב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לשנתיים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המלאכה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מלאכה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ותובענית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אולם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נוספה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הזכות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לייצג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בטקסים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בהיכל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הזיכרון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הרצל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באירועי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זיכרון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חשתי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כאב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בישיבה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הנופלים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המרצדים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המסך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משפחותיהם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הנוכחים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בטקס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הזיכרון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61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הדבר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החזיר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פעם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לשמות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לתמונות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ולסיפורים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האישיים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נחשפתי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בזמן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מערכות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בהן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נטלו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הנופלים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חלק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יהי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זכרם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זיכרונם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אנצור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בליבי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!</w:t>
      </w:r>
    </w:p>
    <w:p w:rsidR="00000000" w:rsidDel="00000000" w:rsidP="00000000" w:rsidRDefault="00000000" w:rsidRPr="00000000" w14:paraId="00000063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למרבה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הצער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שסע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וקיטוב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הישראלית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תקווה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יתרום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תרומתו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לאיחוי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הקרעים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בחברה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בפסיקה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תגשר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הפערים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והמחלוקות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המובאים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לפתחו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לעניין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אביא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מדברים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שכתבתי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8"/>
          <w:szCs w:val="28"/>
          <w:rtl w:val="1"/>
        </w:rPr>
        <w:t xml:space="preserve">ברזון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6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420" w:before="0" w:line="360" w:lineRule="auto"/>
        <w:ind w:left="1134" w:right="851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רבת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כחברה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עלינו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הניתן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לאיחוד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הקהילות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לפילוגן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מזו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עלינו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למעורבות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בחיים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האזרחיים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במדינה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[...]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ארוכה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ורבה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להשגת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תכליות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נעבור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יחדיו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במסע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לצפות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נשנה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תפיסות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עולמו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ואורח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חייו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האחר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לייחל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ליצירת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ושיח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הקהילות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תקווה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ידינו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לטובה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ולברכה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ומהווים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פתיחת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שער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סגירת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שער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בג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8010/16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ברזון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(12.7.2021)).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ברצוני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להודות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לאנשים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הרבים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שליוו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עשייתי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השיפוטית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לעמיתיי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בעבר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ובהווה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למנהלי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לחברי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מטה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הנהלת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שיתוף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הפעולה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בתקופת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כהונתי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כנשיא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לעובדי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והמחוזי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אחת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ואחד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מעובדי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למשמר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ולשירות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הסוהר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מיוחדת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למי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שהוציאו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לפועל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אירוע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בראשם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המזכירה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הראשית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עידית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מלול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וסגניתה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סברינה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'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העובדים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יואב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תבריזי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דבריו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המרגשים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באירוע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העובדים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שנערך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השבוע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ולעו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יפעת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דומידיאנו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ההשקעה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והמקצועיות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מנהלת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יומן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לבן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לוי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ממשמר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היושב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בפתח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קומת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השופטים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פניו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נסוך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חיוך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רחב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לצוות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לשכתי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שעבדו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לאורך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השנים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עבודתם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המסורה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והמצוינת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שהייתה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לעזר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והעיקר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שבעיקרים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לרעייתי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איריס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לילדיי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אייל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אמיר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ואביעד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לאחיותיי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ולאחיי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ליווני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בפרקים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שונים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במסע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חיינו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המשותף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באהבה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רבה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אסיים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במילותיו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אהוד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מנור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ז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בשיר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הלוואי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":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הלוואי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נכאב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יאהב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הלוואי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ויפתחו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עדן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הלוואי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ויתמזגו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מזרח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ומערב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הלוואי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ונחדש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ימינו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כקדם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36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וישובו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במהרה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חטופנו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וחיילינו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הנלחמים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בגבורה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בחזית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לשלום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spacing w:line="360" w:lineRule="auto"/>
        <w:jc w:val="both"/>
        <w:rPr>
          <w:rFonts w:ascii="FrankRuehl" w:cs="FrankRuehl" w:eastAsia="FrankRuehl" w:hAnsi="FrankRuehl"/>
          <w:sz w:val="36"/>
          <w:szCs w:val="36"/>
        </w:rPr>
      </w:pP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תודה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לכולכם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שכיבדתם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אותי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בנוכחותכם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שנה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טובה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וחתימה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טובה</w:t>
      </w:r>
      <w:r w:rsidDel="00000000" w:rsidR="00000000" w:rsidRPr="00000000">
        <w:rPr>
          <w:rFonts w:ascii="FrankRuehl" w:cs="FrankRuehl" w:eastAsia="FrankRuehl" w:hAnsi="FrankRuehl"/>
          <w:sz w:val="36"/>
          <w:szCs w:val="36"/>
          <w:rtl w:val="1"/>
        </w:rPr>
        <w:t xml:space="preserve">! </w:t>
      </w:r>
    </w:p>
    <w:p w:rsidR="00000000" w:rsidDel="00000000" w:rsidP="00000000" w:rsidRDefault="00000000" w:rsidRPr="00000000" w14:paraId="00000076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rankRuehl"/>
  <w:font w:name="Century"/>
  <w:font w:name="Arimo"/>
  <w:font w:name="Garamon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bidi w:val="1"/>
      <w:spacing w:line="360" w:lineRule="auto"/>
      <w:jc w:val="right"/>
      <w:rPr>
        <w:rFonts w:ascii="FrankRuehl" w:cs="FrankRuehl" w:eastAsia="FrankRuehl" w:hAnsi="FrankRuehl"/>
        <w:sz w:val="28"/>
        <w:szCs w:val="28"/>
      </w:rPr>
    </w:pP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כ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"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ה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 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באלול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 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התשפ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"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ה</w:t>
    </w:r>
    <w:r w:rsidDel="00000000" w:rsidR="00000000" w:rsidRPr="00000000">
      <w:rPr>
        <w:rFonts w:ascii="FrankRuehl" w:cs="FrankRuehl" w:eastAsia="FrankRuehl" w:hAnsi="FrankRuehl"/>
        <w:sz w:val="28"/>
        <w:szCs w:val="28"/>
        <w:rtl w:val="1"/>
      </w:rPr>
      <w:t xml:space="preserve"> - 18.9.2025 </w:t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